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napToGrid/>
        <w:spacing w:before="153" w:line="560" w:lineRule="exact"/>
        <w:ind w:right="458"/>
        <w:jc w:val="both"/>
        <w:textAlignment w:val="auto"/>
        <w:rPr>
          <w:rFonts w:hint="eastAsia" w:ascii="黑体" w:hAnsi="黑体" w:eastAsia="黑体" w:cs="黑体"/>
          <w:b w:val="0"/>
          <w:bCs w:val="0"/>
          <w:sz w:val="44"/>
          <w:szCs w:val="44"/>
          <w:lang w:val="en-US" w:eastAsia="zh-CN"/>
        </w:rPr>
      </w:pPr>
    </w:p>
    <w:p>
      <w:pPr>
        <w:pageBreakBefore w:val="0"/>
        <w:widowControl w:val="0"/>
        <w:kinsoku/>
        <w:wordWrap/>
        <w:overflowPunct/>
        <w:topLinePunct w:val="0"/>
        <w:bidi w:val="0"/>
        <w:snapToGrid/>
        <w:spacing w:before="153" w:line="560" w:lineRule="exact"/>
        <w:ind w:right="458"/>
        <w:jc w:val="both"/>
        <w:textAlignment w:val="auto"/>
        <w:rPr>
          <w:rFonts w:hint="eastAsia" w:ascii="黑体" w:hAnsi="黑体" w:eastAsia="黑体" w:cs="黑体"/>
          <w:b w:val="0"/>
          <w:bCs w:val="0"/>
          <w:sz w:val="44"/>
          <w:szCs w:val="44"/>
          <w:lang w:val="en-US" w:eastAsia="zh-CN"/>
        </w:rPr>
      </w:pPr>
    </w:p>
    <w:p>
      <w:pPr>
        <w:pageBreakBefore w:val="0"/>
        <w:widowControl w:val="0"/>
        <w:kinsoku/>
        <w:wordWrap/>
        <w:overflowPunct/>
        <w:topLinePunct w:val="0"/>
        <w:bidi w:val="0"/>
        <w:snapToGrid/>
        <w:spacing w:before="153" w:line="560" w:lineRule="exact"/>
        <w:ind w:right="458"/>
        <w:jc w:val="both"/>
        <w:textAlignment w:val="auto"/>
        <w:rPr>
          <w:rFonts w:hint="eastAsia" w:ascii="黑体" w:hAnsi="黑体" w:eastAsia="黑体" w:cs="黑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黑体" w:hAnsi="黑体" w:eastAsia="黑体" w:cs="黑体"/>
          <w:b w:val="0"/>
          <w:bCs w:val="0"/>
          <w:color w:val="000000" w:themeColor="text1"/>
          <w:sz w:val="44"/>
          <w:szCs w:val="44"/>
          <w:highlight w:val="none"/>
          <w:lang w:val="en-US" w:eastAsia="zh-CN"/>
          <w14:textFill>
            <w14:solidFill>
              <w14:schemeClr w14:val="tx1"/>
            </w14:solidFill>
          </w14:textFill>
        </w:rPr>
      </w:pPr>
      <w:r>
        <w:rPr>
          <w:rFonts w:hint="eastAsia" w:ascii="黑体" w:hAnsi="黑体" w:eastAsia="黑体" w:cs="黑体"/>
          <w:b w:val="0"/>
          <w:bCs w:val="0"/>
          <w:color w:val="000000" w:themeColor="text1"/>
          <w:sz w:val="44"/>
          <w:szCs w:val="44"/>
          <w:highlight w:val="none"/>
          <w:lang w:val="en-US" w:eastAsia="zh-CN"/>
          <w14:textFill>
            <w14:solidFill>
              <w14:schemeClr w14:val="tx1"/>
            </w14:solidFill>
          </w14:textFill>
        </w:rPr>
        <w:t>巴楚县阿瓦提镇</w:t>
      </w:r>
      <w:r>
        <w:rPr>
          <w:rFonts w:hint="default" w:ascii="黑体" w:hAnsi="黑体" w:eastAsia="黑体" w:cs="黑体"/>
          <w:b w:val="0"/>
          <w:bCs w:val="0"/>
          <w:color w:val="000000" w:themeColor="text1"/>
          <w:sz w:val="44"/>
          <w:szCs w:val="44"/>
          <w:highlight w:val="none"/>
          <w:lang w:val="en-US" w:eastAsia="zh-CN"/>
          <w14:textFill>
            <w14:solidFill>
              <w14:schemeClr w14:val="tx1"/>
            </w14:solidFill>
          </w14:textFill>
        </w:rPr>
        <w:t>2024</w:t>
      </w:r>
      <w:r>
        <w:rPr>
          <w:rFonts w:hint="eastAsia" w:ascii="黑体" w:hAnsi="黑体" w:eastAsia="黑体" w:cs="黑体"/>
          <w:b w:val="0"/>
          <w:bCs w:val="0"/>
          <w:color w:val="000000" w:themeColor="text1"/>
          <w:sz w:val="44"/>
          <w:szCs w:val="44"/>
          <w:highlight w:val="none"/>
          <w:lang w:val="en-US" w:eastAsia="zh-CN"/>
          <w14:textFill>
            <w14:solidFill>
              <w14:schemeClr w14:val="tx1"/>
            </w14:solidFill>
          </w14:textFill>
        </w:rPr>
        <w:t>年中央财政以工代赈项目实施方案</w:t>
      </w:r>
    </w:p>
    <w:p>
      <w:pPr>
        <w:keepNext w:val="0"/>
        <w:keepLines w:val="0"/>
        <w:pageBreakBefore w:val="0"/>
        <w:widowControl w:val="0"/>
        <w:kinsoku/>
        <w:wordWrap/>
        <w:overflowPunct/>
        <w:topLinePunct w:val="0"/>
        <w:bidi w:val="0"/>
        <w:snapToGrid/>
        <w:spacing w:line="600" w:lineRule="exact"/>
        <w:ind w:left="0" w:leftChars="0" w:right="0" w:firstLine="640" w:firstLineChars="200"/>
        <w:jc w:val="both"/>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00" w:lineRule="exact"/>
        <w:ind w:right="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00" w:lineRule="exact"/>
        <w:ind w:left="0" w:right="0" w:firstLine="643"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项目名称：</w:t>
      </w:r>
      <w:r>
        <w:rPr>
          <w:rFonts w:hint="eastAsia" w:ascii="仿宋" w:hAnsi="仿宋" w:eastAsia="仿宋" w:cs="仿宋"/>
          <w:color w:val="000000" w:themeColor="text1"/>
          <w:sz w:val="32"/>
          <w:szCs w:val="32"/>
          <w:highlight w:val="none"/>
          <w:lang w:eastAsia="zh-CN"/>
          <w14:textFill>
            <w14:solidFill>
              <w14:schemeClr w14:val="tx1"/>
            </w14:solidFill>
          </w14:textFill>
        </w:rPr>
        <w:t>巴楚县阿瓦提镇2024年中央财政以工代赈项目</w:t>
      </w:r>
    </w:p>
    <w:p>
      <w:pPr>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项</w:t>
      </w:r>
      <w:r>
        <w:rPr>
          <w:rFonts w:hint="eastAsia" w:ascii="仿宋" w:hAnsi="仿宋" w:eastAsia="仿宋" w:cs="仿宋"/>
          <w:b/>
          <w:bCs/>
          <w:color w:val="000000" w:themeColor="text1"/>
          <w:sz w:val="32"/>
          <w:szCs w:val="32"/>
          <w:highlight w:val="none"/>
          <w14:textFill>
            <w14:solidFill>
              <w14:schemeClr w14:val="tx1"/>
            </w14:solidFill>
          </w14:textFill>
        </w:rPr>
        <w:t>目主管单位：</w:t>
      </w:r>
      <w:r>
        <w:rPr>
          <w:rFonts w:hint="eastAsia" w:ascii="仿宋" w:hAnsi="仿宋" w:eastAsia="仿宋" w:cs="仿宋"/>
          <w:color w:val="000000" w:themeColor="text1"/>
          <w:spacing w:val="-6"/>
          <w:sz w:val="32"/>
          <w:szCs w:val="32"/>
          <w:highlight w:val="none"/>
          <w14:textFill>
            <w14:solidFill>
              <w14:schemeClr w14:val="tx1"/>
            </w14:solidFill>
          </w14:textFill>
        </w:rPr>
        <w:t>巴楚</w:t>
      </w:r>
      <w:r>
        <w:rPr>
          <w:rFonts w:hint="eastAsia" w:ascii="仿宋" w:hAnsi="仿宋" w:eastAsia="仿宋" w:cs="仿宋"/>
          <w:color w:val="000000" w:themeColor="text1"/>
          <w:spacing w:val="-4"/>
          <w:sz w:val="32"/>
          <w:szCs w:val="32"/>
          <w:highlight w:val="none"/>
          <w14:textFill>
            <w14:solidFill>
              <w14:schemeClr w14:val="tx1"/>
            </w14:solidFill>
          </w14:textFill>
        </w:rPr>
        <w:t>县</w:t>
      </w:r>
      <w:r>
        <w:rPr>
          <w:rFonts w:hint="eastAsia" w:ascii="仿宋" w:hAnsi="仿宋" w:eastAsia="仿宋" w:cs="仿宋"/>
          <w:color w:val="000000" w:themeColor="text1"/>
          <w:spacing w:val="-3"/>
          <w:sz w:val="32"/>
          <w:szCs w:val="32"/>
          <w:highlight w:val="none"/>
          <w14:textFill>
            <w14:solidFill>
              <w14:schemeClr w14:val="tx1"/>
            </w14:solidFill>
          </w14:textFill>
        </w:rPr>
        <w:t>发展和改革委员会</w:t>
      </w:r>
    </w:p>
    <w:p>
      <w:pPr>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项目实施单位：</w:t>
      </w:r>
      <w:r>
        <w:rPr>
          <w:rFonts w:hint="eastAsia" w:ascii="仿宋" w:hAnsi="仿宋" w:eastAsia="仿宋" w:cs="仿宋"/>
          <w:color w:val="000000" w:themeColor="text1"/>
          <w:sz w:val="32"/>
          <w:szCs w:val="32"/>
          <w:highlight w:val="none"/>
          <w:lang w:val="en-US" w:eastAsia="zh-CN"/>
          <w14:textFill>
            <w14:solidFill>
              <w14:schemeClr w14:val="tx1"/>
            </w14:solidFill>
          </w14:textFill>
        </w:rPr>
        <w:t>巴楚县交通运输局</w:t>
      </w:r>
    </w:p>
    <w:p>
      <w:pPr>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编制时间：</w:t>
      </w:r>
      <w:r>
        <w:rPr>
          <w:rFonts w:hint="eastAsia" w:ascii="仿宋" w:hAnsi="仿宋" w:eastAsia="仿宋" w:cs="仿宋"/>
          <w:color w:val="000000" w:themeColor="text1"/>
          <w:sz w:val="32"/>
          <w:szCs w:val="32"/>
          <w:highlight w:val="none"/>
          <w:lang w:val="en-US" w:eastAsia="zh-CN"/>
          <w14:textFill>
            <w14:solidFill>
              <w14:schemeClr w14:val="tx1"/>
            </w14:solidFill>
          </w14:textFill>
        </w:rPr>
        <w:t>2024年2月21日</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p>
    <w:p>
      <w:pPr>
        <w:pStyle w:val="12"/>
        <w:keepNext w:val="0"/>
        <w:keepLines w:val="0"/>
        <w:pageBreakBefore w:val="0"/>
        <w:widowControl w:val="0"/>
        <w:kinsoku/>
        <w:wordWrap/>
        <w:overflowPunct/>
        <w:topLinePunct w:val="0"/>
        <w:bidi w:val="0"/>
        <w:snapToGrid/>
        <w:spacing w:line="600" w:lineRule="exact"/>
        <w:ind w:left="0" w:leftChars="0" w:right="0" w:firstLine="0" w:firstLineChars="0"/>
        <w:jc w:val="center"/>
        <w:textAlignment w:val="auto"/>
        <w:outlineLvl w:val="0"/>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巴楚县阿瓦提镇2024年中央财政以工代赈项目</w:t>
      </w:r>
    </w:p>
    <w:p>
      <w:pPr>
        <w:pStyle w:val="12"/>
        <w:keepNext w:val="0"/>
        <w:keepLines w:val="0"/>
        <w:pageBreakBefore w:val="0"/>
        <w:widowControl w:val="0"/>
        <w:kinsoku/>
        <w:wordWrap/>
        <w:overflowPunct/>
        <w:topLinePunct w:val="0"/>
        <w:bidi w:val="0"/>
        <w:snapToGrid/>
        <w:spacing w:line="600" w:lineRule="exact"/>
        <w:ind w:left="0" w:leftChars="0" w:right="0" w:firstLine="0" w:firstLineChars="0"/>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实施方案</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1.基本情况</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1.1项目库编号</w:t>
      </w:r>
    </w:p>
    <w:p>
      <w:pPr>
        <w:pStyle w:val="12"/>
        <w:keepNext w:val="0"/>
        <w:keepLines w:val="0"/>
        <w:pageBreakBefore w:val="0"/>
        <w:widowControl w:val="0"/>
        <w:kinsoku/>
        <w:wordWrap/>
        <w:overflowPunct/>
        <w:topLinePunct w:val="0"/>
        <w:bidi w:val="0"/>
        <w:snapToGrid/>
        <w:spacing w:line="600" w:lineRule="exact"/>
        <w:ind w:left="0" w:leftChars="0" w:right="0" w:firstLine="640"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BCX021</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1.2项目名称</w:t>
      </w:r>
    </w:p>
    <w:p>
      <w:pPr>
        <w:keepNext w:val="0"/>
        <w:keepLines w:val="0"/>
        <w:pageBreakBefore w:val="0"/>
        <w:widowControl w:val="0"/>
        <w:kinsoku/>
        <w:wordWrap/>
        <w:overflowPunct/>
        <w:topLinePunct w:val="0"/>
        <w:bidi w:val="0"/>
        <w:snapToGrid/>
        <w:spacing w:line="600" w:lineRule="exact"/>
        <w:ind w:left="0" w:leftChars="0" w:right="0" w:firstLine="632" w:firstLineChars="200"/>
        <w:jc w:val="both"/>
        <w:textAlignment w:val="auto"/>
        <w:rPr>
          <w:rFonts w:hint="eastAsia" w:ascii="仿宋" w:hAnsi="仿宋" w:eastAsia="仿宋" w:cs="仿宋"/>
          <w:color w:val="000000" w:themeColor="text1"/>
          <w:spacing w:val="-1"/>
          <w:sz w:val="32"/>
          <w:szCs w:val="32"/>
          <w:highlight w:val="none"/>
          <w:lang w:eastAsia="zh-CN"/>
          <w14:textFill>
            <w14:solidFill>
              <w14:schemeClr w14:val="tx1"/>
            </w14:solidFill>
          </w14:textFill>
        </w:rPr>
      </w:pPr>
      <w:r>
        <w:rPr>
          <w:rFonts w:hint="eastAsia" w:ascii="仿宋" w:hAnsi="仿宋" w:eastAsia="仿宋" w:cs="仿宋"/>
          <w:color w:val="000000" w:themeColor="text1"/>
          <w:spacing w:val="-2"/>
          <w:sz w:val="32"/>
          <w:szCs w:val="32"/>
          <w:highlight w:val="none"/>
          <w:lang w:eastAsia="zh-CN"/>
          <w14:textFill>
            <w14:solidFill>
              <w14:schemeClr w14:val="tx1"/>
            </w14:solidFill>
          </w14:textFill>
        </w:rPr>
        <w:t>巴楚县阿瓦提镇2024年中央财政以工代赈项目</w:t>
      </w:r>
    </w:p>
    <w:p>
      <w:pPr>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1.3项目主管单位</w:t>
      </w:r>
    </w:p>
    <w:p>
      <w:pPr>
        <w:keepNext w:val="0"/>
        <w:keepLines w:val="0"/>
        <w:pageBreakBefore w:val="0"/>
        <w:widowControl w:val="0"/>
        <w:kinsoku/>
        <w:wordWrap/>
        <w:overflowPunct/>
        <w:topLinePunct w:val="0"/>
        <w:bidi w:val="0"/>
        <w:snapToGrid/>
        <w:spacing w:line="600" w:lineRule="exact"/>
        <w:ind w:left="0" w:right="0" w:firstLine="616"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pacing w:val="-6"/>
          <w:sz w:val="32"/>
          <w:szCs w:val="32"/>
          <w:highlight w:val="none"/>
          <w14:textFill>
            <w14:solidFill>
              <w14:schemeClr w14:val="tx1"/>
            </w14:solidFill>
          </w14:textFill>
        </w:rPr>
        <w:t>巴楚</w:t>
      </w:r>
      <w:r>
        <w:rPr>
          <w:rFonts w:hint="eastAsia" w:ascii="仿宋" w:hAnsi="仿宋" w:eastAsia="仿宋" w:cs="仿宋"/>
          <w:color w:val="000000" w:themeColor="text1"/>
          <w:spacing w:val="-4"/>
          <w:sz w:val="32"/>
          <w:szCs w:val="32"/>
          <w:highlight w:val="none"/>
          <w14:textFill>
            <w14:solidFill>
              <w14:schemeClr w14:val="tx1"/>
            </w14:solidFill>
          </w14:textFill>
        </w:rPr>
        <w:t>县</w:t>
      </w:r>
      <w:r>
        <w:rPr>
          <w:rFonts w:hint="eastAsia" w:ascii="仿宋" w:hAnsi="仿宋" w:eastAsia="仿宋" w:cs="仿宋"/>
          <w:color w:val="000000" w:themeColor="text1"/>
          <w:spacing w:val="-3"/>
          <w:sz w:val="32"/>
          <w:szCs w:val="32"/>
          <w:highlight w:val="none"/>
          <w14:textFill>
            <w14:solidFill>
              <w14:schemeClr w14:val="tx1"/>
            </w14:solidFill>
          </w14:textFill>
        </w:rPr>
        <w:t>发展和改革委员会</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1.4项目实施单位</w:t>
      </w:r>
    </w:p>
    <w:p>
      <w:pPr>
        <w:pStyle w:val="12"/>
        <w:keepNext w:val="0"/>
        <w:keepLines w:val="0"/>
        <w:pageBreakBefore w:val="0"/>
        <w:widowControl w:val="0"/>
        <w:kinsoku/>
        <w:wordWrap/>
        <w:overflowPunct/>
        <w:topLinePunct w:val="0"/>
        <w:bidi w:val="0"/>
        <w:snapToGrid/>
        <w:spacing w:line="600" w:lineRule="exact"/>
        <w:ind w:left="0" w:leftChars="0" w:right="0" w:firstLine="640"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巴楚县交通运输局  </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1.5项目建设性质</w:t>
      </w:r>
    </w:p>
    <w:p>
      <w:pPr>
        <w:keepNext w:val="0"/>
        <w:keepLines w:val="0"/>
        <w:pageBreakBefore w:val="0"/>
        <w:widowControl w:val="0"/>
        <w:kinsoku/>
        <w:wordWrap/>
        <w:overflowPunct/>
        <w:topLinePunct w:val="0"/>
        <w:bidi w:val="0"/>
        <w:snapToGrid/>
        <w:spacing w:line="600" w:lineRule="exact"/>
        <w:ind w:left="0" w:right="0" w:firstLine="636"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pacing w:val="-1"/>
          <w:sz w:val="32"/>
          <w:szCs w:val="32"/>
          <w:highlight w:val="none"/>
          <w14:textFill>
            <w14:solidFill>
              <w14:schemeClr w14:val="tx1"/>
            </w14:solidFill>
          </w14:textFill>
        </w:rPr>
        <w:t>新建</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1.6项目类别</w:t>
      </w:r>
    </w:p>
    <w:p>
      <w:pPr>
        <w:pStyle w:val="12"/>
        <w:keepNext w:val="0"/>
        <w:keepLines w:val="0"/>
        <w:pageBreakBefore w:val="0"/>
        <w:widowControl w:val="0"/>
        <w:kinsoku/>
        <w:wordWrap/>
        <w:overflowPunct/>
        <w:topLinePunct w:val="0"/>
        <w:bidi w:val="0"/>
        <w:snapToGrid/>
        <w:spacing w:line="600" w:lineRule="exact"/>
        <w:ind w:left="0" w:leftChars="0" w:right="0" w:firstLine="628" w:firstLineChars="200"/>
        <w:jc w:val="both"/>
        <w:textAlignment w:val="auto"/>
        <w:rPr>
          <w:rFonts w:hint="eastAsia" w:ascii="仿宋" w:hAnsi="仿宋" w:eastAsia="仿宋" w:cs="仿宋"/>
          <w:color w:val="000000" w:themeColor="text1"/>
          <w:spacing w:val="-3"/>
          <w:sz w:val="32"/>
          <w:szCs w:val="32"/>
          <w:highlight w:val="none"/>
          <w:lang w:val="en-US" w:eastAsia="zh-CN"/>
          <w14:textFill>
            <w14:solidFill>
              <w14:schemeClr w14:val="tx1"/>
            </w14:solidFill>
          </w14:textFill>
        </w:rPr>
      </w:pPr>
      <w:r>
        <w:rPr>
          <w:rFonts w:hint="eastAsia" w:ascii="仿宋" w:hAnsi="仿宋" w:eastAsia="仿宋" w:cs="仿宋"/>
          <w:color w:val="000000" w:themeColor="text1"/>
          <w:spacing w:val="-3"/>
          <w:sz w:val="32"/>
          <w:szCs w:val="32"/>
          <w:highlight w:val="none"/>
          <w14:textFill>
            <w14:solidFill>
              <w14:schemeClr w14:val="tx1"/>
            </w14:solidFill>
          </w14:textFill>
        </w:rPr>
        <w:t>乡村建设行动</w:t>
      </w:r>
      <w:r>
        <w:rPr>
          <w:rFonts w:hint="eastAsia" w:ascii="仿宋" w:hAnsi="仿宋" w:eastAsia="仿宋" w:cs="仿宋"/>
          <w:color w:val="000000" w:themeColor="text1"/>
          <w:spacing w:val="-3"/>
          <w:sz w:val="32"/>
          <w:szCs w:val="32"/>
          <w:highlight w:val="none"/>
          <w:lang w:val="en-US" w:eastAsia="zh-CN"/>
          <w14:textFill>
            <w14:solidFill>
              <w14:schemeClr w14:val="tx1"/>
            </w14:solidFill>
          </w14:textFill>
        </w:rPr>
        <w:t>类</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1.7 项目建设内容</w:t>
      </w:r>
    </w:p>
    <w:p>
      <w:pPr>
        <w:pStyle w:val="11"/>
        <w:keepNext w:val="0"/>
        <w:keepLines w:val="0"/>
        <w:pageBreakBefore w:val="0"/>
        <w:widowControl w:val="0"/>
        <w:kinsoku/>
        <w:wordWrap/>
        <w:overflowPunct/>
        <w:topLinePunct w:val="0"/>
        <w:bidi w:val="0"/>
        <w:snapToGrid/>
        <w:spacing w:line="600" w:lineRule="exact"/>
        <w:ind w:left="0" w:leftChars="0" w:right="0" w:firstLine="608" w:firstLineChars="200"/>
        <w:jc w:val="both"/>
        <w:textAlignment w:val="auto"/>
        <w:rPr>
          <w:rFonts w:hint="eastAsia" w:ascii="仿宋" w:hAnsi="仿宋" w:eastAsia="仿宋" w:cs="仿宋"/>
          <w:color w:val="000000" w:themeColor="text1"/>
          <w:spacing w:val="-6"/>
          <w:sz w:val="32"/>
          <w:szCs w:val="32"/>
          <w:highlight w:val="none"/>
          <w14:textFill>
            <w14:solidFill>
              <w14:schemeClr w14:val="tx1"/>
            </w14:solidFill>
          </w14:textFill>
        </w:rPr>
      </w:pPr>
      <w:r>
        <w:rPr>
          <w:rFonts w:hint="eastAsia" w:ascii="仿宋" w:hAnsi="仿宋" w:eastAsia="仿宋" w:cs="仿宋"/>
          <w:color w:val="000000" w:themeColor="text1"/>
          <w:spacing w:val="-8"/>
          <w:sz w:val="32"/>
          <w:szCs w:val="32"/>
          <w:highlight w:val="none"/>
          <w:lang w:val="en-US" w:eastAsia="zh-CN"/>
          <w14:textFill>
            <w14:solidFill>
              <w14:schemeClr w14:val="tx1"/>
            </w14:solidFill>
          </w14:textFill>
        </w:rPr>
        <w:t>投资395万元，</w:t>
      </w:r>
      <w:r>
        <w:rPr>
          <w:rFonts w:hint="eastAsia" w:ascii="仿宋" w:hAnsi="仿宋" w:eastAsia="仿宋" w:cs="仿宋"/>
          <w:color w:val="000000" w:themeColor="text1"/>
          <w:spacing w:val="-8"/>
          <w:sz w:val="32"/>
          <w:szCs w:val="32"/>
          <w:highlight w:val="none"/>
          <w:lang w:eastAsia="zh-CN"/>
          <w14:textFill>
            <w14:solidFill>
              <w14:schemeClr w14:val="tx1"/>
            </w14:solidFill>
          </w14:textFill>
        </w:rPr>
        <w:t>新建道路6.338公里，配套相关附属设施</w:t>
      </w:r>
    </w:p>
    <w:p>
      <w:pPr>
        <w:pStyle w:val="11"/>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 xml:space="preserve">1.8 </w:t>
      </w:r>
      <w:r>
        <w:rPr>
          <w:rFonts w:hint="eastAsia" w:ascii="仿宋" w:hAnsi="仿宋" w:eastAsia="仿宋" w:cs="仿宋"/>
          <w:color w:val="000000" w:themeColor="text1"/>
          <w:spacing w:val="-9"/>
          <w:sz w:val="32"/>
          <w:szCs w:val="32"/>
          <w:highlight w:val="none"/>
          <w14:textOutline w14:w="5094" w14:cap="flat" w14:cmpd="sng">
            <w14:solidFill>
              <w14:srgbClr w14:val="000000"/>
            </w14:solidFill>
            <w14:prstDash w14:val="solid"/>
            <w14:miter w14:val="0"/>
          </w14:textOutline>
          <w14:textFill>
            <w14:solidFill>
              <w14:schemeClr w14:val="tx1"/>
            </w14:solidFill>
          </w14:textFill>
        </w:rPr>
        <w:t>项目投资规模</w:t>
      </w:r>
    </w:p>
    <w:p>
      <w:pPr>
        <w:pStyle w:val="11"/>
        <w:keepNext w:val="0"/>
        <w:keepLines w:val="0"/>
        <w:pageBreakBefore w:val="0"/>
        <w:widowControl w:val="0"/>
        <w:kinsoku/>
        <w:wordWrap/>
        <w:overflowPunct/>
        <w:topLinePunct w:val="0"/>
        <w:bidi w:val="0"/>
        <w:snapToGrid/>
        <w:spacing w:line="560" w:lineRule="exact"/>
        <w:ind w:left="0" w:leftChars="0" w:firstLine="616"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pacing w:val="-6"/>
          <w:sz w:val="32"/>
          <w:szCs w:val="32"/>
          <w:highlight w:val="none"/>
          <w14:textFill>
            <w14:solidFill>
              <w14:schemeClr w14:val="tx1"/>
            </w14:solidFill>
          </w14:textFill>
        </w:rPr>
        <w:t>总投资</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395</w:t>
      </w:r>
      <w:r>
        <w:rPr>
          <w:rFonts w:hint="eastAsia" w:ascii="仿宋" w:hAnsi="仿宋" w:eastAsia="仿宋" w:cs="仿宋"/>
          <w:color w:val="000000" w:themeColor="text1"/>
          <w:spacing w:val="-3"/>
          <w:sz w:val="32"/>
          <w:szCs w:val="32"/>
          <w:highlight w:val="none"/>
          <w14:textFill>
            <w14:solidFill>
              <w14:schemeClr w14:val="tx1"/>
            </w14:solidFill>
          </w14:textFill>
        </w:rPr>
        <w:t>万元，</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其中劳务报酬占总投资2</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26</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％(劳务报酬总金额</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84</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万元，预计带动当地群众务工人数</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72</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人)，资金来源为</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中央财政衔接推进乡村振兴补助资金（以工代赈任务）</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w:t>
      </w:r>
    </w:p>
    <w:p>
      <w:pPr>
        <w:pStyle w:val="11"/>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1.9 项目建设期限</w:t>
      </w:r>
    </w:p>
    <w:p>
      <w:pPr>
        <w:keepNext w:val="0"/>
        <w:keepLines w:val="0"/>
        <w:pageBreakBefore w:val="0"/>
        <w:widowControl w:val="0"/>
        <w:kinsoku/>
        <w:wordWrap/>
        <w:overflowPunct/>
        <w:topLinePunct w:val="0"/>
        <w:bidi w:val="0"/>
        <w:snapToGrid/>
        <w:spacing w:line="600" w:lineRule="exact"/>
        <w:ind w:left="0" w:right="0" w:firstLine="520"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pacing w:val="-30"/>
          <w:sz w:val="32"/>
          <w:szCs w:val="32"/>
          <w:highlight w:val="none"/>
          <w14:textFill>
            <w14:solidFill>
              <w14:schemeClr w14:val="tx1"/>
            </w14:solidFill>
          </w14:textFill>
        </w:rPr>
        <w:t>本</w:t>
      </w:r>
      <w:r>
        <w:rPr>
          <w:rFonts w:hint="eastAsia" w:ascii="仿宋" w:hAnsi="仿宋" w:eastAsia="仿宋" w:cs="仿宋"/>
          <w:color w:val="000000" w:themeColor="text1"/>
          <w:spacing w:val="-21"/>
          <w:sz w:val="32"/>
          <w:szCs w:val="32"/>
          <w:highlight w:val="none"/>
          <w14:textFill>
            <w14:solidFill>
              <w14:schemeClr w14:val="tx1"/>
            </w14:solidFill>
          </w14:textFill>
        </w:rPr>
        <w:t>项</w:t>
      </w:r>
      <w:r>
        <w:rPr>
          <w:rFonts w:hint="eastAsia" w:ascii="仿宋" w:hAnsi="仿宋" w:eastAsia="仿宋" w:cs="仿宋"/>
          <w:color w:val="000000" w:themeColor="text1"/>
          <w:spacing w:val="-15"/>
          <w:sz w:val="32"/>
          <w:szCs w:val="32"/>
          <w:highlight w:val="none"/>
          <w14:textFill>
            <w14:solidFill>
              <w14:schemeClr w14:val="tx1"/>
            </w14:solidFill>
          </w14:textFill>
        </w:rPr>
        <w:t>目建设起止年限202</w:t>
      </w:r>
      <w:r>
        <w:rPr>
          <w:rFonts w:hint="eastAsia" w:ascii="仿宋" w:hAnsi="仿宋" w:eastAsia="仿宋" w:cs="仿宋"/>
          <w:color w:val="000000" w:themeColor="text1"/>
          <w:spacing w:val="-15"/>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pacing w:val="-15"/>
          <w:sz w:val="32"/>
          <w:szCs w:val="32"/>
          <w:highlight w:val="none"/>
          <w14:textFill>
            <w14:solidFill>
              <w14:schemeClr w14:val="tx1"/>
            </w14:solidFill>
          </w14:textFill>
        </w:rPr>
        <w:t>年</w:t>
      </w:r>
      <w:r>
        <w:rPr>
          <w:rFonts w:hint="eastAsia" w:ascii="仿宋" w:hAnsi="仿宋" w:eastAsia="仿宋" w:cs="仿宋"/>
          <w:color w:val="000000" w:themeColor="text1"/>
          <w:spacing w:val="-15"/>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pacing w:val="-15"/>
          <w:sz w:val="32"/>
          <w:szCs w:val="32"/>
          <w:highlight w:val="none"/>
          <w14:textFill>
            <w14:solidFill>
              <w14:schemeClr w14:val="tx1"/>
            </w14:solidFill>
          </w14:textFill>
        </w:rPr>
        <w:t>月-202</w:t>
      </w:r>
      <w:r>
        <w:rPr>
          <w:rFonts w:hint="eastAsia" w:ascii="仿宋" w:hAnsi="仿宋" w:eastAsia="仿宋" w:cs="仿宋"/>
          <w:color w:val="000000" w:themeColor="text1"/>
          <w:spacing w:val="-15"/>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pacing w:val="-15"/>
          <w:sz w:val="32"/>
          <w:szCs w:val="32"/>
          <w:highlight w:val="none"/>
          <w14:textFill>
            <w14:solidFill>
              <w14:schemeClr w14:val="tx1"/>
            </w14:solidFill>
          </w14:textFill>
        </w:rPr>
        <w:t>年</w:t>
      </w:r>
      <w:r>
        <w:rPr>
          <w:rFonts w:hint="eastAsia" w:ascii="仿宋" w:hAnsi="仿宋" w:eastAsia="仿宋" w:cs="仿宋"/>
          <w:color w:val="000000" w:themeColor="text1"/>
          <w:spacing w:val="-15"/>
          <w:sz w:val="32"/>
          <w:szCs w:val="32"/>
          <w:highlight w:val="none"/>
          <w:lang w:val="en-US" w:eastAsia="zh-CN"/>
          <w14:textFill>
            <w14:solidFill>
              <w14:schemeClr w14:val="tx1"/>
            </w14:solidFill>
          </w14:textFill>
        </w:rPr>
        <w:t>6</w:t>
      </w:r>
      <w:r>
        <w:rPr>
          <w:rFonts w:hint="eastAsia" w:ascii="仿宋" w:hAnsi="仿宋" w:eastAsia="仿宋" w:cs="仿宋"/>
          <w:color w:val="000000" w:themeColor="text1"/>
          <w:spacing w:val="-15"/>
          <w:sz w:val="32"/>
          <w:szCs w:val="32"/>
          <w:highlight w:val="none"/>
          <w14:textFill>
            <w14:solidFill>
              <w14:schemeClr w14:val="tx1"/>
            </w14:solidFill>
          </w14:textFill>
        </w:rPr>
        <w:t>月</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1.</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10</w:t>
      </w:r>
      <w:r>
        <w:rPr>
          <w:rFonts w:hint="eastAsia" w:ascii="仿宋" w:hAnsi="仿宋" w:eastAsia="仿宋" w:cs="仿宋"/>
          <w:b/>
          <w:bCs/>
          <w:color w:val="000000" w:themeColor="text1"/>
          <w:sz w:val="32"/>
          <w:szCs w:val="32"/>
          <w:highlight w:val="none"/>
          <w14:textFill>
            <w14:solidFill>
              <w14:schemeClr w14:val="tx1"/>
            </w14:solidFill>
          </w14:textFill>
        </w:rPr>
        <w:t>项目建设地点及基本情况</w:t>
      </w:r>
    </w:p>
    <w:p>
      <w:pPr>
        <w:keepNext w:val="0"/>
        <w:keepLines w:val="0"/>
        <w:pageBreakBefore w:val="0"/>
        <w:widowControl w:val="0"/>
        <w:kinsoku/>
        <w:wordWrap/>
        <w:overflowPunct/>
        <w:topLinePunct w:val="0"/>
        <w:bidi w:val="0"/>
        <w:snapToGrid/>
        <w:spacing w:line="600" w:lineRule="exact"/>
        <w:ind w:left="0" w:right="0" w:firstLine="616" w:firstLineChars="200"/>
        <w:jc w:val="both"/>
        <w:textAlignment w:val="auto"/>
        <w:rPr>
          <w:rFonts w:hint="eastAsia" w:ascii="仿宋" w:hAnsi="仿宋" w:eastAsia="仿宋" w:cs="仿宋"/>
          <w:color w:val="000000" w:themeColor="text1"/>
          <w:spacing w:val="-3"/>
          <w:sz w:val="32"/>
          <w:szCs w:val="32"/>
          <w:highlight w:val="none"/>
          <w14:textFill>
            <w14:solidFill>
              <w14:schemeClr w14:val="tx1"/>
            </w14:solidFill>
          </w14:textFill>
        </w:rPr>
      </w:pPr>
      <w:r>
        <w:rPr>
          <w:rFonts w:hint="eastAsia" w:ascii="仿宋" w:hAnsi="仿宋" w:eastAsia="仿宋" w:cs="仿宋"/>
          <w:color w:val="000000" w:themeColor="text1"/>
          <w:spacing w:val="-6"/>
          <w:sz w:val="32"/>
          <w:szCs w:val="32"/>
          <w:highlight w:val="none"/>
          <w14:textFill>
            <w14:solidFill>
              <w14:schemeClr w14:val="tx1"/>
            </w14:solidFill>
          </w14:textFill>
        </w:rPr>
        <w:t>本项目</w:t>
      </w:r>
      <w:r>
        <w:rPr>
          <w:rFonts w:hint="eastAsia" w:ascii="仿宋" w:hAnsi="仿宋" w:eastAsia="仿宋" w:cs="仿宋"/>
          <w:color w:val="000000" w:themeColor="text1"/>
          <w:spacing w:val="-3"/>
          <w:sz w:val="32"/>
          <w:szCs w:val="32"/>
          <w:highlight w:val="none"/>
          <w14:textFill>
            <w14:solidFill>
              <w14:schemeClr w14:val="tx1"/>
            </w14:solidFill>
          </w14:textFill>
        </w:rPr>
        <w:t>道路位于喀什地区巴楚县</w:t>
      </w:r>
      <w:r>
        <w:rPr>
          <w:rFonts w:hint="eastAsia" w:ascii="仿宋" w:hAnsi="仿宋" w:eastAsia="仿宋" w:cs="仿宋"/>
          <w:color w:val="000000" w:themeColor="text1"/>
          <w:spacing w:val="-3"/>
          <w:sz w:val="32"/>
          <w:szCs w:val="32"/>
          <w:highlight w:val="none"/>
          <w:lang w:val="en-US" w:eastAsia="zh-CN"/>
          <w14:textFill>
            <w14:solidFill>
              <w14:schemeClr w14:val="tx1"/>
            </w14:solidFill>
          </w14:textFill>
        </w:rPr>
        <w:t>阿瓦提镇</w:t>
      </w:r>
      <w:r>
        <w:rPr>
          <w:rFonts w:hint="eastAsia" w:ascii="仿宋" w:hAnsi="仿宋" w:eastAsia="仿宋" w:cs="仿宋"/>
          <w:color w:val="000000" w:themeColor="text1"/>
          <w:spacing w:val="-3"/>
          <w:sz w:val="32"/>
          <w:szCs w:val="32"/>
          <w:highlight w:val="none"/>
          <w14:textFill>
            <w14:solidFill>
              <w14:schemeClr w14:val="tx1"/>
            </w14:solidFill>
          </w14:textFill>
        </w:rPr>
        <w:t>境内。</w:t>
      </w:r>
    </w:p>
    <w:p>
      <w:pPr>
        <w:keepNext w:val="0"/>
        <w:keepLines w:val="0"/>
        <w:pageBreakBefore w:val="0"/>
        <w:widowControl w:val="0"/>
        <w:kinsoku/>
        <w:wordWrap/>
        <w:overflowPunct/>
        <w:topLinePunct w:val="0"/>
        <w:bidi w:val="0"/>
        <w:snapToGrid/>
        <w:spacing w:line="600" w:lineRule="exact"/>
        <w:ind w:left="0" w:right="0" w:firstLine="648" w:firstLineChars="200"/>
        <w:jc w:val="both"/>
        <w:textAlignment w:val="auto"/>
        <w:rPr>
          <w:rFonts w:hint="eastAsia" w:ascii="仿宋" w:hAnsi="仿宋" w:eastAsia="仿宋" w:cs="仿宋"/>
          <w:color w:val="000000" w:themeColor="text1"/>
          <w:spacing w:val="2"/>
          <w:sz w:val="32"/>
          <w:szCs w:val="32"/>
          <w:highlight w:val="none"/>
          <w14:textFill>
            <w14:solidFill>
              <w14:schemeClr w14:val="tx1"/>
            </w14:solidFill>
          </w14:textFill>
        </w:rPr>
      </w:pPr>
      <w:r>
        <w:rPr>
          <w:rFonts w:hint="eastAsia" w:ascii="仿宋" w:hAnsi="仿宋" w:eastAsia="仿宋" w:cs="仿宋"/>
          <w:color w:val="000000" w:themeColor="text1"/>
          <w:spacing w:val="2"/>
          <w:sz w:val="32"/>
          <w:szCs w:val="32"/>
          <w:highlight w:val="none"/>
          <w:lang w:val="en-US" w:eastAsia="zh-CN"/>
          <w14:textFill>
            <w14:solidFill>
              <w14:schemeClr w14:val="tx1"/>
            </w14:solidFill>
          </w14:textFill>
        </w:rPr>
        <w:t>本</w:t>
      </w:r>
      <w:r>
        <w:rPr>
          <w:rFonts w:hint="eastAsia" w:ascii="仿宋" w:hAnsi="仿宋" w:eastAsia="仿宋" w:cs="仿宋"/>
          <w:color w:val="000000" w:themeColor="text1"/>
          <w:spacing w:val="2"/>
          <w:sz w:val="32"/>
          <w:szCs w:val="32"/>
          <w:highlight w:val="none"/>
          <w14:textFill>
            <w14:solidFill>
              <w14:schemeClr w14:val="tx1"/>
            </w14:solidFill>
          </w14:textFill>
        </w:rPr>
        <w:t>项目路线分</w:t>
      </w:r>
      <w:r>
        <w:rPr>
          <w:rFonts w:hint="eastAsia" w:ascii="仿宋" w:hAnsi="仿宋" w:eastAsia="仿宋" w:cs="仿宋"/>
          <w:color w:val="000000" w:themeColor="text1"/>
          <w:spacing w:val="1"/>
          <w:sz w:val="32"/>
          <w:szCs w:val="32"/>
          <w:highlight w:val="none"/>
          <w14:textFill>
            <w14:solidFill>
              <w14:schemeClr w14:val="tx1"/>
            </w14:solidFill>
          </w14:textFill>
        </w:rPr>
        <w:t>布于巴楚县</w:t>
      </w:r>
      <w:r>
        <w:rPr>
          <w:rFonts w:hint="eastAsia" w:ascii="仿宋" w:hAnsi="仿宋" w:eastAsia="仿宋" w:cs="仿宋"/>
          <w:color w:val="000000" w:themeColor="text1"/>
          <w:spacing w:val="-3"/>
          <w:sz w:val="32"/>
          <w:szCs w:val="32"/>
          <w:highlight w:val="none"/>
          <w:lang w:val="en-US" w:eastAsia="zh-CN"/>
          <w14:textFill>
            <w14:solidFill>
              <w14:schemeClr w14:val="tx1"/>
            </w14:solidFill>
          </w14:textFill>
        </w:rPr>
        <w:t>阿瓦提镇</w:t>
      </w:r>
      <w:r>
        <w:rPr>
          <w:rFonts w:hint="eastAsia" w:ascii="仿宋" w:hAnsi="仿宋" w:eastAsia="仿宋" w:cs="仿宋"/>
          <w:color w:val="000000" w:themeColor="text1"/>
          <w:spacing w:val="1"/>
          <w:sz w:val="32"/>
          <w:szCs w:val="32"/>
          <w:highlight w:val="none"/>
          <w14:textFill>
            <w14:solidFill>
              <w14:schemeClr w14:val="tx1"/>
            </w14:solidFill>
          </w14:textFill>
        </w:rPr>
        <w:t>内，路线全长</w:t>
      </w:r>
      <w:r>
        <w:rPr>
          <w:rFonts w:hint="eastAsia" w:ascii="仿宋" w:hAnsi="仿宋" w:eastAsia="仿宋" w:cs="仿宋"/>
          <w:color w:val="000000" w:themeColor="text1"/>
          <w:spacing w:val="1"/>
          <w:sz w:val="32"/>
          <w:szCs w:val="32"/>
          <w:highlight w:val="none"/>
          <w:lang w:val="en-US" w:eastAsia="zh-CN"/>
          <w14:textFill>
            <w14:solidFill>
              <w14:schemeClr w14:val="tx1"/>
            </w14:solidFill>
          </w14:textFill>
        </w:rPr>
        <w:t>6.338</w:t>
      </w:r>
      <w:r>
        <w:rPr>
          <w:rFonts w:hint="eastAsia" w:ascii="仿宋" w:hAnsi="仿宋" w:eastAsia="仿宋" w:cs="仿宋"/>
          <w:color w:val="000000" w:themeColor="text1"/>
          <w:sz w:val="32"/>
          <w:szCs w:val="32"/>
          <w:highlight w:val="none"/>
          <w14:textFill>
            <w14:solidFill>
              <w14:schemeClr w14:val="tx1"/>
            </w14:solidFill>
          </w14:textFill>
        </w:rPr>
        <w:t>km</w:t>
      </w:r>
      <w:r>
        <w:rPr>
          <w:rFonts w:hint="eastAsia" w:ascii="仿宋" w:hAnsi="仿宋" w:eastAsia="仿宋" w:cs="仿宋"/>
          <w:color w:val="000000" w:themeColor="text1"/>
          <w:spacing w:val="1"/>
          <w:sz w:val="32"/>
          <w:szCs w:val="32"/>
          <w:highlight w:val="none"/>
          <w14:textFill>
            <w14:solidFill>
              <w14:schemeClr w14:val="tx1"/>
            </w14:solidFill>
          </w14:textFill>
        </w:rPr>
        <w:t>。</w:t>
      </w:r>
      <w:r>
        <w:rPr>
          <w:rFonts w:hint="eastAsia" w:ascii="仿宋" w:hAnsi="仿宋" w:eastAsia="仿宋" w:cs="仿宋"/>
          <w:color w:val="000000" w:themeColor="text1"/>
          <w:spacing w:val="-6"/>
          <w:sz w:val="32"/>
          <w:szCs w:val="32"/>
          <w:highlight w:val="none"/>
          <w14:textFill>
            <w14:solidFill>
              <w14:schemeClr w14:val="tx1"/>
            </w14:solidFill>
          </w14:textFill>
        </w:rPr>
        <w:t>设计</w:t>
      </w:r>
      <w:r>
        <w:rPr>
          <w:rFonts w:hint="eastAsia" w:ascii="仿宋" w:hAnsi="仿宋" w:eastAsia="仿宋" w:cs="仿宋"/>
          <w:color w:val="000000" w:themeColor="text1"/>
          <w:spacing w:val="-3"/>
          <w:sz w:val="32"/>
          <w:szCs w:val="32"/>
          <w:highlight w:val="none"/>
          <w14:textFill>
            <w14:solidFill>
              <w14:schemeClr w14:val="tx1"/>
            </w14:solidFill>
          </w14:textFill>
        </w:rPr>
        <w:t>等级为四级，设计速度20km/h，路面类</w:t>
      </w:r>
      <w:r>
        <w:rPr>
          <w:rFonts w:hint="eastAsia" w:ascii="仿宋" w:hAnsi="仿宋" w:eastAsia="仿宋" w:cs="仿宋"/>
          <w:color w:val="000000" w:themeColor="text1"/>
          <w:spacing w:val="2"/>
          <w:sz w:val="32"/>
          <w:szCs w:val="32"/>
          <w:highlight w:val="none"/>
          <w14:textFill>
            <w14:solidFill>
              <w14:schemeClr w14:val="tx1"/>
            </w14:solidFill>
          </w14:textFill>
        </w:rPr>
        <w:t>型为沥青混凝土路面(</w:t>
      </w:r>
      <w:r>
        <w:rPr>
          <w:rFonts w:hint="eastAsia" w:ascii="仿宋" w:hAnsi="仿宋" w:eastAsia="仿宋" w:cs="仿宋"/>
          <w:color w:val="000000" w:themeColor="text1"/>
          <w:spacing w:val="2"/>
          <w:sz w:val="32"/>
          <w:szCs w:val="32"/>
          <w:highlight w:val="none"/>
          <w:lang w:val="en-US" w:eastAsia="zh-CN"/>
          <w14:textFill>
            <w14:solidFill>
              <w14:schemeClr w14:val="tx1"/>
            </w14:solidFill>
          </w14:textFill>
        </w:rPr>
        <w:t>4cmAC-16中粒式沥青混凝土+下封层+15cm砂砾基层+18cm天然砂砾底基层</w:t>
      </w:r>
      <w:r>
        <w:rPr>
          <w:rFonts w:hint="eastAsia" w:ascii="仿宋" w:hAnsi="仿宋" w:eastAsia="仿宋" w:cs="仿宋"/>
          <w:color w:val="000000" w:themeColor="text1"/>
          <w:spacing w:val="2"/>
          <w:sz w:val="32"/>
          <w:szCs w:val="32"/>
          <w:highlight w:val="none"/>
          <w14:textFill>
            <w14:solidFill>
              <w14:schemeClr w14:val="tx1"/>
            </w14:solidFill>
          </w14:textFill>
        </w:rPr>
        <w:t>)。</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2.项目立项情况</w:t>
      </w:r>
    </w:p>
    <w:p>
      <w:pPr>
        <w:pStyle w:val="12"/>
        <w:keepNext w:val="0"/>
        <w:keepLines w:val="0"/>
        <w:pageBreakBefore w:val="0"/>
        <w:widowControl w:val="0"/>
        <w:kinsoku/>
        <w:wordWrap/>
        <w:overflowPunct/>
        <w:topLinePunct w:val="0"/>
        <w:autoSpaceDE/>
        <w:autoSpaceDN/>
        <w:bidi w:val="0"/>
        <w:snapToGrid/>
        <w:spacing w:line="560" w:lineRule="exact"/>
        <w:ind w:left="0" w:leftChars="0" w:right="0" w:firstLine="643" w:firstLineChars="200"/>
        <w:jc w:val="both"/>
        <w:textAlignment w:val="auto"/>
        <w:outlineLvl w:val="0"/>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2.1项目建设依据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8" w:firstLineChars="200"/>
        <w:jc w:val="both"/>
        <w:textAlignment w:val="auto"/>
        <w:outlineLvl w:val="9"/>
        <w:rPr>
          <w:rFonts w:hint="eastAsia" w:ascii="仿宋" w:hAnsi="仿宋" w:eastAsia="仿宋" w:cs="仿宋"/>
          <w:color w:val="000000" w:themeColor="text1"/>
          <w:spacing w:val="2"/>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pacing w:val="2"/>
          <w:kern w:val="2"/>
          <w:sz w:val="32"/>
          <w:szCs w:val="32"/>
          <w:highlight w:val="none"/>
          <w:lang w:val="en-US" w:eastAsia="zh-CN" w:bidi="ar-SA"/>
          <w14:textFill>
            <w14:solidFill>
              <w14:schemeClr w14:val="tx1"/>
            </w14:solidFill>
          </w14:textFill>
        </w:rPr>
        <w:t>农村公路是与农村、农业和农民关系最为直接的公共基础设施之一，农村公路占地方公路网总里程的大部分，数量大、覆盖面广，它对加强城乡联系，促进农村地区的资源开发，疏通和扩大农产品信息交流渠道，改善农村投资环境，转变人们的思想观念，促进小城镇建设等都具有十分重要的意义。</w:t>
      </w:r>
    </w:p>
    <w:p>
      <w:pPr>
        <w:autoSpaceDE/>
        <w:autoSpaceDN/>
        <w:adjustRightInd w:val="0"/>
        <w:snapToGrid w:val="0"/>
        <w:spacing w:line="360" w:lineRule="auto"/>
        <w:ind w:firstLine="648" w:firstLineChars="200"/>
        <w:jc w:val="both"/>
        <w:outlineLvl w:val="9"/>
        <w:rPr>
          <w:rFonts w:hint="eastAsia" w:ascii="仿宋" w:hAnsi="仿宋" w:eastAsia="仿宋" w:cs="仿宋"/>
          <w:color w:val="000000" w:themeColor="text1"/>
          <w:spacing w:val="2"/>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pacing w:val="2"/>
          <w:kern w:val="2"/>
          <w:sz w:val="32"/>
          <w:szCs w:val="32"/>
          <w:highlight w:val="none"/>
          <w:lang w:val="en-US" w:eastAsia="zh-CN" w:bidi="ar-SA"/>
          <w14:textFill>
            <w14:solidFill>
              <w14:schemeClr w14:val="tx1"/>
            </w14:solidFill>
          </w14:textFill>
        </w:rPr>
        <w:t>近年来，巴楚县经济社会发展有了质的飞跃，所辖村镇汽车保有量、物流、客流急剧增加，由此形成了在促进农村物流发展和经济不断繁荣的同时，道路交通流量大和基建设施不完善、管理相对落后之间的矛盾凸显。乡村要振兴，交通须先行。巴楚县乡村道路建设力度不断加大，区域内农村公路已变得四通八达。但由于部分农村地处偏远，农村公路存在着“等级低、路面窄、弯度大、隐患多”等问题；因多年失修维护，现今路面破损严重，坑洼不平，给村路交通带来了很大的安全隐患；交通基础设施的薄弱，极大的限制了当地群众的出行，已不能适应巴楚县农村社会经济发展及人民群众对美好生活需要。</w:t>
      </w:r>
    </w:p>
    <w:p>
      <w:pPr>
        <w:autoSpaceDE/>
        <w:autoSpaceDN/>
        <w:adjustRightInd w:val="0"/>
        <w:snapToGrid w:val="0"/>
        <w:spacing w:line="360" w:lineRule="auto"/>
        <w:ind w:firstLine="648" w:firstLineChars="200"/>
        <w:jc w:val="both"/>
        <w:outlineLvl w:val="9"/>
        <w:rPr>
          <w:rFonts w:hint="eastAsia" w:ascii="仿宋" w:hAnsi="仿宋" w:eastAsia="仿宋" w:cs="仿宋"/>
          <w:color w:val="000000" w:themeColor="text1"/>
          <w:spacing w:val="2"/>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pacing w:val="2"/>
          <w:kern w:val="2"/>
          <w:sz w:val="32"/>
          <w:szCs w:val="32"/>
          <w:highlight w:val="none"/>
          <w:lang w:val="en-US" w:eastAsia="zh-CN" w:bidi="ar-SA"/>
          <w14:textFill>
            <w14:solidFill>
              <w14:schemeClr w14:val="tx1"/>
            </w14:solidFill>
          </w14:textFill>
        </w:rPr>
        <w:t>巴楚县2024年村组道路建设项目，将进一步完善乡镇、村庄的农村公路网络，提高巴楚县农村道路的级别及通行能力，优化道路行车安全，改善村民的出行条件，从而提高农民的幸福感和获得感，为巴楚县实现乡村振兴战略、全面建成小康社会奠定坚实的基础。</w:t>
      </w:r>
    </w:p>
    <w:p>
      <w:pPr>
        <w:autoSpaceDE/>
        <w:autoSpaceDN/>
        <w:adjustRightInd w:val="0"/>
        <w:snapToGrid w:val="0"/>
        <w:spacing w:line="360" w:lineRule="auto"/>
        <w:ind w:firstLine="643" w:firstLineChars="200"/>
        <w:jc w:val="both"/>
        <w:outlineLvl w:val="9"/>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2.2立项批复的建设内容及规模</w:t>
      </w:r>
    </w:p>
    <w:p>
      <w:pPr>
        <w:pStyle w:val="11"/>
        <w:keepNext w:val="0"/>
        <w:keepLines w:val="0"/>
        <w:pageBreakBefore w:val="0"/>
        <w:widowControl w:val="0"/>
        <w:kinsoku/>
        <w:wordWrap/>
        <w:overflowPunct/>
        <w:topLinePunct w:val="0"/>
        <w:bidi w:val="0"/>
        <w:snapToGrid/>
        <w:spacing w:line="560" w:lineRule="exact"/>
        <w:ind w:left="0" w:leftChars="0" w:firstLine="616"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巴楚县阿瓦提镇2024年中央财政以工代赈项目经巴楚县发展和改革委员会以巴发改项目〔2024〕12号批准建设，投资395万元，</w:t>
      </w:r>
      <w:r>
        <w:rPr>
          <w:rFonts w:hint="eastAsia" w:ascii="仿宋" w:hAnsi="仿宋" w:eastAsia="仿宋" w:cs="仿宋"/>
          <w:color w:val="000000" w:themeColor="text1"/>
          <w:spacing w:val="-6"/>
          <w:sz w:val="32"/>
          <w:szCs w:val="32"/>
          <w:highlight w:val="none"/>
          <w14:textFill>
            <w14:solidFill>
              <w14:schemeClr w14:val="tx1"/>
            </w14:solidFill>
          </w14:textFill>
        </w:rPr>
        <w:t>新建道路6.338公里，配套相关附属设施。</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其中劳务报酬占总投资21.</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26</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％(劳务报酬总金额</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84</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万元，预计带动当地群众务工人数</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72</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人)，资金来源为</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中央财政衔接推进乡村振兴补助资金（以工代赈任务）</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2.3项目建设的必要性和可行性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仿宋"/>
          <w:color w:val="000000" w:themeColor="text1"/>
          <w:kern w:val="0"/>
          <w:sz w:val="32"/>
          <w:szCs w:val="32"/>
          <w:highlight w:val="none"/>
          <w14:textFill>
            <w14:solidFill>
              <w14:schemeClr w14:val="tx1"/>
            </w14:solidFill>
          </w14:textFill>
        </w:rPr>
        <w:t>项目的建设是改善人居环境的需要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创建整洁、舒适、文明的生活环境，大力加强农村人居环境治理，切实改变农村脏乱差的落后状况是农民的迫切要求和强烈愿望，也是乡村振兴紧迫而现实的任务。</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巴楚县农村</w:t>
      </w:r>
      <w:r>
        <w:rPr>
          <w:rFonts w:hint="eastAsia" w:ascii="仿宋" w:hAnsi="仿宋" w:eastAsia="仿宋" w:cs="仿宋"/>
          <w:color w:val="000000" w:themeColor="text1"/>
          <w:kern w:val="0"/>
          <w:sz w:val="32"/>
          <w:szCs w:val="32"/>
          <w:highlight w:val="none"/>
          <w14:textFill>
            <w14:solidFill>
              <w14:schemeClr w14:val="tx1"/>
            </w14:solidFill>
          </w14:textFill>
        </w:rPr>
        <w:t>道路过去因年久失修，出现路面破损、凹陷、沉降等不同程度的</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创伤</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，给过往群众出行、村内环境等带来安全隐患和不利影响，一直让村民感觉</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堵心</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，为保障当地村民出行无忧，改善项目区整体环境，巴楚县交通运输局提出了本项目，对巴楚县乡村道路进行建设，将完善乡村路网，方便居民出行，打造美丽乡村振兴路。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项目的建设是改善村民出行条件的需要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十四五</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期间，巴楚县将加大农村基础设施建设投入，完善农村道路等基础设施，优化交通布局结构，提升设施档次，进一步改善农村生产生活条件，做好农村环境卫生整治，推行健康文明的生活方式，尽快改变农村脏乱差现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本项目通过对现有通行能力下降的</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农村</w:t>
      </w:r>
      <w:r>
        <w:rPr>
          <w:rFonts w:hint="eastAsia" w:ascii="仿宋" w:hAnsi="仿宋" w:eastAsia="仿宋" w:cs="仿宋"/>
          <w:color w:val="000000" w:themeColor="text1"/>
          <w:kern w:val="0"/>
          <w:sz w:val="32"/>
          <w:szCs w:val="32"/>
          <w:highlight w:val="none"/>
          <w14:textFill>
            <w14:solidFill>
              <w14:schemeClr w14:val="tx1"/>
            </w14:solidFill>
          </w14:textFill>
        </w:rPr>
        <w:t>道路进行建设，提升</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农村公路</w:t>
      </w:r>
      <w:r>
        <w:rPr>
          <w:rFonts w:hint="eastAsia" w:ascii="仿宋" w:hAnsi="仿宋" w:eastAsia="仿宋" w:cs="仿宋"/>
          <w:color w:val="000000" w:themeColor="text1"/>
          <w:kern w:val="0"/>
          <w:sz w:val="32"/>
          <w:szCs w:val="32"/>
          <w:highlight w:val="none"/>
          <w14:textFill>
            <w14:solidFill>
              <w14:schemeClr w14:val="tx1"/>
            </w14:solidFill>
          </w14:textFill>
        </w:rPr>
        <w:t>级别及通行能力，为项目区经济发展及群众出行提供便利条件，从而提高农民的幸福感和获得感。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14:textFill>
            <w14:solidFill>
              <w14:schemeClr w14:val="tx1"/>
            </w14:solidFill>
          </w14:textFill>
        </w:rPr>
        <w:t>项目的建设是促进巴楚县经济发展的需要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近年来，巴楚县确立了</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优林果、壮畜牧、强瓜菜、转劳务</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的农业农村经济发展思路，加大了产业结构调整力度。道路运输是巴楚县陆路交通的主要运输方式，在巴楚县农业农村经济中发挥着重要作用，农村公路承担着乡镇农副产品的运输的首要任务。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但是，由于巴楚县农村公路建设久远，路面破损严重，交通安全设施不齐全，交通环境服务能力差，严重阻碍了村内经济的发展和新农村建设的进程。本项目建成后，将提高农村公路服务能力，补齐农村路网体系的短板弱项，实现乡镇之间的协调发展，便于农村产品的输出、生活生产物资的输入，从而促进区域经济快速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因此，本项目建设是十分必要的。</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w:t>
      </w:r>
      <w:r>
        <w:rPr>
          <w:rFonts w:hint="eastAsia" w:ascii="仿宋" w:hAnsi="仿宋" w:eastAsia="仿宋" w:cs="仿宋"/>
          <w:b/>
          <w:bCs/>
          <w:color w:val="000000" w:themeColor="text1"/>
          <w:sz w:val="32"/>
          <w:szCs w:val="32"/>
          <w:highlight w:val="none"/>
          <w14:textFill>
            <w14:solidFill>
              <w14:schemeClr w14:val="tx1"/>
            </w14:solidFill>
          </w14:textFill>
        </w:rPr>
        <w:t>.投资概算和资金筹措</w:t>
      </w:r>
    </w:p>
    <w:p>
      <w:pPr>
        <w:pStyle w:val="12"/>
        <w:keepNext w:val="0"/>
        <w:keepLines w:val="0"/>
        <w:pageBreakBefore w:val="0"/>
        <w:widowControl w:val="0"/>
        <w:kinsoku/>
        <w:wordWrap/>
        <w:overflowPunct/>
        <w:topLinePunct w:val="0"/>
        <w:autoSpaceDE/>
        <w:autoSpaceDN/>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w:t>
      </w:r>
      <w:r>
        <w:rPr>
          <w:rFonts w:hint="eastAsia" w:ascii="仿宋" w:hAnsi="仿宋" w:eastAsia="仿宋" w:cs="仿宋"/>
          <w:b/>
          <w:bCs/>
          <w:color w:val="000000" w:themeColor="text1"/>
          <w:sz w:val="32"/>
          <w:szCs w:val="32"/>
          <w:highlight w:val="none"/>
          <w14:textFill>
            <w14:solidFill>
              <w14:schemeClr w14:val="tx1"/>
            </w14:solidFill>
          </w14:textFill>
        </w:rPr>
        <w:t>.1项目总投资</w:t>
      </w:r>
    </w:p>
    <w:p>
      <w:pPr>
        <w:pStyle w:val="11"/>
        <w:keepNext w:val="0"/>
        <w:keepLines w:val="0"/>
        <w:pageBreakBefore w:val="0"/>
        <w:widowControl w:val="0"/>
        <w:kinsoku/>
        <w:wordWrap/>
        <w:overflowPunct/>
        <w:topLinePunct w:val="0"/>
        <w:bidi w:val="0"/>
        <w:snapToGrid/>
        <w:spacing w:line="560" w:lineRule="exact"/>
        <w:ind w:left="0" w:leftChars="0" w:firstLine="616"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pacing w:val="-6"/>
          <w:sz w:val="32"/>
          <w:szCs w:val="32"/>
          <w:highlight w:val="none"/>
          <w14:textFill>
            <w14:solidFill>
              <w14:schemeClr w14:val="tx1"/>
            </w14:solidFill>
          </w14:textFill>
        </w:rPr>
        <w:t>总投资</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395</w:t>
      </w:r>
      <w:r>
        <w:rPr>
          <w:rFonts w:hint="eastAsia" w:ascii="仿宋" w:hAnsi="仿宋" w:eastAsia="仿宋" w:cs="仿宋"/>
          <w:color w:val="000000" w:themeColor="text1"/>
          <w:spacing w:val="-3"/>
          <w:sz w:val="32"/>
          <w:szCs w:val="32"/>
          <w:highlight w:val="none"/>
          <w14:textFill>
            <w14:solidFill>
              <w14:schemeClr w14:val="tx1"/>
            </w14:solidFill>
          </w14:textFill>
        </w:rPr>
        <w:t>万元，</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其中劳务报酬占总投资21.</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26</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％(劳务报酬总金额</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84</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万元；预计带动当地群众务工人数</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72</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人)，资金来源为</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中央财政衔接推进乡村振兴补助资金（以工代赈任务）</w:t>
      </w:r>
      <w:r>
        <w:rPr>
          <w:rFonts w:hint="eastAsia" w:ascii="仿宋" w:hAnsi="仿宋" w:eastAsia="仿宋" w:cs="仿宋"/>
          <w:color w:val="000000" w:themeColor="text1"/>
          <w:spacing w:val="-6"/>
          <w:sz w:val="32"/>
          <w:szCs w:val="32"/>
          <w:highlight w:val="none"/>
          <w:lang w:val="zh-CN" w:eastAsia="zh-CN"/>
          <w14:textFill>
            <w14:solidFill>
              <w14:schemeClr w14:val="tx1"/>
            </w14:solidFill>
          </w14:textFill>
        </w:rPr>
        <w:t>。</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color w:val="000000" w:themeColor="text1"/>
          <w:sz w:val="32"/>
          <w:szCs w:val="32"/>
          <w:highlight w:val="none"/>
          <w14:textFill>
            <w14:solidFill>
              <w14:schemeClr w14:val="tx1"/>
            </w14:solidFill>
          </w14:textFill>
        </w:rPr>
        <w:t>资金使用和管理</w:t>
      </w:r>
    </w:p>
    <w:p>
      <w:pPr>
        <w:keepNext w:val="0"/>
        <w:keepLines w:val="0"/>
        <w:pageBreakBefore w:val="0"/>
        <w:widowControl w:val="0"/>
        <w:kinsoku/>
        <w:wordWrap/>
        <w:overflowPunct/>
        <w:topLinePunct w:val="0"/>
        <w:bidi w:val="0"/>
        <w:snapToGrid/>
        <w:spacing w:line="600" w:lineRule="exact"/>
        <w:ind w:left="0" w:right="0" w:firstLine="608"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pacing w:val="-8"/>
          <w:sz w:val="32"/>
          <w:szCs w:val="32"/>
          <w:highlight w:val="none"/>
          <w14:textFill>
            <w14:solidFill>
              <w14:schemeClr w14:val="tx1"/>
            </w14:solidFill>
          </w14:textFill>
        </w:rPr>
        <w:t>因地制</w:t>
      </w:r>
      <w:r>
        <w:rPr>
          <w:rFonts w:hint="eastAsia" w:ascii="仿宋" w:hAnsi="仿宋" w:eastAsia="仿宋" w:cs="仿宋"/>
          <w:color w:val="000000" w:themeColor="text1"/>
          <w:spacing w:val="-6"/>
          <w:sz w:val="32"/>
          <w:szCs w:val="32"/>
          <w:highlight w:val="none"/>
          <w14:textFill>
            <w14:solidFill>
              <w14:schemeClr w14:val="tx1"/>
            </w14:solidFill>
          </w14:textFill>
        </w:rPr>
        <w:t>宜</w:t>
      </w:r>
      <w:r>
        <w:rPr>
          <w:rFonts w:hint="eastAsia" w:ascii="仿宋" w:hAnsi="仿宋" w:eastAsia="仿宋" w:cs="仿宋"/>
          <w:color w:val="000000" w:themeColor="text1"/>
          <w:spacing w:val="-4"/>
          <w:sz w:val="32"/>
          <w:szCs w:val="32"/>
          <w:highlight w:val="none"/>
          <w14:textFill>
            <w14:solidFill>
              <w14:schemeClr w14:val="tx1"/>
            </w14:solidFill>
          </w14:textFill>
        </w:rPr>
        <w:t>设立务工岗位，广泛组织农村低收入人口特别是群众参</w:t>
      </w:r>
      <w:r>
        <w:rPr>
          <w:rFonts w:hint="eastAsia" w:ascii="仿宋" w:hAnsi="仿宋" w:eastAsia="仿宋" w:cs="仿宋"/>
          <w:color w:val="000000" w:themeColor="text1"/>
          <w:spacing w:val="-6"/>
          <w:sz w:val="32"/>
          <w:szCs w:val="32"/>
          <w:highlight w:val="none"/>
          <w14:textFill>
            <w14:solidFill>
              <w14:schemeClr w14:val="tx1"/>
            </w14:solidFill>
          </w14:textFill>
        </w:rPr>
        <w:t>与工程建</w:t>
      </w:r>
      <w:r>
        <w:rPr>
          <w:rFonts w:hint="eastAsia" w:ascii="仿宋" w:hAnsi="仿宋" w:eastAsia="仿宋" w:cs="仿宋"/>
          <w:color w:val="000000" w:themeColor="text1"/>
          <w:spacing w:val="-5"/>
          <w:sz w:val="32"/>
          <w:szCs w:val="32"/>
          <w:highlight w:val="none"/>
          <w14:textFill>
            <w14:solidFill>
              <w14:schemeClr w14:val="tx1"/>
            </w14:solidFill>
          </w14:textFill>
        </w:rPr>
        <w:t>设</w:t>
      </w:r>
      <w:r>
        <w:rPr>
          <w:rFonts w:hint="eastAsia" w:ascii="仿宋" w:hAnsi="仿宋" w:eastAsia="仿宋" w:cs="仿宋"/>
          <w:color w:val="000000" w:themeColor="text1"/>
          <w:spacing w:val="-3"/>
          <w:sz w:val="32"/>
          <w:szCs w:val="32"/>
          <w:highlight w:val="none"/>
          <w14:textFill>
            <w14:solidFill>
              <w14:schemeClr w14:val="tx1"/>
            </w14:solidFill>
          </w14:textFill>
        </w:rPr>
        <w:t>，并按合同约定及时足额支付劳务报酬。在保证工程质量</w:t>
      </w:r>
      <w:r>
        <w:rPr>
          <w:rFonts w:hint="eastAsia" w:ascii="仿宋" w:hAnsi="仿宋" w:eastAsia="仿宋" w:cs="仿宋"/>
          <w:color w:val="000000" w:themeColor="text1"/>
          <w:spacing w:val="-6"/>
          <w:sz w:val="32"/>
          <w:szCs w:val="32"/>
          <w:highlight w:val="none"/>
          <w14:textFill>
            <w14:solidFill>
              <w14:schemeClr w14:val="tx1"/>
            </w14:solidFill>
          </w14:textFill>
        </w:rPr>
        <w:t>的前提下</w:t>
      </w:r>
      <w:r>
        <w:rPr>
          <w:rFonts w:hint="eastAsia" w:ascii="仿宋" w:hAnsi="仿宋" w:eastAsia="仿宋" w:cs="仿宋"/>
          <w:color w:val="000000" w:themeColor="text1"/>
          <w:spacing w:val="-4"/>
          <w:sz w:val="32"/>
          <w:szCs w:val="32"/>
          <w:highlight w:val="none"/>
          <w14:textFill>
            <w14:solidFill>
              <w14:schemeClr w14:val="tx1"/>
            </w14:solidFill>
          </w14:textFill>
        </w:rPr>
        <w:t>，能用人工的尽量不用机械，能动员当地群众务工的尽量不用专业施工队伍。以工代赈项目按不低于中央资金2</w:t>
      </w:r>
      <w:r>
        <w:rPr>
          <w:rFonts w:hint="eastAsia" w:ascii="仿宋" w:hAnsi="仿宋" w:eastAsia="仿宋" w:cs="仿宋"/>
          <w:color w:val="000000" w:themeColor="text1"/>
          <w:spacing w:val="-4"/>
          <w:sz w:val="32"/>
          <w:szCs w:val="32"/>
          <w:highlight w:val="none"/>
          <w:lang w:val="en-US" w:eastAsia="zh-CN"/>
          <w14:textFill>
            <w14:solidFill>
              <w14:schemeClr w14:val="tx1"/>
            </w14:solidFill>
          </w14:textFill>
        </w:rPr>
        <w:t>1.26</w:t>
      </w:r>
      <w:r>
        <w:rPr>
          <w:rFonts w:hint="eastAsia" w:ascii="仿宋" w:hAnsi="仿宋" w:eastAsia="仿宋" w:cs="仿宋"/>
          <w:color w:val="000000" w:themeColor="text1"/>
          <w:spacing w:val="-4"/>
          <w:sz w:val="32"/>
          <w:szCs w:val="32"/>
          <w:highlight w:val="none"/>
          <w14:textFill>
            <w14:solidFill>
              <w14:schemeClr w14:val="tx1"/>
            </w14:solidFill>
          </w14:textFill>
        </w:rPr>
        <w:t>%的比例严格发放劳务报酬，</w:t>
      </w:r>
      <w:r>
        <w:rPr>
          <w:rFonts w:hint="eastAsia" w:ascii="仿宋" w:hAnsi="仿宋" w:eastAsia="仿宋" w:cs="仿宋"/>
          <w:color w:val="000000" w:themeColor="text1"/>
          <w:spacing w:val="-2"/>
          <w:sz w:val="32"/>
          <w:szCs w:val="32"/>
          <w:highlight w:val="none"/>
          <w14:textFill>
            <w14:solidFill>
              <w14:schemeClr w14:val="tx1"/>
            </w14:solidFill>
          </w14:textFill>
        </w:rPr>
        <w:t>有条件的地方可在此基础上尽最大</w:t>
      </w:r>
      <w:r>
        <w:rPr>
          <w:rFonts w:hint="eastAsia" w:ascii="仿宋" w:hAnsi="仿宋" w:eastAsia="仿宋" w:cs="仿宋"/>
          <w:color w:val="000000" w:themeColor="text1"/>
          <w:spacing w:val="-1"/>
          <w:sz w:val="32"/>
          <w:szCs w:val="32"/>
          <w:highlight w:val="none"/>
          <w14:textFill>
            <w14:solidFill>
              <w14:schemeClr w14:val="tx1"/>
            </w14:solidFill>
          </w14:textFill>
        </w:rPr>
        <w:t>可能提高发放比例。</w:t>
      </w:r>
      <w:r>
        <w:rPr>
          <w:rFonts w:hint="eastAsia" w:ascii="仿宋" w:hAnsi="仿宋" w:eastAsia="仿宋" w:cs="仿宋"/>
          <w:color w:val="000000" w:themeColor="text1"/>
          <w:spacing w:val="-8"/>
          <w:sz w:val="32"/>
          <w:szCs w:val="32"/>
          <w:highlight w:val="none"/>
          <w14:textFill>
            <w14:solidFill>
              <w14:schemeClr w14:val="tx1"/>
            </w14:solidFill>
          </w14:textFill>
        </w:rPr>
        <w:t>在项目竣工验收时，要将劳务报付标准、金额和发放名册作为重要</w:t>
      </w:r>
      <w:r>
        <w:rPr>
          <w:rFonts w:hint="eastAsia" w:ascii="仿宋" w:hAnsi="仿宋" w:eastAsia="仿宋" w:cs="仿宋"/>
          <w:color w:val="000000" w:themeColor="text1"/>
          <w:spacing w:val="-4"/>
          <w:sz w:val="32"/>
          <w:szCs w:val="32"/>
          <w:highlight w:val="none"/>
          <w14:textFill>
            <w14:solidFill>
              <w14:schemeClr w14:val="tx1"/>
            </w14:solidFill>
          </w14:textFill>
        </w:rPr>
        <w:t>验收</w:t>
      </w:r>
      <w:r>
        <w:rPr>
          <w:rFonts w:hint="eastAsia" w:ascii="仿宋" w:hAnsi="仿宋" w:eastAsia="仿宋" w:cs="仿宋"/>
          <w:color w:val="000000" w:themeColor="text1"/>
          <w:spacing w:val="-2"/>
          <w:sz w:val="32"/>
          <w:szCs w:val="32"/>
          <w:highlight w:val="none"/>
          <w14:textFill>
            <w14:solidFill>
              <w14:schemeClr w14:val="tx1"/>
            </w14:solidFill>
          </w14:textFill>
        </w:rPr>
        <w:t>内容。</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w:t>
      </w:r>
      <w:r>
        <w:rPr>
          <w:rFonts w:hint="eastAsia" w:ascii="仿宋" w:hAnsi="仿宋" w:eastAsia="仿宋" w:cs="仿宋"/>
          <w:b/>
          <w:bCs/>
          <w:color w:val="000000" w:themeColor="text1"/>
          <w:sz w:val="32"/>
          <w:szCs w:val="32"/>
          <w:highlight w:val="none"/>
          <w14:textFill>
            <w14:solidFill>
              <w14:schemeClr w14:val="tx1"/>
            </w14:solidFill>
          </w14:textFill>
        </w:rPr>
        <w:t>.项目实施保障措施</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w:t>
      </w:r>
      <w:r>
        <w:rPr>
          <w:rFonts w:hint="eastAsia" w:ascii="仿宋" w:hAnsi="仿宋" w:eastAsia="仿宋" w:cs="仿宋"/>
          <w:b/>
          <w:bCs/>
          <w:color w:val="000000" w:themeColor="text1"/>
          <w:sz w:val="32"/>
          <w:szCs w:val="32"/>
          <w:highlight w:val="none"/>
          <w14:textFill>
            <w14:solidFill>
              <w14:schemeClr w14:val="tx1"/>
            </w14:solidFill>
          </w14:textFill>
        </w:rPr>
        <w:t>.1组织领导机构</w:t>
      </w:r>
    </w:p>
    <w:p>
      <w:pPr>
        <w:pStyle w:val="12"/>
        <w:keepNext w:val="0"/>
        <w:keepLines w:val="0"/>
        <w:pageBreakBefore w:val="0"/>
        <w:widowControl w:val="0"/>
        <w:kinsoku/>
        <w:wordWrap/>
        <w:overflowPunct/>
        <w:topLinePunct w:val="0"/>
        <w:bidi w:val="0"/>
        <w:snapToGrid/>
        <w:spacing w:line="600" w:lineRule="exact"/>
        <w:ind w:left="0" w:leftChars="0" w:right="0" w:firstLine="616" w:firstLineChars="200"/>
        <w:jc w:val="both"/>
        <w:textAlignment w:val="auto"/>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spacing w:val="-6"/>
          <w:kern w:val="2"/>
          <w:sz w:val="32"/>
          <w:szCs w:val="32"/>
          <w:highlight w:val="none"/>
          <w:lang w:val="zh-CN" w:eastAsia="zh-CN" w:bidi="ar-SA"/>
          <w14:textFill>
            <w14:solidFill>
              <w14:schemeClr w14:val="tx1"/>
            </w14:solidFill>
          </w14:textFill>
        </w:rPr>
        <w:t>本项目为交通基础设施建设，建成后由巴楚县交通运输局对项目所形成的的固定资产进行运营维护。</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w:t>
      </w:r>
      <w:r>
        <w:rPr>
          <w:rFonts w:hint="eastAsia" w:ascii="仿宋" w:hAnsi="仿宋" w:eastAsia="仿宋" w:cs="仿宋"/>
          <w:b/>
          <w:bCs/>
          <w:color w:val="000000" w:themeColor="text1"/>
          <w:sz w:val="32"/>
          <w:szCs w:val="32"/>
          <w:highlight w:val="none"/>
          <w14:textFill>
            <w14:solidFill>
              <w14:schemeClr w14:val="tx1"/>
            </w14:solidFill>
          </w14:textFill>
        </w:rPr>
        <w:t>.2技术保障措施</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1、项目工期保障措施</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要求实施本项目的施工队伍尽快按合同要求进场，开始熟悉投标图纸，中标后即可迅速进场，进行施工准备。机械设备将随同施工队伍迅速抵达，确保主体工程按时（或提前）开工。</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尽快做好施工准备工作，认真复核图纸，进一步完善施工组织设计，落实重大施工方案，积极配合有关单位办理各种手续。主动疏通地方关系，取得地方政府及有关部门的支持，施工中遇到问题影响进度时，将统筹安排，及时调整，确保总体工期。</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2、项目质量保障措施</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按施工组织设计做好施工前的各项准备工作。要求各参建单位，做好图纸会审和各级设计交底工作，让所有施工人员都领会设计意图和质量技术要求。严格按事先确定的合理施工工序进行操作施工，发现问题及时上报，并会同有关人员研究处理。认真处理好土建施工与水电安装之间的关系，积极配合水电安装工程的预留、预埋工作。各工序施工质量检查坚持执行“三检”制度，逐级检查，层层把关，并严格执行质量等级评定。合理安排工序的穿插施工，加强成品的保护。所有隐蔽工程必须经有关单位验收、签字盖章，并如实做好隐蔽记录后，方可组织下道工序的施工。对完成的分部（分项）工程，按相应的质量评定标准和办法进行检查、验收。</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3、项目安全保障措施</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（1）单位工程必须有安全管理技术措施，分项施工前必须作好分级、分段逐步安全技术交底。无措施、无交底、作业班组有权拒绝施工。业主可以不定期组织监理检查。</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（2）进入施工现场，必须戴安全帽。严禁穿拖鞋、硬底易滑鞋、高跟鞋或赤足。业主的管理人员同样要遵守。</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（3）机械设备必须有安全防护装置，不得带病运行。</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（4）施工现场临时用电必须有临电施工组织设计。实行三级配电二级保护，机电设备必须重复接地保护，临电架设要符合要求。</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（5）电焊设备、压力容器必须有安全装置，并且保持其灵敏可靠。</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（6）安全隐患要及时整改，脚手架、防护设施、安全标志以及警示牌未经许可，不准擅自拆除。</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4.3项目管理、监督检查制度</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为组织协调本项目各方面工作，如期完成项目建设任务，达到预期目标，成立项目建设领导小组，领导小组由巴楚县交通运输局牵头组成。项目建设领导小组职责：履行建设初期组织管理机构职能；具体负责本项目的制定和组织，负责项目实施任务的落实，加强项目实施管理和监督资金合理使用、质量管理、人员培训等工作。解决实施中出现的问题。进行项目年度总结，开展技术交流协作等工作，保证项目顺利实施。</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1、项目领导小组的职责</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研究决定项目的重大问题和建设方案；对资金的主要使用方向和规模的增减与内容的变更做出决策；对项目的实施提出阶段性的方向和要求；审批大宗款项的投放。</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2、项目管理办公室的职责</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执行领导小组下达的工作指令；配合领导小组协调与项目施工单位供应商的关系；解决和处理工程建设中日常的具体问题；负责督促项目建设的施工进度和监督乙方施工的建设质量；按进度审核签发工程款；工作直接对领导小组负责。</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360" w:lineRule="auto"/>
        <w:ind w:firstLine="643" w:firstLineChars="200"/>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4.4项目管理、监督检查制度</w:t>
      </w:r>
    </w:p>
    <w:p>
      <w:pPr>
        <w:pStyle w:val="1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衔接资金</w:t>
      </w:r>
      <w:r>
        <w:rPr>
          <w:rFonts w:hint="eastAsia" w:ascii="仿宋" w:hAnsi="仿宋" w:eastAsia="仿宋" w:cs="仿宋"/>
          <w:color w:val="000000" w:themeColor="text1"/>
          <w:sz w:val="32"/>
          <w:szCs w:val="32"/>
          <w:highlight w:val="none"/>
          <w:lang w:eastAsia="zh-CN"/>
          <w14:textFill>
            <w14:solidFill>
              <w14:schemeClr w14:val="tx1"/>
            </w14:solidFill>
          </w14:textFill>
        </w:rPr>
        <w:t>使用和管理应按照《中央财政衔接推进乡村振兴补助资金管理办法》（财农〔2021〕19号）、《新疆维吾尔自治区财政衔接推进乡村振兴补助资金管理办法》（新财规〔2021〕11号）等相关文件要求。项目实施单位依据项目计划和实施进度,提出支付申请并提供相关真实、合规的证明材料，制定资金使用计划，经审核后按照国库集中支付管理制度的规定和程序及时支付资金。从国库直接支付到</w:t>
      </w:r>
      <w:r>
        <w:rPr>
          <w:rFonts w:hint="eastAsia" w:ascii="仿宋" w:hAnsi="仿宋" w:eastAsia="仿宋" w:cs="仿宋"/>
          <w:color w:val="000000" w:themeColor="text1"/>
          <w:sz w:val="32"/>
          <w:szCs w:val="32"/>
          <w:highlight w:val="none"/>
          <w:lang w:val="en-US" w:eastAsia="zh-CN"/>
          <w14:textFill>
            <w14:solidFill>
              <w14:schemeClr w14:val="tx1"/>
            </w14:solidFill>
          </w14:textFill>
        </w:rPr>
        <w:t>衔接资金</w:t>
      </w:r>
      <w:r>
        <w:rPr>
          <w:rFonts w:hint="eastAsia" w:ascii="仿宋" w:hAnsi="仿宋" w:eastAsia="仿宋" w:cs="仿宋"/>
          <w:color w:val="000000" w:themeColor="text1"/>
          <w:sz w:val="32"/>
          <w:szCs w:val="32"/>
          <w:highlight w:val="none"/>
          <w:lang w:eastAsia="zh-CN"/>
          <w14:textFill>
            <w14:solidFill>
              <w14:schemeClr w14:val="tx1"/>
            </w14:solidFill>
          </w14:textFill>
        </w:rPr>
        <w:t>项目承担的企业、商户或</w:t>
      </w:r>
      <w:r>
        <w:rPr>
          <w:rFonts w:hint="eastAsia" w:ascii="仿宋" w:hAnsi="仿宋" w:eastAsia="仿宋" w:cs="仿宋"/>
          <w:color w:val="000000" w:themeColor="text1"/>
          <w:sz w:val="32"/>
          <w:szCs w:val="32"/>
          <w:highlight w:val="none"/>
          <w:lang w:val="en-US" w:eastAsia="zh-CN"/>
          <w14:textFill>
            <w14:solidFill>
              <w14:schemeClr w14:val="tx1"/>
            </w14:solidFill>
          </w14:textFill>
        </w:rPr>
        <w:t>脱贫户、监测对象</w:t>
      </w:r>
      <w:r>
        <w:rPr>
          <w:rFonts w:hint="eastAsia" w:ascii="仿宋" w:hAnsi="仿宋" w:eastAsia="仿宋" w:cs="仿宋"/>
          <w:color w:val="000000" w:themeColor="text1"/>
          <w:sz w:val="32"/>
          <w:szCs w:val="32"/>
          <w:highlight w:val="none"/>
          <w:lang w:eastAsia="zh-CN"/>
          <w14:textFill>
            <w14:solidFill>
              <w14:schemeClr w14:val="tx1"/>
            </w14:solidFill>
          </w14:textFill>
        </w:rPr>
        <w:t>个人。严格执行专款专用，杜绝挤占、挪用项目资金，严禁虚列支出、以拨代支虚增项目进度。项目资金支付后,在审计或检查中发现资金使用存在违法违规问题的，应及时追回、收回。对资金使用严格监管，防止资金使用不精准、虚报冒领。</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4.5验收管理</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本项目按照批准的设计或实施方案的内容全部建成后，要求及时组织验收，投入使用，尽快发挥投资效益。</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项目的竣工验收由巴楚县交通运输局会同有关部门按照审批权限分级组织验收。</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项目竣工验收后，及时办理固定资产产权登记移交手续，接管单位要依法建立健全各项规章制度。</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项目建成运行后，项目建设单位要对项目的实际投资效果进行投资效益评价。重视项目后期的管理，确保投资充分发挥效益。</w:t>
      </w:r>
    </w:p>
    <w:p>
      <w:pPr>
        <w:pStyle w:val="12"/>
        <w:keepNext w:val="0"/>
        <w:keepLines w:val="0"/>
        <w:pageBreakBefore w:val="0"/>
        <w:widowControl w:val="0"/>
        <w:kinsoku/>
        <w:wordWrap/>
        <w:overflowPunct/>
        <w:topLinePunct w:val="0"/>
        <w:bidi w:val="0"/>
        <w:snapToGrid/>
        <w:spacing w:line="600" w:lineRule="exact"/>
        <w:ind w:left="0" w:leftChars="0" w:right="0" w:firstLine="640" w:firstLineChars="200"/>
        <w:jc w:val="both"/>
        <w:textAlignment w:val="auto"/>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项目竣工验收后，建立健全项目档案，从项目前期到竣工验收的各个环节的文件资料都要按规定收集、整理、归档，由档案管理部门审核合格后，按照规定向有关部门报送备案。</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4.6联农带农机制</w:t>
      </w:r>
    </w:p>
    <w:p>
      <w:pPr>
        <w:pStyle w:val="12"/>
        <w:keepNext w:val="0"/>
        <w:keepLines w:val="0"/>
        <w:pageBreakBefore w:val="0"/>
        <w:widowControl w:val="0"/>
        <w:kinsoku/>
        <w:wordWrap/>
        <w:overflowPunct/>
        <w:topLinePunct w:val="0"/>
        <w:bidi w:val="0"/>
        <w:snapToGrid/>
        <w:spacing w:line="600" w:lineRule="exact"/>
        <w:ind w:left="0" w:leftChars="0" w:right="0" w:firstLine="640"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通过项目实施，带动当地农村群众务工人数≥72人，发放劳务报酬≥84万元</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提升农民出行条件，改善村容村貌，促进乡村基础设施建设，同时充分吸纳农村群众参与工程项目建设、实现就地就近就业增收，同步提升劳动就业技能、激发内生发展动力</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5.项目实施进度</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5.1项目实施进度计划</w:t>
      </w:r>
    </w:p>
    <w:p>
      <w:pPr>
        <w:keepNext w:val="0"/>
        <w:keepLines w:val="0"/>
        <w:pageBreakBefore w:val="0"/>
        <w:widowControl w:val="0"/>
        <w:kinsoku/>
        <w:wordWrap/>
        <w:overflowPunct/>
        <w:topLinePunct w:val="0"/>
        <w:autoSpaceDE/>
        <w:autoSpaceDN/>
        <w:bidi w:val="0"/>
        <w:adjustRightInd w:val="0"/>
        <w:snapToGrid w:val="0"/>
        <w:spacing w:line="560" w:lineRule="exact"/>
        <w:ind w:firstLine="716" w:firstLineChars="224"/>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为了使项目建设顺利进行，严格要求按照基本建设的程序，循序渐进来安排实施。本项目计划从以下三个阶段实施。</w:t>
      </w:r>
    </w:p>
    <w:p>
      <w:pPr>
        <w:keepNext w:val="0"/>
        <w:keepLines w:val="0"/>
        <w:pageBreakBefore w:val="0"/>
        <w:widowControl w:val="0"/>
        <w:kinsoku/>
        <w:wordWrap/>
        <w:overflowPunct/>
        <w:topLinePunct w:val="0"/>
        <w:autoSpaceDE/>
        <w:autoSpaceDN/>
        <w:bidi w:val="0"/>
        <w:adjustRightInd w:val="0"/>
        <w:snapToGrid w:val="0"/>
        <w:spacing w:line="560" w:lineRule="exact"/>
        <w:ind w:firstLine="716" w:firstLineChars="224"/>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第一阶段：前期准备阶段</w:t>
      </w:r>
    </w:p>
    <w:p>
      <w:pPr>
        <w:keepNext w:val="0"/>
        <w:keepLines w:val="0"/>
        <w:pageBreakBefore w:val="0"/>
        <w:widowControl w:val="0"/>
        <w:kinsoku/>
        <w:wordWrap/>
        <w:overflowPunct/>
        <w:topLinePunct w:val="0"/>
        <w:autoSpaceDE/>
        <w:autoSpaceDN/>
        <w:bidi w:val="0"/>
        <w:adjustRightInd w:val="0"/>
        <w:snapToGrid w:val="0"/>
        <w:spacing w:line="560" w:lineRule="exact"/>
        <w:ind w:firstLine="716" w:firstLineChars="224"/>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xml:space="preserve">本阶段的主要工作内容包括：编制项目可研报告；编制计划任务书；办理相关审批手续；进行项目工程设计等工作。  </w:t>
      </w:r>
    </w:p>
    <w:p>
      <w:pPr>
        <w:keepNext w:val="0"/>
        <w:keepLines w:val="0"/>
        <w:pageBreakBefore w:val="0"/>
        <w:widowControl w:val="0"/>
        <w:kinsoku/>
        <w:wordWrap/>
        <w:overflowPunct/>
        <w:topLinePunct w:val="0"/>
        <w:autoSpaceDE/>
        <w:autoSpaceDN/>
        <w:bidi w:val="0"/>
        <w:adjustRightInd w:val="0"/>
        <w:snapToGrid w:val="0"/>
        <w:spacing w:line="560" w:lineRule="exact"/>
        <w:ind w:firstLine="716" w:firstLineChars="224"/>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xml:space="preserve">第二阶段：施工阶段   </w:t>
      </w:r>
    </w:p>
    <w:p>
      <w:pPr>
        <w:keepNext w:val="0"/>
        <w:keepLines w:val="0"/>
        <w:pageBreakBefore w:val="0"/>
        <w:widowControl w:val="0"/>
        <w:kinsoku/>
        <w:wordWrap/>
        <w:overflowPunct/>
        <w:topLinePunct w:val="0"/>
        <w:autoSpaceDE/>
        <w:autoSpaceDN/>
        <w:bidi w:val="0"/>
        <w:adjustRightInd w:val="0"/>
        <w:snapToGrid w:val="0"/>
        <w:spacing w:line="560" w:lineRule="exact"/>
        <w:ind w:firstLine="716" w:firstLineChars="224"/>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xml:space="preserve">本阶段主要工作内容包括制定工作计划、建设准备、组织施工、生产准备、具体工作内容：  </w:t>
      </w:r>
    </w:p>
    <w:p>
      <w:pPr>
        <w:keepNext w:val="0"/>
        <w:keepLines w:val="0"/>
        <w:pageBreakBefore w:val="0"/>
        <w:widowControl w:val="0"/>
        <w:kinsoku/>
        <w:wordWrap/>
        <w:overflowPunct/>
        <w:topLinePunct w:val="0"/>
        <w:autoSpaceDE/>
        <w:autoSpaceDN/>
        <w:bidi w:val="0"/>
        <w:adjustRightInd w:val="0"/>
        <w:snapToGrid w:val="0"/>
        <w:spacing w:line="560" w:lineRule="exact"/>
        <w:ind w:firstLine="716" w:firstLineChars="224"/>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xml:space="preserve">制定年度工作计划。包括建设进度安排、资金使用安排、主体与设备配套相互衔接、编制招标文件、进行招标，选择监理单位及施工单位等。  </w:t>
      </w:r>
    </w:p>
    <w:p>
      <w:pPr>
        <w:keepNext w:val="0"/>
        <w:keepLines w:val="0"/>
        <w:pageBreakBefore w:val="0"/>
        <w:widowControl w:val="0"/>
        <w:kinsoku/>
        <w:wordWrap/>
        <w:overflowPunct/>
        <w:topLinePunct w:val="0"/>
        <w:autoSpaceDE/>
        <w:autoSpaceDN/>
        <w:bidi w:val="0"/>
        <w:adjustRightInd w:val="0"/>
        <w:snapToGrid w:val="0"/>
        <w:spacing w:line="560" w:lineRule="exact"/>
        <w:ind w:firstLine="716" w:firstLineChars="224"/>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xml:space="preserve">建设准备。作好技术准备，现场维护；协调图纸和技术资料供应。  </w:t>
      </w:r>
    </w:p>
    <w:p>
      <w:pPr>
        <w:keepNext w:val="0"/>
        <w:keepLines w:val="0"/>
        <w:pageBreakBefore w:val="0"/>
        <w:widowControl w:val="0"/>
        <w:kinsoku/>
        <w:wordWrap/>
        <w:overflowPunct/>
        <w:topLinePunct w:val="0"/>
        <w:autoSpaceDE/>
        <w:autoSpaceDN/>
        <w:bidi w:val="0"/>
        <w:adjustRightInd w:val="0"/>
        <w:snapToGrid w:val="0"/>
        <w:spacing w:line="560" w:lineRule="exact"/>
        <w:ind w:firstLine="716" w:firstLineChars="224"/>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xml:space="preserve">组织施工：按计划、设计文件的规定，编制施工组织设计，进行施工。  </w:t>
      </w:r>
    </w:p>
    <w:p>
      <w:pPr>
        <w:keepNext w:val="0"/>
        <w:keepLines w:val="0"/>
        <w:pageBreakBefore w:val="0"/>
        <w:widowControl w:val="0"/>
        <w:kinsoku/>
        <w:wordWrap/>
        <w:overflowPunct/>
        <w:topLinePunct w:val="0"/>
        <w:autoSpaceDE/>
        <w:autoSpaceDN/>
        <w:bidi w:val="0"/>
        <w:adjustRightInd w:val="0"/>
        <w:snapToGrid w:val="0"/>
        <w:spacing w:line="560" w:lineRule="exact"/>
        <w:ind w:firstLine="716" w:firstLineChars="224"/>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生活准备：包括组织机构设置，人员配备及培训。</w:t>
      </w:r>
    </w:p>
    <w:p>
      <w:pPr>
        <w:keepNext w:val="0"/>
        <w:keepLines w:val="0"/>
        <w:pageBreakBefore w:val="0"/>
        <w:widowControl w:val="0"/>
        <w:kinsoku/>
        <w:wordWrap/>
        <w:overflowPunct/>
        <w:topLinePunct w:val="0"/>
        <w:autoSpaceDE/>
        <w:autoSpaceDN/>
        <w:bidi w:val="0"/>
        <w:adjustRightInd w:val="0"/>
        <w:snapToGrid w:val="0"/>
        <w:spacing w:line="560" w:lineRule="exact"/>
        <w:ind w:firstLine="716" w:firstLineChars="224"/>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第三阶段：竣工投产阶段</w:t>
      </w:r>
    </w:p>
    <w:p>
      <w:pPr>
        <w:keepNext w:val="0"/>
        <w:keepLines w:val="0"/>
        <w:pageBreakBefore w:val="0"/>
        <w:widowControl w:val="0"/>
        <w:kinsoku/>
        <w:wordWrap/>
        <w:overflowPunct/>
        <w:topLinePunct w:val="0"/>
        <w:autoSpaceDE/>
        <w:autoSpaceDN/>
        <w:bidi w:val="0"/>
        <w:snapToGrid/>
        <w:spacing w:line="560" w:lineRule="exact"/>
        <w:ind w:left="0" w:right="0" w:firstLine="640" w:firstLineChars="200"/>
        <w:jc w:val="both"/>
        <w:textAlignment w:val="auto"/>
        <w:rPr>
          <w:rFonts w:hint="eastAsia" w:ascii="仿宋" w:hAnsi="仿宋" w:eastAsia="仿宋" w:cs="仿宋"/>
          <w:color w:val="000000" w:themeColor="text1"/>
          <w:spacing w:val="9"/>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本阶段主要工作包括项目竣工验收和交付使用工作。</w:t>
      </w:r>
    </w:p>
    <w:p>
      <w:pPr>
        <w:pStyle w:val="12"/>
        <w:keepNext w:val="0"/>
        <w:keepLines w:val="0"/>
        <w:pageBreakBefore w:val="0"/>
        <w:widowControl w:val="0"/>
        <w:kinsoku/>
        <w:wordWrap/>
        <w:overflowPunct/>
        <w:topLinePunct w:val="0"/>
        <w:bidi w:val="0"/>
        <w:snapToGrid/>
        <w:spacing w:line="600" w:lineRule="exact"/>
        <w:ind w:left="0" w:leftChars="0" w:right="0" w:firstLine="643" w:firstLineChars="200"/>
        <w:jc w:val="both"/>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5.2</w:t>
      </w:r>
      <w:r>
        <w:rPr>
          <w:rFonts w:hint="eastAsia" w:ascii="仿宋" w:hAnsi="仿宋" w:eastAsia="仿宋" w:cs="仿宋"/>
          <w:b/>
          <w:bCs/>
          <w:color w:val="000000" w:themeColor="text1"/>
          <w:sz w:val="32"/>
          <w:szCs w:val="32"/>
          <w:highlight w:val="none"/>
          <w14:textFill>
            <w14:solidFill>
              <w14:schemeClr w14:val="tx1"/>
            </w14:solidFill>
          </w14:textFill>
        </w:rPr>
        <w:t>项目公告公示</w:t>
      </w:r>
    </w:p>
    <w:p>
      <w:pPr>
        <w:keepNext w:val="0"/>
        <w:keepLines w:val="0"/>
        <w:pageBreakBefore w:val="0"/>
        <w:widowControl w:val="0"/>
        <w:kinsoku/>
        <w:wordWrap/>
        <w:overflowPunct/>
        <w:topLinePunct w:val="0"/>
        <w:bidi w:val="0"/>
        <w:snapToGrid/>
        <w:spacing w:line="600" w:lineRule="exact"/>
        <w:ind w:left="0" w:right="0" w:firstLine="648" w:firstLineChars="200"/>
        <w:jc w:val="both"/>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pacing w:val="2"/>
          <w:sz w:val="32"/>
          <w:szCs w:val="32"/>
          <w:highlight w:val="none"/>
          <w14:textFill>
            <w14:solidFill>
              <w14:schemeClr w14:val="tx1"/>
            </w14:solidFill>
          </w14:textFill>
        </w:rPr>
        <w:t>按照</w:t>
      </w:r>
      <w:r>
        <w:rPr>
          <w:rFonts w:hint="eastAsia" w:ascii="仿宋" w:hAnsi="仿宋" w:eastAsia="仿宋" w:cs="仿宋"/>
          <w:color w:val="000000" w:themeColor="text1"/>
          <w:spacing w:val="2"/>
          <w:sz w:val="32"/>
          <w:szCs w:val="32"/>
          <w:highlight w:val="none"/>
          <w:lang w:val="en-US" w:eastAsia="zh-CN"/>
          <w14:textFill>
            <w14:solidFill>
              <w14:schemeClr w14:val="tx1"/>
            </w14:solidFill>
          </w14:textFill>
        </w:rPr>
        <w:t>《新疆维吾尔自治区财政衔接推进乡村振兴补助资金管理办法》(新财规〔2021〕11号)</w:t>
      </w:r>
      <w:r>
        <w:rPr>
          <w:rFonts w:hint="eastAsia" w:ascii="仿宋" w:hAnsi="仿宋" w:eastAsia="仿宋" w:cs="仿宋"/>
          <w:color w:val="000000" w:themeColor="text1"/>
          <w:spacing w:val="5"/>
          <w:sz w:val="32"/>
          <w:szCs w:val="32"/>
          <w:highlight w:val="none"/>
          <w14:textFill>
            <w14:solidFill>
              <w14:schemeClr w14:val="tx1"/>
            </w14:solidFill>
          </w14:textFill>
        </w:rPr>
        <w:t>等文件</w:t>
      </w:r>
      <w:r>
        <w:rPr>
          <w:rFonts w:hint="eastAsia" w:ascii="仿宋" w:hAnsi="仿宋" w:eastAsia="仿宋" w:cs="仿宋"/>
          <w:color w:val="000000" w:themeColor="text1"/>
          <w:spacing w:val="-6"/>
          <w:sz w:val="32"/>
          <w:szCs w:val="32"/>
          <w:highlight w:val="none"/>
          <w14:textFill>
            <w14:solidFill>
              <w14:schemeClr w14:val="tx1"/>
            </w14:solidFill>
          </w14:textFill>
        </w:rPr>
        <w:t>精神，严格执行信息公开制度,认真贯彻执行国家和自治区有关公告公示要求,全面做好资金分配使用、县级项目库建设、项目计划、实施方案、项目执行、收益分配、后期管护、资产管理等各个环节公告公示工作</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600" w:lineRule="exact"/>
        <w:ind w:left="0" w:right="0" w:firstLine="596" w:firstLineChars="200"/>
        <w:jc w:val="both"/>
        <w:textAlignment w:val="auto"/>
        <w:outlineLvl w:val="1"/>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pacing w:val="-11"/>
          <w:sz w:val="32"/>
          <w:szCs w:val="32"/>
          <w:highlight w:val="none"/>
          <w:lang w:val="en-US" w:eastAsia="zh-CN"/>
          <w14:textOutline w14:w="3175" w14:cap="flat" w14:cmpd="sng">
            <w14:solidFill>
              <w14:srgbClr w14:val="000000"/>
            </w14:solidFill>
            <w14:prstDash w14:val="solid"/>
            <w14:miter w14:val="0"/>
          </w14:textOutline>
          <w14:textFill>
            <w14:solidFill>
              <w14:schemeClr w14:val="tx1"/>
            </w14:solidFill>
          </w14:textFill>
        </w:rPr>
        <w:t>6.</w:t>
      </w:r>
      <w:r>
        <w:rPr>
          <w:rFonts w:hint="eastAsia" w:ascii="仿宋" w:hAnsi="仿宋" w:eastAsia="仿宋" w:cs="仿宋"/>
          <w:color w:val="000000" w:themeColor="text1"/>
          <w:spacing w:val="-11"/>
          <w:sz w:val="32"/>
          <w:szCs w:val="32"/>
          <w:highlight w:val="none"/>
          <w:lang w:val="en-US" w:eastAsia="zh-CN"/>
          <w14:textOutline w14:w="5094" w14:cap="flat" w14:cmpd="sng">
            <w14:solidFill>
              <w14:srgbClr w14:val="000000"/>
            </w14:solidFill>
            <w14:prstDash w14:val="solid"/>
            <w14:miter w14:val="0"/>
          </w14:textOutline>
          <w14:textFill>
            <w14:solidFill>
              <w14:schemeClr w14:val="tx1"/>
            </w14:solidFill>
          </w14:textFill>
        </w:rPr>
        <w:t>项目</w:t>
      </w:r>
      <w:r>
        <w:rPr>
          <w:rFonts w:hint="eastAsia" w:ascii="仿宋" w:hAnsi="仿宋" w:eastAsia="仿宋" w:cs="仿宋"/>
          <w:color w:val="000000" w:themeColor="text1"/>
          <w:spacing w:val="-11"/>
          <w:sz w:val="32"/>
          <w:szCs w:val="32"/>
          <w:highlight w:val="none"/>
          <w14:textOutline w14:w="5094" w14:cap="flat" w14:cmpd="sng">
            <w14:solidFill>
              <w14:srgbClr w14:val="000000"/>
            </w14:solidFill>
            <w14:prstDash w14:val="solid"/>
            <w14:miter w14:val="0"/>
          </w14:textOutline>
          <w14:textFill>
            <w14:solidFill>
              <w14:schemeClr w14:val="tx1"/>
            </w14:solidFill>
          </w14:textFill>
        </w:rPr>
        <w:t>效</w:t>
      </w:r>
      <w:r>
        <w:rPr>
          <w:rFonts w:hint="eastAsia" w:ascii="仿宋" w:hAnsi="仿宋" w:eastAsia="仿宋" w:cs="仿宋"/>
          <w:color w:val="000000" w:themeColor="text1"/>
          <w:spacing w:val="-10"/>
          <w:sz w:val="32"/>
          <w:szCs w:val="32"/>
          <w:highlight w:val="none"/>
          <w14:textOutline w14:w="5094" w14:cap="flat" w14:cmpd="sng">
            <w14:solidFill>
              <w14:srgbClr w14:val="000000"/>
            </w14:solidFill>
            <w14:prstDash w14:val="solid"/>
            <w14:miter w14:val="0"/>
          </w14:textOutline>
          <w14:textFill>
            <w14:solidFill>
              <w14:schemeClr w14:val="tx1"/>
            </w14:solidFill>
          </w14:textFill>
        </w:rPr>
        <w:t>益</w:t>
      </w:r>
    </w:p>
    <w:p>
      <w:pPr>
        <w:keepNext w:val="0"/>
        <w:keepLines w:val="0"/>
        <w:pageBreakBefore w:val="0"/>
        <w:widowControl w:val="0"/>
        <w:kinsoku/>
        <w:wordWrap/>
        <w:overflowPunct/>
        <w:topLinePunct w:val="0"/>
        <w:bidi w:val="0"/>
        <w:snapToGrid/>
        <w:spacing w:line="600" w:lineRule="exact"/>
        <w:ind w:left="0" w:right="0" w:firstLine="580" w:firstLineChars="200"/>
        <w:jc w:val="both"/>
        <w:textAlignment w:val="auto"/>
        <w:outlineLvl w:val="1"/>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pacing w:val="-15"/>
          <w:sz w:val="32"/>
          <w:szCs w:val="32"/>
          <w:highlight w:val="none"/>
          <w:lang w:val="en-US" w:eastAsia="zh-CN"/>
          <w14:textOutline w14:w="3175" w14:cap="flat" w14:cmpd="sng">
            <w14:solidFill>
              <w14:srgbClr w14:val="000000"/>
            </w14:solidFill>
            <w14:prstDash w14:val="solid"/>
            <w14:miter w14:val="0"/>
          </w14:textOutline>
          <w14:textFill>
            <w14:solidFill>
              <w14:schemeClr w14:val="tx1"/>
            </w14:solidFill>
          </w14:textFill>
        </w:rPr>
        <w:t>6.1</w:t>
      </w:r>
      <w:r>
        <w:rPr>
          <w:rFonts w:hint="eastAsia" w:ascii="仿宋" w:hAnsi="仿宋" w:eastAsia="仿宋" w:cs="仿宋"/>
          <w:color w:val="000000" w:themeColor="text1"/>
          <w:spacing w:val="-8"/>
          <w:sz w:val="32"/>
          <w:szCs w:val="32"/>
          <w:highlight w:val="none"/>
          <w:lang w:val="en-US" w:eastAsia="zh-CN"/>
          <w14:textOutline w14:w="5094" w14:cap="flat" w14:cmpd="sng">
            <w14:solidFill>
              <w14:srgbClr w14:val="000000"/>
            </w14:solidFill>
            <w14:prstDash w14:val="solid"/>
            <w14:miter w14:val="0"/>
          </w14:textOutline>
          <w14:textFill>
            <w14:solidFill>
              <w14:schemeClr w14:val="tx1"/>
            </w14:solidFill>
          </w14:textFill>
        </w:rPr>
        <w:t>社会效益分析</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1、项目的建设有利于完善农村路网，带动沿线经济发展</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本项目建设完成后，将有助于形成更加完善的农村路网，从而带动沿线工业经济、农业及第三产业的发展，使沿线农村的土地利用价值大幅增值，县域内的经济将会得到长足进展，同时也为社会提供了大量的就业机会，提高沿线居民的收入水平，进一步农村调整产业结构、提高居民生活质量。</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2、项目的建设有利于改善农村人居环境与生态环境</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本项目的建设，有利于使农村生态环境整体质量得到明显提高，解决道路坑洼不平、损毁严重的问题，较大改善农村人居环境，提高村民生活质量。增强群众的环境保护意识，推动城乡一体化建设，促进农村物质文明、精神文明、政治文明和生态文明的协调发展。</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3、项目的建设有利于使农村交通基础设施更加完善</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本项目的建设，按照统筹城乡发展，推进城镇公共服务体系向农村覆盖的原则，通过实施交通基础设施建设，进一步提高农村基础设施条件，提升农村公共服务水平和安全管理能力，加快农村城镇化建设的步伐。</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4</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项目建设促进当地经济社会可持续发展</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项目建设促进当地经济社会可持续发展。通过项目的实施，可有效改善农村生产生活环境，解决当前农村突出的环境问题，提高群众生活质量，倡导文明乡风和良好的生产生活方式，保障农民群众身心健康。</w:t>
      </w:r>
    </w:p>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1"/>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pPr>
      <w:bookmarkStart w:id="0" w:name="_Toc11077"/>
      <w:bookmarkStart w:id="1" w:name="_Toc15819"/>
      <w:bookmarkStart w:id="2" w:name="_Toc28237"/>
      <w:bookmarkStart w:id="3" w:name="_Toc31111"/>
      <w:bookmarkStart w:id="4" w:name="_Toc25524"/>
      <w:r>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t xml:space="preserve">6.2 </w:t>
      </w:r>
      <w:r>
        <w:rPr>
          <w:rFonts w:hint="eastAsia" w:ascii="仿宋" w:hAnsi="仿宋" w:eastAsia="仿宋" w:cs="仿宋"/>
          <w:b/>
          <w:bCs/>
          <w:color w:val="000000" w:themeColor="text1"/>
          <w:kern w:val="0"/>
          <w:sz w:val="32"/>
          <w:szCs w:val="32"/>
          <w:highlight w:val="none"/>
          <w14:textFill>
            <w14:solidFill>
              <w14:schemeClr w14:val="tx1"/>
            </w14:solidFill>
          </w14:textFill>
        </w:rPr>
        <w:t>项目所在地区互适性分析</w:t>
      </w:r>
      <w:bookmarkEnd w:id="0"/>
      <w:bookmarkEnd w:id="1"/>
      <w:bookmarkEnd w:id="2"/>
      <w:bookmarkEnd w:id="3"/>
      <w:bookmarkEnd w:id="4"/>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1、当地居民对本项目的建设期望及关注度较高，对巴楚县的社会经济发展有利。项目的实施，本项目建设完成后，将形成完善的农村路网，从而带动沿线工业经济、农业及第三产业的发展，会使沿线农村的土地利用价值大幅增值，县域内的经济将会得到长足进展。</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2、本项目的建设符合当地组织机构的规划要求，政府大力支持。 </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3、当地文化、教育、卫生、交通条件对项目的适应性分析：通过实施交通基础设施建设，进一步提高农村基础设施条件，提升农村公共服务水平和安全管理能力，加快农村城镇化建设的步伐。</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根据建设项目对社会的影响分析、项目效益分析，可以看出建设项目具有显著的社会效益，必定备受多方关注和支持，基本不会产生负面影响。综合多方位的调查研究得出结论，本项目与当地的社会经济发展相适应，具有较好的社会影响和社会效益。</w:t>
      </w:r>
    </w:p>
    <w:p>
      <w:pPr>
        <w:keepNext w:val="0"/>
        <w:keepLines w:val="0"/>
        <w:pageBreakBefore w:val="0"/>
        <w:kinsoku/>
        <w:wordWrap/>
        <w:overflowPunct/>
        <w:topLinePunct w:val="0"/>
        <w:autoSpaceDE/>
        <w:autoSpaceDN/>
        <w:bidi w:val="0"/>
        <w:adjustRightInd w:val="0"/>
        <w:snapToGrid w:val="0"/>
        <w:spacing w:line="360" w:lineRule="auto"/>
        <w:ind w:firstLine="643" w:firstLineChars="20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w:t>
      </w:r>
      <w:r>
        <w:rPr>
          <w:rFonts w:hint="eastAsia" w:ascii="仿宋" w:hAnsi="仿宋" w:eastAsia="仿宋" w:cs="仿宋"/>
          <w:b/>
          <w:bCs/>
          <w:color w:val="000000" w:themeColor="text1"/>
          <w:sz w:val="32"/>
          <w:szCs w:val="32"/>
          <w:highlight w:val="none"/>
          <w14:textFill>
            <w14:solidFill>
              <w14:schemeClr w14:val="tx1"/>
            </w14:solidFill>
          </w14:textFill>
        </w:rPr>
        <w:t>.风险分析</w:t>
      </w:r>
    </w:p>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1"/>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pPr>
      <w:bookmarkStart w:id="5" w:name="_Toc18085"/>
      <w:bookmarkStart w:id="6" w:name="_Toc6130"/>
      <w:bookmarkStart w:id="7" w:name="_Toc1306"/>
      <w:bookmarkStart w:id="8" w:name="_Toc27756"/>
      <w:bookmarkStart w:id="9" w:name="_Toc374"/>
      <w:bookmarkStart w:id="10" w:name="_Toc12276"/>
      <w:bookmarkStart w:id="22" w:name="_GoBack"/>
      <w:r>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t xml:space="preserve">7.1 </w:t>
      </w:r>
      <w:r>
        <w:rPr>
          <w:rFonts w:hint="eastAsia" w:ascii="仿宋" w:hAnsi="仿宋" w:eastAsia="仿宋" w:cs="仿宋"/>
          <w:b/>
          <w:bCs/>
          <w:color w:val="000000" w:themeColor="text1"/>
          <w:kern w:val="0"/>
          <w:sz w:val="32"/>
          <w:szCs w:val="32"/>
          <w:highlight w:val="none"/>
          <w14:textFill>
            <w14:solidFill>
              <w14:schemeClr w14:val="tx1"/>
            </w14:solidFill>
          </w14:textFill>
        </w:rPr>
        <w:t>主要风险识别与评价</w:t>
      </w:r>
      <w:bookmarkEnd w:id="5"/>
      <w:bookmarkEnd w:id="6"/>
      <w:bookmarkEnd w:id="7"/>
      <w:bookmarkEnd w:id="8"/>
      <w:bookmarkEnd w:id="9"/>
      <w:bookmarkEnd w:id="10"/>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1、工程工期风险</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 xml:space="preserve">鉴于项目目前准备阶段和实施过程中，虽然准备充足，但仍有很多不确定问题存在；此外，项目管理手段及效率也会影响项目本身的建设工期。正常情况下，该风险程度一般。 </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为了减少或降低影响项目工期正常进行的风险和因素，需针对不同的影响因素制定相应的防范措施，准备相应的预案，给项目实施的各个阶段的工期安排一定的弹性。</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2、工程质量风险</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能够产生项目工程质量问题的原因主要来自于项目管理水平、设计质量和施工企业的质量管理水平、技术手段和能力，也来自于工期紧张可能造成的非正常施工操作，以及项目所需各种材料的品质保证。正常情况下，该风险程度一般。</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因此，应把好设计、施工、监理等队伍选择的各个环节，所有的合作和服务关系均按市场经济条件下依法签订的合约加以控制，建立违约赔偿制度，从而将质量风险因素降到最小程度。</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3、组织管理风险</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项目实施过程中由于组织机构不当、内部控制制度不完善等因素，都会导致项目不能按时完成，从而使得已经确立的项目进度受到影响，造成项目原定目标不能实现。</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4、外部协作风险</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项目实施过程中，供水、供电、污水处理、垃圾处理等外部配套与现状存在较大差异，将给项目实施造成一定的困难。</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5、资金风险</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对于市场建筑材料的价格变化情况关注度不够等会对项目的实施造成一定的影响。</w:t>
      </w:r>
    </w:p>
    <w:p>
      <w:pPr>
        <w:pStyle w:val="8"/>
        <w:jc w:val="center"/>
        <w:rPr>
          <w:rFonts w:hint="eastAsia" w:ascii="仿宋" w:hAnsi="仿宋" w:eastAsia="仿宋" w:cs="仿宋"/>
          <w:color w:val="000000" w:themeColor="text1"/>
          <w:sz w:val="32"/>
          <w:szCs w:val="32"/>
          <w:highlight w:val="none"/>
          <w:lang w:val="zh-CN"/>
          <w14:textFill>
            <w14:solidFill>
              <w14:schemeClr w14:val="tx1"/>
            </w14:solidFill>
          </w14:textFill>
        </w:rPr>
      </w:pPr>
      <w:r>
        <w:rPr>
          <w:rFonts w:hint="eastAsia" w:ascii="仿宋" w:hAnsi="仿宋" w:eastAsia="仿宋" w:cs="仿宋"/>
          <w:b w:val="0"/>
          <w:bCs/>
          <w:color w:val="000000" w:themeColor="text1"/>
          <w:sz w:val="32"/>
          <w:szCs w:val="32"/>
          <w:highlight w:val="none"/>
          <w14:textFill>
            <w14:solidFill>
              <w14:schemeClr w14:val="tx1"/>
            </w14:solidFill>
          </w14:textFill>
        </w:rPr>
        <w:t>表</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7-</w:t>
      </w:r>
      <w:r>
        <w:rPr>
          <w:rFonts w:hint="eastAsia" w:ascii="仿宋" w:hAnsi="仿宋" w:eastAsia="仿宋" w:cs="仿宋"/>
          <w:b w:val="0"/>
          <w:bCs/>
          <w:color w:val="000000" w:themeColor="text1"/>
          <w:sz w:val="32"/>
          <w:szCs w:val="32"/>
          <w:highlight w:val="none"/>
          <w14:textFill>
            <w14:solidFill>
              <w14:schemeClr w14:val="tx1"/>
            </w14:solidFill>
          </w14:textFill>
        </w:rPr>
        <w:t>1项目风险程度及发生分析表</w:t>
      </w:r>
    </w:p>
    <w:tbl>
      <w:tblPr>
        <w:tblStyle w:val="9"/>
        <w:tblW w:w="8513" w:type="dxa"/>
        <w:jc w:val="center"/>
        <w:tblLayout w:type="fixed"/>
        <w:tblCellMar>
          <w:top w:w="0" w:type="dxa"/>
          <w:left w:w="108" w:type="dxa"/>
          <w:bottom w:w="0" w:type="dxa"/>
          <w:right w:w="108" w:type="dxa"/>
        </w:tblCellMar>
      </w:tblPr>
      <w:tblGrid>
        <w:gridCol w:w="580"/>
        <w:gridCol w:w="1693"/>
        <w:gridCol w:w="773"/>
        <w:gridCol w:w="753"/>
        <w:gridCol w:w="816"/>
        <w:gridCol w:w="788"/>
        <w:gridCol w:w="884"/>
        <w:gridCol w:w="785"/>
        <w:gridCol w:w="707"/>
        <w:gridCol w:w="734"/>
      </w:tblGrid>
      <w:tr>
        <w:tblPrEx>
          <w:tblCellMar>
            <w:top w:w="0" w:type="dxa"/>
            <w:left w:w="108" w:type="dxa"/>
            <w:bottom w:w="0" w:type="dxa"/>
            <w:right w:w="108" w:type="dxa"/>
          </w:tblCellMar>
        </w:tblPrEx>
        <w:trPr>
          <w:trHeight w:val="220" w:hRule="atLeast"/>
          <w:jc w:val="center"/>
        </w:trPr>
        <w:tc>
          <w:tcPr>
            <w:tcW w:w="5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bookmarkStart w:id="11" w:name="_Toc10453"/>
            <w:r>
              <w:rPr>
                <w:rFonts w:hint="eastAsia" w:ascii="仿宋" w:hAnsi="仿宋" w:eastAsia="仿宋" w:cs="仿宋"/>
                <w:color w:val="000000" w:themeColor="text1"/>
                <w:kern w:val="0"/>
                <w:sz w:val="32"/>
                <w:szCs w:val="32"/>
                <w:highlight w:val="none"/>
                <w14:textFill>
                  <w14:solidFill>
                    <w14:schemeClr w14:val="tx1"/>
                  </w14:solidFill>
                </w14:textFill>
              </w:rPr>
              <w:t>序号</w:t>
            </w:r>
          </w:p>
        </w:tc>
        <w:tc>
          <w:tcPr>
            <w:tcW w:w="169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风险因素</w:t>
            </w:r>
          </w:p>
        </w:tc>
        <w:tc>
          <w:tcPr>
            <w:tcW w:w="6240" w:type="dxa"/>
            <w:gridSpan w:val="8"/>
            <w:tcBorders>
              <w:top w:val="single" w:color="auto" w:sz="4" w:space="0"/>
              <w:left w:val="nil"/>
              <w:bottom w:val="single" w:color="auto" w:sz="4" w:space="0"/>
              <w:right w:val="single" w:color="000000"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风险影响程度及发生可能性</w:t>
            </w:r>
          </w:p>
        </w:tc>
      </w:tr>
      <w:tr>
        <w:tblPrEx>
          <w:tblCellMar>
            <w:top w:w="0" w:type="dxa"/>
            <w:left w:w="108" w:type="dxa"/>
            <w:bottom w:w="0" w:type="dxa"/>
            <w:right w:w="108" w:type="dxa"/>
          </w:tblCellMar>
        </w:tblPrEx>
        <w:trPr>
          <w:trHeight w:val="285" w:hRule="atLeast"/>
          <w:jc w:val="center"/>
        </w:trPr>
        <w:tc>
          <w:tcPr>
            <w:tcW w:w="5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snapToGrid/>
              <w:spacing w:line="240" w:lineRule="auto"/>
              <w:ind w:firstLine="0" w:firstLineChars="0"/>
              <w:jc w:val="left"/>
              <w:rPr>
                <w:rFonts w:hint="eastAsia" w:ascii="仿宋" w:hAnsi="仿宋" w:eastAsia="仿宋" w:cs="仿宋"/>
                <w:color w:val="000000" w:themeColor="text1"/>
                <w:kern w:val="0"/>
                <w:sz w:val="32"/>
                <w:szCs w:val="32"/>
                <w:highlight w:val="none"/>
                <w14:textFill>
                  <w14:solidFill>
                    <w14:schemeClr w14:val="tx1"/>
                  </w14:solidFill>
                </w14:textFill>
              </w:rPr>
            </w:pPr>
          </w:p>
        </w:tc>
        <w:tc>
          <w:tcPr>
            <w:tcW w:w="16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snapToGrid/>
              <w:spacing w:line="240" w:lineRule="auto"/>
              <w:ind w:firstLine="0" w:firstLineChars="0"/>
              <w:jc w:val="left"/>
              <w:rPr>
                <w:rFonts w:hint="eastAsia" w:ascii="仿宋" w:hAnsi="仿宋" w:eastAsia="仿宋" w:cs="仿宋"/>
                <w:color w:val="000000" w:themeColor="text1"/>
                <w:kern w:val="0"/>
                <w:sz w:val="32"/>
                <w:szCs w:val="32"/>
                <w:highlight w:val="none"/>
                <w14:textFill>
                  <w14:solidFill>
                    <w14:schemeClr w14:val="tx1"/>
                  </w14:solidFill>
                </w14:textFill>
              </w:rPr>
            </w:pPr>
          </w:p>
        </w:tc>
        <w:tc>
          <w:tcPr>
            <w:tcW w:w="1526" w:type="dxa"/>
            <w:gridSpan w:val="2"/>
            <w:tcBorders>
              <w:top w:val="single" w:color="auto" w:sz="4" w:space="0"/>
              <w:left w:val="nil"/>
              <w:bottom w:val="single" w:color="auto" w:sz="4" w:space="0"/>
              <w:right w:val="single" w:color="000000"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灾难性</w:t>
            </w:r>
          </w:p>
        </w:tc>
        <w:tc>
          <w:tcPr>
            <w:tcW w:w="1604" w:type="dxa"/>
            <w:gridSpan w:val="2"/>
            <w:tcBorders>
              <w:top w:val="single" w:color="auto" w:sz="4" w:space="0"/>
              <w:left w:val="nil"/>
              <w:bottom w:val="single" w:color="auto" w:sz="4" w:space="0"/>
              <w:right w:val="single" w:color="000000"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严重</w:t>
            </w:r>
          </w:p>
        </w:tc>
        <w:tc>
          <w:tcPr>
            <w:tcW w:w="1669" w:type="dxa"/>
            <w:gridSpan w:val="2"/>
            <w:tcBorders>
              <w:top w:val="single" w:color="auto" w:sz="4" w:space="0"/>
              <w:left w:val="nil"/>
              <w:bottom w:val="single" w:color="auto" w:sz="4" w:space="0"/>
              <w:right w:val="single" w:color="000000"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较大</w:t>
            </w:r>
          </w:p>
        </w:tc>
        <w:tc>
          <w:tcPr>
            <w:tcW w:w="1441" w:type="dxa"/>
            <w:gridSpan w:val="2"/>
            <w:tcBorders>
              <w:top w:val="single" w:color="auto" w:sz="4" w:space="0"/>
              <w:left w:val="nil"/>
              <w:bottom w:val="single" w:color="auto" w:sz="4" w:space="0"/>
              <w:right w:val="single" w:color="000000"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一般</w:t>
            </w:r>
          </w:p>
        </w:tc>
      </w:tr>
      <w:tr>
        <w:tblPrEx>
          <w:tblCellMar>
            <w:top w:w="0" w:type="dxa"/>
            <w:left w:w="108" w:type="dxa"/>
            <w:bottom w:w="0" w:type="dxa"/>
            <w:right w:w="108" w:type="dxa"/>
          </w:tblCellMar>
        </w:tblPrEx>
        <w:trPr>
          <w:trHeight w:val="610" w:hRule="atLeast"/>
          <w:jc w:val="center"/>
        </w:trPr>
        <w:tc>
          <w:tcPr>
            <w:tcW w:w="5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snapToGrid/>
              <w:spacing w:line="240" w:lineRule="auto"/>
              <w:ind w:firstLine="0" w:firstLineChars="0"/>
              <w:jc w:val="left"/>
              <w:rPr>
                <w:rFonts w:hint="eastAsia" w:ascii="仿宋" w:hAnsi="仿宋" w:eastAsia="仿宋" w:cs="仿宋"/>
                <w:color w:val="000000" w:themeColor="text1"/>
                <w:kern w:val="0"/>
                <w:sz w:val="32"/>
                <w:szCs w:val="32"/>
                <w:highlight w:val="none"/>
                <w14:textFill>
                  <w14:solidFill>
                    <w14:schemeClr w14:val="tx1"/>
                  </w14:solidFill>
                </w14:textFill>
              </w:rPr>
            </w:pPr>
          </w:p>
        </w:tc>
        <w:tc>
          <w:tcPr>
            <w:tcW w:w="16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snapToGrid/>
              <w:spacing w:line="240" w:lineRule="auto"/>
              <w:ind w:firstLine="0" w:firstLineChars="0"/>
              <w:jc w:val="left"/>
              <w:rPr>
                <w:rFonts w:hint="eastAsia" w:ascii="仿宋" w:hAnsi="仿宋" w:eastAsia="仿宋" w:cs="仿宋"/>
                <w:color w:val="000000" w:themeColor="text1"/>
                <w:kern w:val="0"/>
                <w:sz w:val="32"/>
                <w:szCs w:val="32"/>
                <w:highlight w:val="none"/>
                <w14:textFill>
                  <w14:solidFill>
                    <w14:schemeClr w14:val="tx1"/>
                  </w14:solidFill>
                </w14:textFill>
              </w:rPr>
            </w:pPr>
          </w:p>
        </w:tc>
        <w:tc>
          <w:tcPr>
            <w:tcW w:w="77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影响</w:t>
            </w:r>
          </w:p>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程度</w:t>
            </w:r>
          </w:p>
        </w:tc>
        <w:tc>
          <w:tcPr>
            <w:tcW w:w="75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可能性</w:t>
            </w:r>
          </w:p>
        </w:tc>
        <w:tc>
          <w:tcPr>
            <w:tcW w:w="816"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影响</w:t>
            </w:r>
          </w:p>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程度</w:t>
            </w:r>
          </w:p>
        </w:tc>
        <w:tc>
          <w:tcPr>
            <w:tcW w:w="788"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可能性</w:t>
            </w:r>
          </w:p>
        </w:tc>
        <w:tc>
          <w:tcPr>
            <w:tcW w:w="88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影响</w:t>
            </w:r>
          </w:p>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程度</w:t>
            </w:r>
          </w:p>
        </w:tc>
        <w:tc>
          <w:tcPr>
            <w:tcW w:w="78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可能性</w:t>
            </w:r>
          </w:p>
        </w:tc>
        <w:tc>
          <w:tcPr>
            <w:tcW w:w="707"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影响</w:t>
            </w:r>
          </w:p>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程度</w:t>
            </w:r>
          </w:p>
        </w:tc>
        <w:tc>
          <w:tcPr>
            <w:tcW w:w="73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可能性</w:t>
            </w:r>
          </w:p>
        </w:tc>
      </w:tr>
      <w:tr>
        <w:tblPrEx>
          <w:tblCellMar>
            <w:top w:w="0" w:type="dxa"/>
            <w:left w:w="108" w:type="dxa"/>
            <w:bottom w:w="0" w:type="dxa"/>
            <w:right w:w="108" w:type="dxa"/>
          </w:tblCellMar>
        </w:tblPrEx>
        <w:trPr>
          <w:trHeight w:val="281" w:hRule="atLeast"/>
          <w:jc w:val="center"/>
        </w:trPr>
        <w:tc>
          <w:tcPr>
            <w:tcW w:w="580" w:type="dxa"/>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1</w:t>
            </w:r>
          </w:p>
        </w:tc>
        <w:tc>
          <w:tcPr>
            <w:tcW w:w="169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both"/>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工程工期风险</w:t>
            </w:r>
          </w:p>
        </w:tc>
        <w:tc>
          <w:tcPr>
            <w:tcW w:w="77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5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816"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88"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88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p>
        </w:tc>
        <w:tc>
          <w:tcPr>
            <w:tcW w:w="78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07"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3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p>
        </w:tc>
      </w:tr>
      <w:tr>
        <w:tblPrEx>
          <w:tblCellMar>
            <w:top w:w="0" w:type="dxa"/>
            <w:left w:w="108" w:type="dxa"/>
            <w:bottom w:w="0" w:type="dxa"/>
            <w:right w:w="108" w:type="dxa"/>
          </w:tblCellMar>
        </w:tblPrEx>
        <w:trPr>
          <w:trHeight w:val="332" w:hRule="atLeast"/>
          <w:jc w:val="center"/>
        </w:trPr>
        <w:tc>
          <w:tcPr>
            <w:tcW w:w="580" w:type="dxa"/>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2</w:t>
            </w:r>
          </w:p>
        </w:tc>
        <w:tc>
          <w:tcPr>
            <w:tcW w:w="169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工程质量风险</w:t>
            </w:r>
          </w:p>
        </w:tc>
        <w:tc>
          <w:tcPr>
            <w:tcW w:w="77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5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816"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p>
        </w:tc>
        <w:tc>
          <w:tcPr>
            <w:tcW w:w="788"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88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8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07"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3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p>
        </w:tc>
      </w:tr>
      <w:tr>
        <w:tblPrEx>
          <w:tblCellMar>
            <w:top w:w="0" w:type="dxa"/>
            <w:left w:w="108" w:type="dxa"/>
            <w:bottom w:w="0" w:type="dxa"/>
            <w:right w:w="108" w:type="dxa"/>
          </w:tblCellMar>
        </w:tblPrEx>
        <w:trPr>
          <w:trHeight w:val="245" w:hRule="atLeast"/>
          <w:jc w:val="center"/>
        </w:trPr>
        <w:tc>
          <w:tcPr>
            <w:tcW w:w="580" w:type="dxa"/>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3</w:t>
            </w:r>
          </w:p>
        </w:tc>
        <w:tc>
          <w:tcPr>
            <w:tcW w:w="169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组织管理风险</w:t>
            </w:r>
          </w:p>
        </w:tc>
        <w:tc>
          <w:tcPr>
            <w:tcW w:w="77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5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816"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88"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88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p>
        </w:tc>
        <w:tc>
          <w:tcPr>
            <w:tcW w:w="78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07"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3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p>
        </w:tc>
      </w:tr>
      <w:tr>
        <w:tblPrEx>
          <w:tblCellMar>
            <w:top w:w="0" w:type="dxa"/>
            <w:left w:w="108" w:type="dxa"/>
            <w:bottom w:w="0" w:type="dxa"/>
            <w:right w:w="108" w:type="dxa"/>
          </w:tblCellMar>
        </w:tblPrEx>
        <w:trPr>
          <w:trHeight w:val="142" w:hRule="atLeast"/>
          <w:jc w:val="center"/>
        </w:trPr>
        <w:tc>
          <w:tcPr>
            <w:tcW w:w="580" w:type="dxa"/>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4</w:t>
            </w:r>
          </w:p>
        </w:tc>
        <w:tc>
          <w:tcPr>
            <w:tcW w:w="169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外部协助风险</w:t>
            </w:r>
          </w:p>
        </w:tc>
        <w:tc>
          <w:tcPr>
            <w:tcW w:w="77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53"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816"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88"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88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p>
        </w:tc>
        <w:tc>
          <w:tcPr>
            <w:tcW w:w="78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07"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w:t>
            </w:r>
          </w:p>
        </w:tc>
        <w:tc>
          <w:tcPr>
            <w:tcW w:w="73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p>
        </w:tc>
      </w:tr>
      <w:tr>
        <w:tblPrEx>
          <w:tblCellMar>
            <w:top w:w="0" w:type="dxa"/>
            <w:left w:w="108" w:type="dxa"/>
            <w:bottom w:w="0" w:type="dxa"/>
            <w:right w:w="108" w:type="dxa"/>
          </w:tblCellMar>
        </w:tblPrEx>
        <w:trPr>
          <w:trHeight w:val="146"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5</w:t>
            </w:r>
          </w:p>
        </w:tc>
        <w:tc>
          <w:tcPr>
            <w:tcW w:w="1693"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资金风险</w:t>
            </w:r>
          </w:p>
        </w:tc>
        <w:tc>
          <w:tcPr>
            <w:tcW w:w="773"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p>
        </w:tc>
        <w:tc>
          <w:tcPr>
            <w:tcW w:w="753"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p>
        </w:tc>
        <w:tc>
          <w:tcPr>
            <w:tcW w:w="816"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p>
        </w:tc>
        <w:tc>
          <w:tcPr>
            <w:tcW w:w="788"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p>
        </w:tc>
        <w:tc>
          <w:tcPr>
            <w:tcW w:w="884"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p>
        </w:tc>
        <w:tc>
          <w:tcPr>
            <w:tcW w:w="707"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p>
        </w:tc>
        <w:tc>
          <w:tcPr>
            <w:tcW w:w="734"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p>
        </w:tc>
      </w:tr>
    </w:tbl>
    <w:p>
      <w:pPr>
        <w:keepNext w:val="0"/>
        <w:keepLines w:val="0"/>
        <w:pageBreakBefore w:val="0"/>
        <w:kinsoku/>
        <w:wordWrap/>
        <w:overflowPunct/>
        <w:topLinePunct w:val="0"/>
        <w:autoSpaceDE/>
        <w:autoSpaceDN/>
        <w:bidi w:val="0"/>
        <w:adjustRightInd/>
        <w:snapToGrid/>
        <w:spacing w:line="240" w:lineRule="auto"/>
        <w:ind w:firstLine="0" w:firstLineChars="0"/>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1"/>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pPr>
      <w:bookmarkStart w:id="12" w:name="_Toc32034"/>
      <w:bookmarkStart w:id="13" w:name="_Toc23310"/>
      <w:bookmarkStart w:id="14" w:name="_Toc31844"/>
      <w:bookmarkStart w:id="15" w:name="_Toc10110"/>
      <w:bookmarkStart w:id="16" w:name="_Toc5174"/>
      <w:r>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t xml:space="preserve">7.2 </w:t>
      </w:r>
      <w:r>
        <w:rPr>
          <w:rFonts w:hint="eastAsia" w:ascii="仿宋" w:hAnsi="仿宋" w:eastAsia="仿宋" w:cs="仿宋"/>
          <w:b/>
          <w:bCs/>
          <w:color w:val="000000" w:themeColor="text1"/>
          <w:kern w:val="0"/>
          <w:sz w:val="32"/>
          <w:szCs w:val="32"/>
          <w:highlight w:val="none"/>
          <w14:textFill>
            <w14:solidFill>
              <w14:schemeClr w14:val="tx1"/>
            </w14:solidFill>
          </w14:textFill>
        </w:rPr>
        <w:t>风险管控方案</w:t>
      </w:r>
      <w:bookmarkEnd w:id="11"/>
      <w:bookmarkEnd w:id="12"/>
      <w:bookmarkEnd w:id="13"/>
      <w:bookmarkEnd w:id="14"/>
      <w:bookmarkEnd w:id="15"/>
      <w:bookmarkEnd w:id="16"/>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1、组织领导保障措施</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政府要将</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巴楚县阿瓦提镇以哦那个带着</w:t>
      </w:r>
      <w:r>
        <w:rPr>
          <w:rFonts w:hint="eastAsia" w:ascii="仿宋" w:hAnsi="仿宋" w:eastAsia="仿宋" w:cs="仿宋"/>
          <w:color w:val="000000" w:themeColor="text1"/>
          <w:kern w:val="0"/>
          <w:sz w:val="32"/>
          <w:szCs w:val="32"/>
          <w:highlight w:val="none"/>
          <w:lang w:val="zh-CN"/>
          <w14:textFill>
            <w14:solidFill>
              <w14:schemeClr w14:val="tx1"/>
            </w14:solidFill>
          </w14:textFill>
        </w:rPr>
        <w:t>工作列入重要议事日程，加强领导。本项目工作主要由巴楚县交通运输局统筹安排，自上而下进行，按照规划，不等不靠，全力以赴，加快推进。应该成立推进本项目工作领导机构，主要领导负总责。各有关部门要加强协作密切配合，在规划、投融资、土地保障、产业支撑、水资源保障、生态保护、城市管理、社会保障等方面出台相关配套措施，共同推动巴楚县农村道路建设项目工作。</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2、工程施工保障措施</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做好设备采购和工程招标工作。实行公开招标，选择资质等级高、社会信誉好，同时投标技术方案成熟、施工组织设计完善、工程报价合理的施工、监理企业参与本项目的工程建设。从源头堵住由于施工企业能力不足可能造成的风险因素。</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在施工过程中，按照预期制定的总进度计划，实施阶段落实。要求施工企业建立质量保证和进度控制体系，要求施工现场实现标准化、规范化、制度化，对工程进度、质量、安全实行全过程控制。</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3、管理保障措施</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建立健全各项管理制度，规范工作行为，提高工作人员业务水平和职业道德。注重人才队伍建设和各项设施配套，加强管理人员的专业技能、专业知识培训，激励工作人员大胆创新，不断提高工作质量，更好的满足基础设施发展的需要。</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4、外部协助保障措施</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建议加强与各主管部门的沟通协调，以保障项目对外供水、供热其他基础设施的顺利使用，并积极控制相关项目投资。</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5、资金保障措施</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采取积极有效的措施，在用好、管好项目资金的同时，制定切实可行的资金使用方案，保证项目能够如期完成。</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建立风险预警机制，密切关注市场建筑材料的价格变化情况，推行工程量清单计价，将工程招标放在建筑材料市场价格较低的时间，降低工程建设费用。</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在建设中还应加强项目财务收支管理，节约财务支出，建立严格的财务管理制度。加快项目建设进度，要求工程监理人员对施工过程的工程量计量、结算进行全过程监控，及时解决施工过程中遇到的实际问题，及时调整相应的工程费用，保证工程项目建设顺利进行。</w:t>
      </w:r>
    </w:p>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1"/>
        <w:rPr>
          <w:rFonts w:hint="eastAsia" w:ascii="仿宋" w:hAnsi="仿宋" w:eastAsia="仿宋" w:cs="仿宋"/>
          <w:b/>
          <w:bCs/>
          <w:color w:val="000000" w:themeColor="text1"/>
          <w:kern w:val="0"/>
          <w:sz w:val="32"/>
          <w:szCs w:val="32"/>
          <w:highlight w:val="none"/>
          <w14:textFill>
            <w14:solidFill>
              <w14:schemeClr w14:val="tx1"/>
            </w14:solidFill>
          </w14:textFill>
        </w:rPr>
      </w:pPr>
      <w:bookmarkStart w:id="17" w:name="_Toc70"/>
      <w:bookmarkStart w:id="18" w:name="_Toc28092"/>
      <w:bookmarkStart w:id="19" w:name="_Toc7495"/>
      <w:bookmarkStart w:id="20" w:name="_Toc20453"/>
      <w:bookmarkStart w:id="21" w:name="_Toc553"/>
      <w:r>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t>7</w:t>
      </w:r>
      <w:r>
        <w:rPr>
          <w:rFonts w:hint="eastAsia" w:ascii="仿宋" w:hAnsi="仿宋" w:eastAsia="仿宋" w:cs="仿宋"/>
          <w:b/>
          <w:bCs/>
          <w:color w:val="000000" w:themeColor="text1"/>
          <w:kern w:val="0"/>
          <w:sz w:val="32"/>
          <w:szCs w:val="32"/>
          <w:highlight w:val="none"/>
          <w14:textFill>
            <w14:solidFill>
              <w14:schemeClr w14:val="tx1"/>
            </w14:solidFill>
          </w14:textFill>
        </w:rPr>
        <w:t>.</w:t>
      </w:r>
      <w:r>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t xml:space="preserve">3 </w:t>
      </w:r>
      <w:r>
        <w:rPr>
          <w:rFonts w:hint="eastAsia" w:ascii="仿宋" w:hAnsi="仿宋" w:eastAsia="仿宋" w:cs="仿宋"/>
          <w:b/>
          <w:bCs/>
          <w:color w:val="000000" w:themeColor="text1"/>
          <w:kern w:val="0"/>
          <w:sz w:val="32"/>
          <w:szCs w:val="32"/>
          <w:highlight w:val="none"/>
          <w14:textFill>
            <w14:solidFill>
              <w14:schemeClr w14:val="tx1"/>
            </w14:solidFill>
          </w14:textFill>
        </w:rPr>
        <w:t>风险应急预案</w:t>
      </w:r>
      <w:bookmarkEnd w:id="17"/>
      <w:bookmarkEnd w:id="18"/>
      <w:bookmarkEnd w:id="19"/>
      <w:bookmarkEnd w:id="20"/>
      <w:bookmarkEnd w:id="21"/>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为最大限度地预防和减少道路交通事故，保障人民生命财产安全，确保道路交通安全畅通，结合巴楚县实际，制订本预案。</w:t>
      </w:r>
    </w:p>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2"/>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7.3.1</w:t>
      </w:r>
      <w:r>
        <w:rPr>
          <w:rFonts w:hint="eastAsia" w:ascii="仿宋" w:hAnsi="仿宋" w:eastAsia="仿宋" w:cs="仿宋"/>
          <w:b/>
          <w:bCs/>
          <w:color w:val="000000" w:themeColor="text1"/>
          <w:sz w:val="32"/>
          <w:szCs w:val="32"/>
          <w:highlight w:val="none"/>
          <w14:textFill>
            <w14:solidFill>
              <w14:schemeClr w14:val="tx1"/>
            </w14:solidFill>
          </w14:textFill>
        </w:rPr>
        <w:t xml:space="preserve"> 适用范围</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本预案适用于巴楚县行政区域内因恶劣天气、道路通行条件缺失、运输危险化学品发生危险等严重影响道路交通安全情形发生时的应急处置。</w:t>
      </w:r>
    </w:p>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2"/>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t>7.3.2</w:t>
      </w:r>
      <w:r>
        <w:rPr>
          <w:rFonts w:hint="eastAsia" w:ascii="仿宋" w:hAnsi="仿宋" w:eastAsia="仿宋" w:cs="仿宋"/>
          <w:b/>
          <w:bCs/>
          <w:color w:val="000000" w:themeColor="text1"/>
          <w:sz w:val="32"/>
          <w:szCs w:val="32"/>
          <w:highlight w:val="none"/>
          <w14:textFill>
            <w14:solidFill>
              <w14:schemeClr w14:val="tx1"/>
            </w14:solidFill>
          </w14:textFill>
        </w:rPr>
        <w:t xml:space="preserve"> 事故等级</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根据道路交通安全事故严重程度、涉及范围等，划分为特别重大道路交通安全事故（I级）、重大道路交通安全事故（Ⅱ级）、较大道路交通安全事故（Ⅲ级）和一般道路交通安全事故（Ⅳ级）四级。</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I级（特别重大）道路交通安全事故包括：一次死亡30人或30人以上）或者重伤100人以上的道路交通安全事故。</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II级（重大）道路交通安全事故包括：造成一次死亡10人或10人以上、30人以下或者重伤50人以上100人以下的道路交通安全事故。</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III级（较大）道路交通安全事故包括：造成一次死亡3人或以上10人以下或者重伤10人以上50人以下的道路交通安全事故。</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IV级（一般）道路交通安全事故包括：造成一次死亡3人以下或者重伤10人以下的道路交通安全事故。</w:t>
      </w:r>
    </w:p>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2"/>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7.3.3</w:t>
      </w:r>
      <w:r>
        <w:rPr>
          <w:rFonts w:hint="eastAsia" w:ascii="仿宋" w:hAnsi="仿宋" w:eastAsia="仿宋" w:cs="仿宋"/>
          <w:b/>
          <w:bCs/>
          <w:color w:val="000000" w:themeColor="text1"/>
          <w:sz w:val="32"/>
          <w:szCs w:val="32"/>
          <w:highlight w:val="none"/>
          <w14:textFill>
            <w14:solidFill>
              <w14:schemeClr w14:val="tx1"/>
            </w14:solidFill>
          </w14:textFill>
        </w:rPr>
        <w:t xml:space="preserve"> 应急处置</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1、突发事件信息报告</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派出所或交警队接到可能发生或者已经发生III级或III级以上级别道路交通安全事故的报警后，在立即报告县人民政府的同时报告县公安局指挥中心；需报告上级机关的，相关单位在规定时间内上报。应急处置过程中，在第一时间续报有关情况。</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报告内容主要包括：报告单位、报告人；联系人和联系方式；报告时间；事故发生的时间、地点和现场情况；事故的简要经过、人员伤亡和财产损失情况的初步估计；事故原因的初步分析；事故发生后已经采取的措施、效果及下一步工作方案；其他需要报告的事项。</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2、分级响应</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根据事故的等级标准，分别启动不同等级的预案。发生一般事故（Ⅳ级），县人民政府及时启动本单位应急预案，并在1小时内报告有关部门。</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发生较大事故（Ⅲ级），由县人民政府及时启动本单位应急预案，并在半小时内上报，由县应急指挥部立即启动预案，1小时内逐级上报，由县突发公共事件应急委员会决定启动相应级别的预案。</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发生特别重大（Ⅰ级）、重大事故（Ⅱ级），由县人民政府及时启动本单位应急预案，在半小时内逐级上报至县人民政府，并立即启动相应级别的应急预案，由县人民政府再向上级报告，请求救援。</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3、预案启动</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县应急指挥部在接到应急委员会关于启动处置道路交通安全事故预案的指令后，应通过应急指挥部办公室向应急成员单位发出启动预案的命令，成立现场应急指挥部，快速、有效、全面地进行应急处置。</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4、前期处置</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相关单位发现较大以上事故案情后，要及时报告县指挥部办公室（电话：110、112），指挥部办公室一方面向领导报告，一方面根据预案要求指令相关单位进行先期处置，快速处置、清理交通事故、车辆故障、危险物品泄露等事发现场。人民政府建立相邻辖区边界就近保护现场、疏导交通、抢救伤员的工作制度，最大限度提高现场处置和施救伤员速度。</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5、现场处置</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（1） 迅速成立现场指挥部，划定警戒区和疏散区，指挥现场处置组、伤员抢救组快速抢救受伤和受困人员，交通管制组、后勤保障组、治安管控组快速进行事故现场周边人员的疏散和警戒。</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（2）应急指挥部根据事态的发展及时报告县应急指挥部，报请启动处置安全生产事故灾难应急处置预案等应急处置措施，进行事态的控制和险情的排除。</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（3） 应急指挥部根据应急处置的实际需要，调令应急指挥部各成员单位依照各自职责参与应急处置；</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（4） 应急指挥部及时向县应急指挥部汇报应急处置的进展情况，执行县应急指挥部的应急处置指令。</w:t>
      </w:r>
    </w:p>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2"/>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7.3.4</w:t>
      </w:r>
      <w:r>
        <w:rPr>
          <w:rFonts w:hint="eastAsia" w:ascii="仿宋" w:hAnsi="仿宋" w:eastAsia="仿宋" w:cs="仿宋"/>
          <w:b/>
          <w:bCs/>
          <w:color w:val="000000" w:themeColor="text1"/>
          <w:sz w:val="32"/>
          <w:szCs w:val="32"/>
          <w:highlight w:val="none"/>
          <w14:textFill>
            <w14:solidFill>
              <w14:schemeClr w14:val="tx1"/>
            </w14:solidFill>
          </w14:textFill>
        </w:rPr>
        <w:t xml:space="preserve"> 事故后恢复</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1、善后处置</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（1）道路交通安全事故发生后，相关部门应当迅速采取措施，开展救济救助工作，恢复正常的社会秩序。</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2）派出所、交警队等单位，及时进行调查、统计道路交通安全事故的影响范围和受灾程度，评估、核实道路交通安全事故所造成的损失情况，报县应急委员会、市应急指挥部和相关部门，并按规定向社会公布。</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（3）卫生部门做好受伤人员的救护工作，民政等有关部门做好丧葬抚恤工作。</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（4）由经办机构及时归还征用的物资、设施、设备或占用的房屋、土地；不能及时归还或者造成损坏的，应当依照国家规定予以补偿。</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（5）参加应急救援工作导致伤残或者死亡的，其抚恤事宜按国家有关规定办理。</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2、调查与评估</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处置结束后，县人民政府要会同应急办、派出所及有关部门，对事故原因、影响、责任、经验教训和恢复重建等问题进行调查评估，并做出报告。</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highlight w:val="none"/>
          <w:lang w:val="zh-CN"/>
          <w14:textFill>
            <w14:solidFill>
              <w14:schemeClr w14:val="tx1"/>
            </w14:solidFill>
          </w14:textFill>
        </w:rPr>
        <w:t>调查报告的主要内容包括：道路交通安全事故的基本事实；事故发生后接警、出警及组织施救、现场处置情况；道路交通安全事故的直接原因；肇事和受损机动车驾驶人的基本情况；肇事和受损机动车的情况；交通事故责任认定；道路交通安全事故的间接原因及交通安全管理各环节存在的问题；对交通肇事行为人、相关责任单位和责任人追究刑事或党纪、政纪责任的情况以及整改措施。</w:t>
      </w:r>
    </w:p>
    <w:bookmarkEnd w:id="22"/>
    <w:p>
      <w:pPr>
        <w:rPr>
          <w:rFonts w:hint="eastAsia"/>
        </w:rPr>
      </w:pPr>
    </w:p>
    <w:sectPr>
      <w:headerReference r:id="rId3" w:type="default"/>
      <w:footerReference r:id="rId4" w:type="default"/>
      <w:pgSz w:w="11906" w:h="16838"/>
      <w:pgMar w:top="1440" w:right="1797" w:bottom="1440" w:left="1797" w:header="851" w:footer="992"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Yb2gj">
    <w:altName w:val="宋体"/>
    <w:panose1 w:val="00000000000000000000"/>
    <w:charset w:val="86"/>
    <w:family w:val="modern"/>
    <w:pitch w:val="default"/>
    <w:sig w:usb0="00000000" w:usb1="00000000" w:usb2="0000001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yMjViZDIyYjhlNTU5YzE4YWVjNzcyYzBlYzU4ZWUifQ=="/>
  </w:docVars>
  <w:rsids>
    <w:rsidRoot w:val="247D7B42"/>
    <w:rsid w:val="0A162F92"/>
    <w:rsid w:val="0EC63AC0"/>
    <w:rsid w:val="247D7B42"/>
    <w:rsid w:val="289A10DB"/>
    <w:rsid w:val="340D7FAC"/>
    <w:rsid w:val="43E41B03"/>
    <w:rsid w:val="45816E6E"/>
    <w:rsid w:val="479F1B59"/>
    <w:rsid w:val="4B11566B"/>
    <w:rsid w:val="59F64728"/>
    <w:rsid w:val="699E7C88"/>
    <w:rsid w:val="6B475551"/>
    <w:rsid w:val="74A87FDF"/>
    <w:rsid w:val="7C6B4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autoRedefine/>
    <w:qFormat/>
    <w:uiPriority w:val="9"/>
    <w:pPr>
      <w:keepNext/>
      <w:keepLines/>
      <w:spacing w:before="260" w:after="260" w:line="416" w:lineRule="auto"/>
      <w:jc w:val="left"/>
      <w:outlineLvl w:val="2"/>
    </w:pPr>
    <w:rPr>
      <w:rFonts w:ascii="Calibri" w:hAnsi="Calibri" w:cs="Times New Roman"/>
      <w:bCs/>
      <w:kern w:val="0"/>
      <w:szCs w:val="32"/>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widowControl w:val="0"/>
      <w:ind w:firstLine="420" w:firstLineChars="200"/>
      <w:jc w:val="both"/>
    </w:pPr>
    <w:rPr>
      <w:rFonts w:ascii="Calibri" w:hAnsi="Calibri" w:eastAsia="宋体"/>
      <w:kern w:val="2"/>
      <w:sz w:val="21"/>
      <w:szCs w:val="22"/>
    </w:rPr>
  </w:style>
  <w:style w:type="paragraph" w:styleId="4">
    <w:name w:val="Body Text Indent"/>
    <w:basedOn w:val="1"/>
    <w:next w:val="5"/>
    <w:autoRedefine/>
    <w:qFormat/>
    <w:uiPriority w:val="0"/>
    <w:pPr>
      <w:spacing w:line="560" w:lineRule="exact"/>
      <w:ind w:firstLine="615"/>
    </w:pPr>
    <w:rPr>
      <w:rFonts w:ascii="黑体" w:hAnsi="宋体" w:eastAsia="黑体"/>
      <w:b/>
      <w:bCs/>
      <w:sz w:val="30"/>
      <w:szCs w:val="30"/>
    </w:rPr>
  </w:style>
  <w:style w:type="paragraph" w:styleId="5">
    <w:name w:val="envelope return"/>
    <w:basedOn w:val="1"/>
    <w:qFormat/>
    <w:uiPriority w:val="0"/>
    <w:pPr>
      <w:snapToGrid w:val="0"/>
    </w:pPr>
    <w:rPr>
      <w:rFonts w:ascii="Arial" w:hAnsi="Arial" w:cs="Arial"/>
      <w:sz w:val="30"/>
      <w:szCs w:val="30"/>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next w:val="4"/>
    <w:autoRedefine/>
    <w:qFormat/>
    <w:uiPriority w:val="0"/>
    <w:pPr>
      <w:spacing w:after="120" w:line="240" w:lineRule="auto"/>
      <w:ind w:left="420" w:leftChars="200" w:firstLine="420"/>
    </w:pPr>
    <w:rPr>
      <w:rFonts w:ascii="Times New Roman" w:hAnsi="Times New Roman"/>
      <w:color w:val="auto"/>
      <w:kern w:val="2"/>
      <w:szCs w:val="30"/>
    </w:rPr>
  </w:style>
  <w:style w:type="paragraph" w:customStyle="1" w:styleId="11">
    <w:name w:val="Default"/>
    <w:autoRedefine/>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 w:type="paragraph" w:customStyle="1" w:styleId="12">
    <w:name w:val="列表段落1"/>
    <w:basedOn w:val="1"/>
    <w:autoRedefine/>
    <w:qFormat/>
    <w:uiPriority w:val="34"/>
    <w:pPr>
      <w:ind w:firstLine="420" w:firstLineChars="200"/>
    </w:pPr>
  </w:style>
  <w:style w:type="character" w:customStyle="1" w:styleId="13">
    <w:name w:val="NormalCharacter"/>
    <w:link w:val="1"/>
    <w:autoRedefine/>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4178</Words>
  <Characters>4375</Characters>
  <Lines>0</Lines>
  <Paragraphs>0</Paragraphs>
  <TotalTime>1</TotalTime>
  <ScaleCrop>false</ScaleCrop>
  <LinksUpToDate>false</LinksUpToDate>
  <CharactersWithSpaces>4381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2023-03-29T14:40:00Z</dcterms:created>
  <dc:creator>Lenovo</dc:creator>
  <cp:lastModifiedBy>秋去秋来</cp:lastModifiedBy>
  <cp:lastPrinted>2024-03-11T03:56:00Z</cp:lastPrinted>
  <dcterms:modified xsi:type="dcterms:W3CDTF">2024-03-14T08:46:28Z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7BC66ED21FCC4DC9AAF39340E436D68F_13</vt:lpwstr>
  </property>
</Properties>
</file>