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textAlignment w:val="center"/>
        <w:rPr>
          <w:rFonts w:hint="default" w:ascii="Times New Roman" w:hAnsi="Times New Roman" w:eastAsia="方正小标宋简体" w:cs="Times New Roman"/>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附件</w:t>
      </w:r>
      <w:r>
        <w:rPr>
          <w:rFonts w:hint="eastAsia" w:ascii="Times New Roman" w:hAnsi="Times New Roman" w:eastAsia="方正小标宋简体" w:cs="Times New Roman"/>
          <w:i w:val="0"/>
          <w:color w:val="000000"/>
          <w:kern w:val="0"/>
          <w:sz w:val="32"/>
          <w:szCs w:val="32"/>
          <w:u w:val="none"/>
          <w:lang w:val="en-US" w:eastAsia="zh-CN" w:bidi="ar"/>
        </w:rPr>
        <w:t>2.</w:t>
      </w:r>
    </w:p>
    <w:tbl>
      <w:tblPr>
        <w:tblStyle w:val="3"/>
        <w:tblW w:w="10530" w:type="dxa"/>
        <w:tblInd w:w="-105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45"/>
        <w:gridCol w:w="1110"/>
        <w:gridCol w:w="1395"/>
        <w:gridCol w:w="5265"/>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9" w:hRule="atLeast"/>
        </w:trPr>
        <w:tc>
          <w:tcPr>
            <w:tcW w:w="10530"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Times New Roman" w:hAnsi="Times New Roman" w:eastAsia="方正小标宋简体" w:cs="Times New Roman"/>
                <w:i w:val="0"/>
                <w:color w:val="000000"/>
                <w:kern w:val="0"/>
                <w:sz w:val="36"/>
                <w:szCs w:val="36"/>
                <w:u w:val="none"/>
                <w:lang w:val="en-US" w:eastAsia="zh-CN" w:bidi="ar"/>
              </w:rPr>
              <w:t>中央对地方专项转移支付区域绩效目标表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10530"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r>
              <w:rPr>
                <w:rFonts w:hint="eastAsia" w:ascii="Times New Roman" w:hAnsi="Times New Roman" w:eastAsia="宋体" w:cs="Times New Roman"/>
                <w:i w:val="0"/>
                <w:color w:val="000000"/>
                <w:kern w:val="0"/>
                <w:sz w:val="24"/>
                <w:szCs w:val="24"/>
                <w:u w:val="none"/>
                <w:lang w:val="en-US" w:eastAsia="zh-CN" w:bidi="ar"/>
              </w:rPr>
              <w:t>2024</w:t>
            </w:r>
            <w:r>
              <w:rPr>
                <w:rFonts w:hint="eastAsia" w:ascii="仿宋_GB2312" w:hAnsi="仿宋_GB2312" w:eastAsia="仿宋_GB2312" w:cs="仿宋_GB2312"/>
                <w:i w:val="0"/>
                <w:color w:val="000000"/>
                <w:kern w:val="0"/>
                <w:sz w:val="24"/>
                <w:szCs w:val="24"/>
                <w:u w:val="none"/>
                <w:lang w:val="en-US" w:eastAsia="zh-CN" w:bidi="ar"/>
              </w:rPr>
              <w:t>年度</w:t>
            </w:r>
            <w:r>
              <w:rPr>
                <w:rFonts w:hint="eastAsia" w:ascii="宋体" w:hAnsi="宋体" w:eastAsia="宋体" w:cs="宋体"/>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7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专项名称</w:t>
            </w:r>
          </w:p>
        </w:tc>
        <w:tc>
          <w:tcPr>
            <w:tcW w:w="67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Times New Roman" w:hAnsi="Times New Roman" w:eastAsia="宋体" w:cs="Times New Roman"/>
                <w:i w:val="0"/>
                <w:color w:val="000000"/>
                <w:kern w:val="0"/>
                <w:sz w:val="24"/>
                <w:szCs w:val="24"/>
                <w:u w:val="none"/>
                <w:lang w:val="en-US" w:eastAsia="zh-CN" w:bidi="ar"/>
              </w:rPr>
              <w:t>2024</w:t>
            </w:r>
            <w:r>
              <w:rPr>
                <w:rFonts w:hint="eastAsia" w:ascii="仿宋_GB2312" w:hAnsi="仿宋_GB2312" w:eastAsia="仿宋_GB2312" w:cs="仿宋_GB2312"/>
                <w:i w:val="0"/>
                <w:color w:val="000000"/>
                <w:kern w:val="0"/>
                <w:sz w:val="21"/>
                <w:szCs w:val="21"/>
                <w:u w:val="none"/>
                <w:lang w:val="en-US" w:eastAsia="zh-CN" w:bidi="ar"/>
              </w:rPr>
              <w:t>年中央医疗服务与保障能力提升（中医药传承与发展部分）补助资金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trPr>
        <w:tc>
          <w:tcPr>
            <w:tcW w:w="37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中央主管部门</w:t>
            </w:r>
          </w:p>
        </w:tc>
        <w:tc>
          <w:tcPr>
            <w:tcW w:w="67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国家卫健委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37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省级财政部门</w:t>
            </w:r>
          </w:p>
        </w:tc>
        <w:tc>
          <w:tcPr>
            <w:tcW w:w="67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自治区财政厅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375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资金情况（万元）</w:t>
            </w:r>
          </w:p>
        </w:tc>
        <w:tc>
          <w:tcPr>
            <w:tcW w:w="5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年度金额：</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375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其中：中央补助</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3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年度总体目标</w:t>
            </w:r>
          </w:p>
        </w:tc>
        <w:tc>
          <w:tcPr>
            <w:tcW w:w="928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default" w:ascii="Times New Roman" w:hAnsi="Times New Roman" w:eastAsia="仿宋_GB2312" w:cs="Times New Roman"/>
                <w:i w:val="0"/>
                <w:color w:val="000000"/>
                <w:kern w:val="0"/>
                <w:sz w:val="21"/>
                <w:szCs w:val="21"/>
                <w:u w:val="none"/>
                <w:lang w:val="en-US" w:eastAsia="zh-CN" w:bidi="ar"/>
              </w:rPr>
              <w:t>2024年，中央财政投入200万元，支持巴楚县</w:t>
            </w:r>
            <w:r>
              <w:rPr>
                <w:rFonts w:hint="eastAsia" w:ascii="Times New Roman" w:hAnsi="Times New Roman" w:eastAsia="仿宋_GB2312" w:cs="Times New Roman"/>
                <w:i w:val="0"/>
                <w:color w:val="000000"/>
                <w:kern w:val="0"/>
                <w:sz w:val="21"/>
                <w:szCs w:val="21"/>
                <w:u w:val="none"/>
                <w:lang w:val="en-US" w:eastAsia="zh-CN" w:bidi="ar"/>
              </w:rPr>
              <w:t>中医</w:t>
            </w:r>
            <w:r>
              <w:rPr>
                <w:rFonts w:hint="default" w:ascii="Times New Roman" w:hAnsi="Times New Roman" w:eastAsia="仿宋_GB2312" w:cs="Times New Roman"/>
                <w:i w:val="0"/>
                <w:color w:val="000000"/>
                <w:kern w:val="0"/>
                <w:sz w:val="21"/>
                <w:szCs w:val="21"/>
                <w:u w:val="none"/>
                <w:lang w:val="en-US" w:eastAsia="zh-CN" w:bidi="ar"/>
              </w:rPr>
              <w:t>医院加强基层中医药服务能力建设。目标要求建设2个中医特色优势专科(专病)，建成1个中医适宜技术推广中心。医院发展规划和专科发展水平，合理确定2个拟建设的中医特色优势专科，应优先开展急诊科建设，有效提升中医诊疗水平，形成与县级综合医院错位发展、优势互补的发展模式</w:t>
            </w:r>
            <w:r>
              <w:rPr>
                <w:rFonts w:hint="eastAsia" w:ascii="Times New Roman" w:hAnsi="Times New Roman" w:eastAsia="仿宋_GB2312"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建设成为县域中医适宜技术推广中心，发挥县级中医医院的辐射带动作用，将简便验廉的中医适宜技术推广到辖区内的所有乡村和社区医疗卫生机构，以“医共体”“县乡一体”“乡村一体”等多种形式，指导、规范、优化基层中医药服务提供，发挥中医药特色优势，持续提高基层中医药服务可及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5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1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产出指标</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数量指标</w:t>
            </w:r>
          </w:p>
        </w:tc>
        <w:tc>
          <w:tcPr>
            <w:tcW w:w="5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中医特色优势专科(专病)建设数量</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1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5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支持基层中医院服务能力建设的县级医院数量</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4家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1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5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中医适宜技术推广中心数量</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1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5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基层中医药人员中医适宜技术掌握数量</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6类10项以上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1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139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质量指标</w:t>
            </w:r>
          </w:p>
        </w:tc>
        <w:tc>
          <w:tcPr>
            <w:tcW w:w="5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中医药适宜技术推广中心建设合格率</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1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139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5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乡镇卫生院中医适宜技术使用率</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1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139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5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中医适宜技术推广培训率</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1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139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5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中医适宜技术推广培训合格率</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1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时效指标</w:t>
            </w:r>
          </w:p>
        </w:tc>
        <w:tc>
          <w:tcPr>
            <w:tcW w:w="5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中医特色优势专科(专病)建设项目完成时间</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1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1395"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5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项目完成时间</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10个月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10" w:type="dxa"/>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效益指标</w:t>
            </w:r>
          </w:p>
        </w:tc>
        <w:tc>
          <w:tcPr>
            <w:tcW w:w="13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社会效益指标</w:t>
            </w:r>
          </w:p>
        </w:tc>
        <w:tc>
          <w:tcPr>
            <w:tcW w:w="526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中医药人才技术水平及服务能力</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明显提高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139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可持续性影响指标</w:t>
            </w:r>
          </w:p>
        </w:tc>
        <w:tc>
          <w:tcPr>
            <w:tcW w:w="526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人民群众中医药服务获得感</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较上一年提高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1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526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中医药服务能力</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较上一年提升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满意度指标</w:t>
            </w:r>
          </w:p>
        </w:tc>
        <w:tc>
          <w:tcPr>
            <w:tcW w:w="1395"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满意</w:t>
            </w:r>
            <w:bookmarkStart w:id="0" w:name="_GoBack"/>
            <w:bookmarkEnd w:id="0"/>
            <w:r>
              <w:rPr>
                <w:rFonts w:hint="eastAsia" w:ascii="仿宋_GB2312" w:hAnsi="仿宋_GB2312" w:eastAsia="仿宋_GB2312" w:cs="仿宋_GB2312"/>
                <w:i w:val="0"/>
                <w:color w:val="000000"/>
                <w:kern w:val="0"/>
                <w:sz w:val="21"/>
                <w:szCs w:val="21"/>
                <w:u w:val="none"/>
                <w:lang w:val="en-US" w:eastAsia="zh-CN" w:bidi="ar"/>
              </w:rPr>
              <w:t>度指标</w:t>
            </w:r>
          </w:p>
        </w:tc>
        <w:tc>
          <w:tcPr>
            <w:tcW w:w="5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培训对象满意度</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0"/>
                <w:sz w:val="21"/>
                <w:szCs w:val="21"/>
                <w:u w:val="none"/>
                <w:lang w:val="en-US" w:eastAsia="zh-CN" w:bidi="ar"/>
              </w:rPr>
            </w:pPr>
          </w:p>
        </w:tc>
        <w:tc>
          <w:tcPr>
            <w:tcW w:w="139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0"/>
                <w:sz w:val="21"/>
                <w:szCs w:val="21"/>
                <w:u w:val="none"/>
                <w:lang w:val="en-US" w:eastAsia="zh-CN" w:bidi="ar"/>
              </w:rPr>
            </w:pPr>
          </w:p>
        </w:tc>
        <w:tc>
          <w:tcPr>
            <w:tcW w:w="5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患者满意度</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85%</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lvlRestart w:val="0"/>
      <w:suff w:val="nothing"/>
      <w:lvlText w:val=""/>
      <w:lvlJc w:val="left"/>
      <w:pPr>
        <w:tabs>
          <w:tab w:val="left" w:pos="0"/>
        </w:tabs>
        <w:ind w:left="992" w:hanging="992"/>
      </w:pPr>
    </w:lvl>
    <w:lvl w:ilvl="2" w:tentative="0">
      <w:start w:val="1"/>
      <w:numFmt w:val="none"/>
      <w:lvlRestart w:val="0"/>
      <w:pStyle w:val="2"/>
      <w:suff w:val="nothing"/>
      <w:lvlText w:val=""/>
      <w:lvlJc w:val="left"/>
      <w:pPr>
        <w:tabs>
          <w:tab w:val="left" w:pos="0"/>
        </w:tabs>
        <w:ind w:left="1418" w:hanging="1418"/>
      </w:pPr>
    </w:lvl>
    <w:lvl w:ilvl="3" w:tentative="0">
      <w:start w:val="1"/>
      <w:numFmt w:val="none"/>
      <w:lvlRestart w:val="0"/>
      <w:suff w:val="nothing"/>
      <w:lvlText w:val=""/>
      <w:lvlJc w:val="left"/>
      <w:pPr>
        <w:tabs>
          <w:tab w:val="left" w:pos="0"/>
        </w:tabs>
        <w:ind w:left="1984" w:hanging="1984"/>
      </w:pPr>
    </w:lvl>
    <w:lvl w:ilvl="4" w:tentative="0">
      <w:start w:val="1"/>
      <w:numFmt w:val="none"/>
      <w:lvlRestart w:val="0"/>
      <w:suff w:val="nothing"/>
      <w:lvlText w:val=""/>
      <w:lvlJc w:val="left"/>
      <w:pPr>
        <w:tabs>
          <w:tab w:val="left" w:pos="0"/>
        </w:tabs>
        <w:ind w:left="2551" w:hanging="2551"/>
      </w:pPr>
    </w:lvl>
    <w:lvl w:ilvl="5" w:tentative="0">
      <w:start w:val="1"/>
      <w:numFmt w:val="none"/>
      <w:lvlRestart w:val="0"/>
      <w:suff w:val="nothing"/>
      <w:lvlText w:val=""/>
      <w:lvlJc w:val="left"/>
      <w:pPr>
        <w:tabs>
          <w:tab w:val="left" w:pos="0"/>
        </w:tabs>
        <w:ind w:left="3260" w:hanging="3260"/>
      </w:pPr>
    </w:lvl>
    <w:lvl w:ilvl="6" w:tentative="0">
      <w:start w:val="1"/>
      <w:numFmt w:val="none"/>
      <w:lvlRestart w:val="0"/>
      <w:suff w:val="nothing"/>
      <w:lvlText w:val=""/>
      <w:lvlJc w:val="left"/>
      <w:pPr>
        <w:tabs>
          <w:tab w:val="left" w:pos="0"/>
        </w:tabs>
        <w:ind w:left="3827" w:hanging="3827"/>
      </w:pPr>
    </w:lvl>
    <w:lvl w:ilvl="7" w:tentative="0">
      <w:start w:val="1"/>
      <w:numFmt w:val="none"/>
      <w:lvlRestart w:val="0"/>
      <w:suff w:val="nothing"/>
      <w:lvlText w:val=""/>
      <w:lvlJc w:val="left"/>
      <w:pPr>
        <w:tabs>
          <w:tab w:val="left" w:pos="0"/>
        </w:tabs>
        <w:ind w:left="4394" w:hanging="4394"/>
      </w:pPr>
    </w:lvl>
    <w:lvl w:ilvl="8" w:tentative="0">
      <w:start w:val="1"/>
      <w:numFmt w:val="none"/>
      <w:lvlRestart w:val="0"/>
      <w:suff w:val="nothing"/>
      <w:lvlText w:val=""/>
      <w:lvlJc w:val="left"/>
      <w:pPr>
        <w:tabs>
          <w:tab w:val="left" w:pos="0"/>
        </w:tabs>
        <w:ind w:left="5102" w:hanging="510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3NTY1NTUyMTcxODA5YWNkZGJmOTIzNjQxYmVjNzYifQ=="/>
  </w:docVars>
  <w:rsids>
    <w:rsidRoot w:val="00000000"/>
    <w:rsid w:val="450F2E81"/>
    <w:rsid w:val="700E5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2"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2"/>
    <w:pPr>
      <w:keepLines/>
      <w:numPr>
        <w:ilvl w:val="2"/>
        <w:numId w:val="1"/>
      </w:numPr>
      <w:spacing w:before="260" w:after="260" w:line="408" w:lineRule="auto"/>
      <w:outlineLvl w:val="2"/>
    </w:pPr>
    <w:rPr>
      <w:rFonts w:ascii="Times New Roman" w:hAnsi="Times New Roman" w:eastAsia="宋体" w:cs="Tahoma"/>
      <w:b/>
      <w:bCs/>
      <w:sz w:val="32"/>
      <w:szCs w:val="32"/>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2024-01-10T09:40:00Z</dcterms:created>
  <dc:creator>Administrator</dc:creator>
  <cp:lastModifiedBy>Administrator</cp:lastModifiedBy>
  <dcterms:modified xsi:type="dcterms:W3CDTF">2024-01-17T10:38:30Z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63257A9F385347619EBA6F191819A729_12</vt:lpwstr>
  </property>
</Properties>
</file>