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98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17"/>
        <w:gridCol w:w="956"/>
        <w:gridCol w:w="4744"/>
        <w:gridCol w:w="937"/>
        <w:gridCol w:w="82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8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附件2.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公共就业服务能力提升示范项目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 （万元）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中央财政补助（万元）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其他（万元）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总体技能</w:t>
            </w:r>
          </w:p>
        </w:tc>
        <w:tc>
          <w:tcPr>
            <w:tcW w:w="9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  <w:t>通过实施“三大工程”“十六项行动”，实现全地区劳动力职业技能大步提升、产业技能人才数量大幅提升、基层公共就业服务力量明显提升、公共就业服务质量有效提升、重点群体帮扶体系能力全面提升、劳动者收入水平显著提升等“六大提升”，让各族人民群众获得感、幸福感、安全感更加充实、更有保障、更可持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  <w:t>目标1：培训提技能。强化职业技能培训体系，建设产教融合联合体、开展技能人才培训行动、升级一批高技能人才培训基地、健全职业技能等级评价体系、培育一批产业高技能人才。开展补贴性职业技能培训，满足产业发展、经济社会发展的人才需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  <w:t>目标2：兜底稳就业。健全公共就业服务体系，创建一批高质量充分就业社区，培育一批专业化基层服务队伍，打造一批“家门口就业”服务站，实施规范化零工市场建设，建设数字化人力资源产业园平台，兜牢重点群体就业底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  <w:t>目标3：智能强服务。升级就业信息化体系，升级打造四级联动科学决策及智慧监测服务系统、数字化服务大厅、“一网通办”政策经办系统服务量，“一网通办”求职招聘系统服务量，为劳动者提供高校、便捷、安全的公共就业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2023年完成值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2024年目标值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服务登记失业人员数（万人）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服务高校毕业生人数（万人）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服务农村转移劳动力人数（万人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服务脱贫劳动力人数（万人）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服务就业困难人员数（万人）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开展补贴性职业技能培训（万人次）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打造特色劳务品牌数量（累计）（个）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就业经办系统服务数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就业信息平台求职招聘信息发布数量（万个）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技能劳动者总量占比（％）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高校未就业毕业生和困难失业青年“一对一”帮扶联系率（％）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接受职业培训后取得职业资格证书（或职业技能等级证书、专项职业能力证书、培训合格证书）人员比例（％）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通过服务实现就业人数占服务人数比（％）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提供“一人一策”精细化服务情况（万人）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带动新增就业人数（万人）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失业人员在就业人数（万人）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就业困难人员再就业人数（万人）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零就业家庭帮扶率（％）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因就业问题发生重大群体性事件数（件）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登记失业人员帮扶率（％）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就业困难人员帮扶率（％）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公共就业服务满意度（％）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职业技能培训对象满意度（％）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就业扶持政策经办服务满意度（％）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</w:tr>
    </w:tbl>
    <w:p>
      <w:pPr>
        <w:pStyle w:val="2"/>
        <w:keepNext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rPr>
          <w:rFonts w:hint="eastAsia"/>
          <w:highlight w:val="none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pgNumType w:fmt="numberInDash" w:start="1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516B"/>
    <w:rsid w:val="49A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2024-06-21T12:35:00Z</dcterms:created>
  <dc:creator>Administrator</dc:creator>
  <cp:lastModifiedBy>Administrator</cp:lastModifiedBy>
  <dcterms:modified xsi:type="dcterms:W3CDTF">2024-06-21T12:36:34Z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