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907" w:tblpY="-38"/>
        <w:tblOverlap w:val="never"/>
        <w:tblW w:w="10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0"/>
        <w:gridCol w:w="1275"/>
        <w:gridCol w:w="1650"/>
        <w:gridCol w:w="391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rPr>
        <w:tc>
          <w:tcPr>
            <w:tcW w:w="10440" w:type="dxa"/>
            <w:gridSpan w:val="5"/>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left"/>
              <w:textAlignment w:val="center"/>
              <w:rPr>
                <w:rFonts w:hint="default" w:ascii="Times New Roman" w:hAnsi="Times New Roman" w:eastAsia="仿宋_GB2312" w:cs="Times New Roman"/>
                <w:b w:val="0"/>
                <w:bCs/>
                <w:i w:val="0"/>
                <w:color w:val="000000"/>
                <w:kern w:val="0"/>
                <w:sz w:val="36"/>
                <w:szCs w:val="36"/>
                <w:u w:val="none"/>
                <w:lang w:val="en-US" w:eastAsia="zh-CN" w:bidi="ar"/>
              </w:rPr>
            </w:pPr>
            <w:r>
              <w:rPr>
                <w:rFonts w:hint="eastAsia" w:ascii="Times New Roman" w:hAnsi="Times New Roman" w:eastAsia="仿宋_GB2312" w:cs="Times New Roman"/>
                <w:b w:val="0"/>
                <w:bCs/>
                <w:i w:val="0"/>
                <w:color w:val="000000"/>
                <w:kern w:val="0"/>
                <w:sz w:val="21"/>
                <w:szCs w:val="21"/>
                <w:u w:val="none"/>
                <w:lang w:val="en-US" w:eastAsia="zh-CN" w:bidi="ar"/>
              </w:rPr>
              <w:t>附件</w:t>
            </w:r>
            <w:r>
              <w:rPr>
                <w:rFonts w:hint="eastAsia" w:ascii="Times New Roman" w:hAnsi="Times New Roman" w:eastAsia="仿宋_GB2312" w:cs="Times New Roman"/>
                <w:b w:val="0"/>
                <w:bCs/>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rPr>
        <w:tc>
          <w:tcPr>
            <w:tcW w:w="10440" w:type="dxa"/>
            <w:gridSpan w:val="5"/>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0"/>
                <w:sz w:val="36"/>
                <w:szCs w:val="36"/>
                <w:u w:val="none"/>
                <w:lang w:val="en-US" w:eastAsia="zh-CN" w:bidi="ar"/>
              </w:rPr>
            </w:pPr>
            <w:bookmarkStart w:id="0" w:name="_GoBack"/>
            <w:bookmarkEnd w:id="0"/>
            <w:r>
              <w:rPr>
                <w:rFonts w:hint="default" w:ascii="Times New Roman" w:hAnsi="Times New Roman" w:eastAsia="仿宋_GB2312" w:cs="Times New Roman"/>
                <w:b w:val="0"/>
                <w:bCs/>
                <w:i w:val="0"/>
                <w:color w:val="000000"/>
                <w:kern w:val="0"/>
                <w:sz w:val="36"/>
                <w:szCs w:val="36"/>
                <w:u w:val="none"/>
                <w:lang w:val="en-US" w:eastAsia="zh-CN" w:bidi="ar"/>
              </w:rPr>
              <w:t>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10440" w:type="dxa"/>
            <w:gridSpan w:val="5"/>
            <w:tcBorders>
              <w:top w:val="nil"/>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i w:val="0"/>
                <w:color w:val="000000"/>
                <w:sz w:val="36"/>
                <w:szCs w:val="36"/>
                <w:u w:val="none"/>
              </w:rPr>
            </w:pPr>
            <w:r>
              <w:rPr>
                <w:rFonts w:hint="default" w:ascii="Times New Roman" w:hAnsi="Times New Roman" w:eastAsia="仿宋_GB2312" w:cs="Times New Roman"/>
                <w:b w:val="0"/>
                <w:bCs w:val="0"/>
                <w:i w:val="0"/>
                <w:color w:val="000000"/>
                <w:kern w:val="0"/>
                <w:sz w:val="30"/>
                <w:szCs w:val="30"/>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trPr>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项目名称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巴楚县2024年农村危房改造补助项目</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项目负责人</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魏永昌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财政部门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巴楚县财政局</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主管部门</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巴楚县住房和城乡建设局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资金情况</w:t>
            </w:r>
            <w:r>
              <w:rPr>
                <w:rFonts w:hint="default" w:ascii="Times New Roman" w:hAnsi="Times New Roman" w:eastAsia="仿宋_GB2312" w:cs="Times New Roman"/>
                <w:b w:val="0"/>
                <w:bCs/>
                <w:i w:val="0"/>
                <w:color w:val="000000"/>
                <w:kern w:val="0"/>
                <w:sz w:val="21"/>
                <w:szCs w:val="21"/>
                <w:u w:val="none"/>
                <w:lang w:val="en-US" w:eastAsia="zh-CN" w:bidi="ar"/>
              </w:rPr>
              <w:br w:type="textWrapping"/>
            </w:r>
            <w:r>
              <w:rPr>
                <w:rFonts w:hint="default" w:ascii="Times New Roman" w:hAnsi="Times New Roman" w:eastAsia="仿宋_GB2312" w:cs="Times New Roman"/>
                <w:b w:val="0"/>
                <w:bCs/>
                <w:i w:val="0"/>
                <w:color w:val="000000"/>
                <w:kern w:val="0"/>
                <w:sz w:val="21"/>
                <w:szCs w:val="21"/>
                <w:u w:val="none"/>
                <w:lang w:val="en-US" w:eastAsia="zh-CN" w:bidi="ar"/>
              </w:rPr>
              <w:t>（万元）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ind w:firstLineChars="100"/>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年度资金总额：</w:t>
            </w:r>
          </w:p>
        </w:tc>
        <w:tc>
          <w:tcPr>
            <w:tcW w:w="6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i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ind w:firstLineChars="100"/>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其中：财政拨款</w:t>
            </w:r>
          </w:p>
        </w:tc>
        <w:tc>
          <w:tcPr>
            <w:tcW w:w="6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i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ind w:firstLineChars="100"/>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其他资金</w:t>
            </w:r>
          </w:p>
        </w:tc>
        <w:tc>
          <w:tcPr>
            <w:tcW w:w="6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总体目标</w:t>
            </w:r>
          </w:p>
        </w:tc>
        <w:tc>
          <w:tcPr>
            <w:tcW w:w="97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97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N/>
              <w:bidi w:val="0"/>
              <w:adjustRightInd/>
              <w:snapToGrid/>
              <w:spacing w:line="560" w:lineRule="exact"/>
              <w:jc w:val="both"/>
              <w:textAlignment w:val="top"/>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支持农村低收入群体等重点对象农房抗震改造、保障其基本住房安全。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绩效指标</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一级指标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二级指标</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三级指标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产出指标</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数量指标</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ind w:firstLineChars="100"/>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农村低收入群体等重点对象危房改造户数</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应改尽改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continue"/>
            <w:tcBorders>
              <w:left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lang w:val="en-US" w:eastAsia="zh-CN"/>
              </w:rPr>
            </w:pPr>
            <w:r>
              <w:rPr>
                <w:rFonts w:hint="default" w:ascii="Times New Roman" w:hAnsi="Times New Roman" w:eastAsia="仿宋_GB2312" w:cs="Times New Roman"/>
                <w:b w:val="0"/>
                <w:bCs/>
                <w:i w:val="0"/>
                <w:color w:val="000000"/>
                <w:sz w:val="21"/>
                <w:szCs w:val="21"/>
                <w:u w:val="none"/>
                <w:lang w:val="en-US" w:eastAsia="zh-CN"/>
              </w:rPr>
              <w:t>7度以上抗震设防地区农村低收入群体等重点对象抗震不达标农房改造数</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依申请应改尽改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continue"/>
            <w:tcBorders>
              <w:left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6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质量指标</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改造后房屋验收合格率</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continue"/>
            <w:tcBorders>
              <w:left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39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ind w:firstLineChars="100"/>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对象准确率</w:t>
            </w:r>
          </w:p>
        </w:tc>
        <w:tc>
          <w:tcPr>
            <w:tcW w:w="29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continue"/>
            <w:tcBorders>
              <w:left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65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39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ind w:firstLineChars="100"/>
              <w:jc w:val="center"/>
              <w:textAlignment w:val="center"/>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农房设计</w:t>
            </w:r>
          </w:p>
        </w:tc>
        <w:tc>
          <w:tcPr>
            <w:tcW w:w="29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有基本设计或采用标准图集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continue"/>
            <w:tcBorders>
              <w:left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650" w:type="dxa"/>
            <w:vMerge w:val="restart"/>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时效指标</w:t>
            </w:r>
          </w:p>
        </w:tc>
        <w:tc>
          <w:tcPr>
            <w:tcW w:w="391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lang w:val="en-US"/>
              </w:rPr>
            </w:pPr>
            <w:r>
              <w:rPr>
                <w:rFonts w:hint="default" w:ascii="Times New Roman" w:hAnsi="Times New Roman" w:eastAsia="仿宋_GB2312" w:cs="Times New Roman"/>
                <w:b w:val="0"/>
                <w:bCs/>
                <w:i w:val="0"/>
                <w:color w:val="000000"/>
                <w:kern w:val="0"/>
                <w:sz w:val="21"/>
                <w:szCs w:val="21"/>
                <w:u w:val="none"/>
                <w:lang w:val="en-US" w:eastAsia="zh-CN" w:bidi="ar"/>
              </w:rPr>
              <w:t>改造后发起验收申请30日内补助资金发放率</w:t>
            </w:r>
          </w:p>
        </w:tc>
        <w:tc>
          <w:tcPr>
            <w:tcW w:w="2910"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lang w:val="en-US" w:eastAsia="zh-CN"/>
              </w:rPr>
            </w:pPr>
            <w:r>
              <w:rPr>
                <w:rFonts w:hint="eastAsia" w:ascii="仿宋_GB2312" w:hAnsi="仿宋_GB2312" w:eastAsia="仿宋_GB2312" w:cs="仿宋_GB2312"/>
                <w:b w:val="0"/>
                <w:bCs/>
                <w:i w:val="0"/>
                <w:color w:val="000000"/>
                <w:sz w:val="21"/>
                <w:szCs w:val="21"/>
                <w:u w:val="none"/>
              </w:rPr>
              <w:t>≥</w:t>
            </w:r>
            <w:r>
              <w:rPr>
                <w:rFonts w:hint="default" w:ascii="Times New Roman" w:hAnsi="Times New Roman" w:eastAsia="仿宋_GB2312" w:cs="Times New Roman"/>
                <w:b w:val="0"/>
                <w:bCs/>
                <w:i w:val="0"/>
                <w:color w:val="000000"/>
                <w:sz w:val="21"/>
                <w:szCs w:val="21"/>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continue"/>
            <w:tcBorders>
              <w:left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650"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危房改造和农房抗震改造竣工率</w:t>
            </w:r>
          </w:p>
        </w:tc>
        <w:tc>
          <w:tcPr>
            <w:tcW w:w="29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eastAsia" w:ascii="仿宋_GB2312" w:hAnsi="仿宋_GB2312" w:eastAsia="仿宋_GB2312" w:cs="仿宋_GB2312"/>
                <w:b w:val="0"/>
                <w:bCs/>
                <w:i w:val="0"/>
                <w:color w:val="000000"/>
                <w:sz w:val="21"/>
                <w:szCs w:val="21"/>
                <w:u w:val="none"/>
              </w:rPr>
              <w:t>≥</w:t>
            </w:r>
            <w:r>
              <w:rPr>
                <w:rFonts w:hint="default" w:ascii="Times New Roman" w:hAnsi="Times New Roman" w:eastAsia="仿宋_GB2312" w:cs="Times New Roman"/>
                <w:b w:val="0"/>
                <w:bCs/>
                <w:i w:val="0"/>
                <w:color w:val="000000"/>
                <w:sz w:val="21"/>
                <w:szCs w:val="21"/>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continue"/>
            <w:tcBorders>
              <w:left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650"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成本指标</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制定和实施分类分级补助标准</w:t>
            </w:r>
          </w:p>
        </w:tc>
        <w:tc>
          <w:tcPr>
            <w:tcW w:w="29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全面落实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650" w:type="dxa"/>
            <w:vMerge w:val="continue"/>
            <w:tcBorders>
              <w:left w:val="single" w:color="auto"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0"/>
                <w:sz w:val="21"/>
                <w:szCs w:val="21"/>
                <w:u w:val="none"/>
                <w:lang w:val="en-US" w:eastAsia="zh-CN" w:bidi="ar"/>
              </w:rPr>
            </w:pP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科学选择改造方式减轻农户负担</w:t>
            </w:r>
          </w:p>
        </w:tc>
        <w:tc>
          <w:tcPr>
            <w:tcW w:w="29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因地制宜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lang w:eastAsia="zh-CN"/>
              </w:rPr>
            </w:pPr>
            <w:r>
              <w:rPr>
                <w:rFonts w:hint="default" w:ascii="Times New Roman" w:hAnsi="Times New Roman" w:eastAsia="仿宋_GB2312" w:cs="Times New Roman"/>
                <w:b w:val="0"/>
                <w:bCs/>
                <w:i w:val="0"/>
                <w:color w:val="000000"/>
                <w:sz w:val="21"/>
                <w:szCs w:val="21"/>
                <w:u w:val="none"/>
                <w:lang w:eastAsia="zh-CN"/>
              </w:rPr>
              <w:t>效益指标</w:t>
            </w:r>
          </w:p>
        </w:tc>
        <w:tc>
          <w:tcPr>
            <w:tcW w:w="1650"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0"/>
                <w:sz w:val="21"/>
                <w:szCs w:val="21"/>
                <w:u w:val="none"/>
                <w:lang w:val="en-US" w:eastAsia="zh-CN" w:bidi="ar"/>
              </w:rPr>
            </w:pPr>
            <w:r>
              <w:rPr>
                <w:rFonts w:hint="default" w:ascii="Times New Roman" w:hAnsi="Times New Roman" w:eastAsia="仿宋_GB2312" w:cs="Times New Roman"/>
                <w:b w:val="0"/>
                <w:bCs/>
                <w:i w:val="0"/>
                <w:color w:val="000000"/>
                <w:kern w:val="0"/>
                <w:sz w:val="21"/>
                <w:szCs w:val="21"/>
                <w:u w:val="none"/>
                <w:lang w:val="en-US" w:eastAsia="zh-CN" w:bidi="ar"/>
              </w:rPr>
              <w:t>社会效益指标</w:t>
            </w:r>
          </w:p>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ind w:firstLineChars="100"/>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实施农村危房改造和抗震改造后房屋抗震能力</w:t>
            </w:r>
          </w:p>
        </w:tc>
        <w:tc>
          <w:tcPr>
            <w:tcW w:w="29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达到当地抗震设防标准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650" w:type="dxa"/>
            <w:vMerge w:val="continue"/>
            <w:tcBorders>
              <w:left w:val="single" w:color="auto"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39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ind w:firstLineChars="100"/>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提高农村居民生活质量</w:t>
            </w:r>
          </w:p>
        </w:tc>
        <w:tc>
          <w:tcPr>
            <w:tcW w:w="2910"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650"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p>
        </w:tc>
        <w:tc>
          <w:tcPr>
            <w:tcW w:w="391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ind w:firstLineChars="100"/>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改善乡村整体环境</w:t>
            </w:r>
          </w:p>
        </w:tc>
        <w:tc>
          <w:tcPr>
            <w:tcW w:w="29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有效改善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可持续影响指标</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改造后房屋保证安全期限</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w:t>
            </w:r>
            <w:r>
              <w:rPr>
                <w:rFonts w:hint="default" w:ascii="Times New Roman" w:hAnsi="Times New Roman" w:eastAsia="仿宋_GB2312" w:cs="Times New Roman"/>
                <w:b w:val="0"/>
                <w:bCs/>
                <w:i w:val="0"/>
                <w:color w:val="000000"/>
                <w:kern w:val="0"/>
                <w:sz w:val="21"/>
                <w:szCs w:val="21"/>
                <w:u w:val="none"/>
                <w:lang w:val="en-US" w:eastAsia="zh-CN" w:bidi="ar"/>
              </w:rPr>
              <w:t>50年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pageBreakBefore w:val="0"/>
              <w:kinsoku/>
              <w:wordWrap/>
              <w:overflowPunct/>
              <w:topLinePunct w:val="0"/>
              <w:autoSpaceDN/>
              <w:bidi w:val="0"/>
              <w:adjustRightInd/>
              <w:snapToGrid/>
              <w:spacing w:line="560" w:lineRule="exact"/>
              <w:jc w:val="center"/>
              <w:rPr>
                <w:rFonts w:hint="default" w:ascii="Times New Roman" w:hAnsi="Times New Roman" w:eastAsia="仿宋_GB2312" w:cs="Times New Roman"/>
                <w:b w:val="0"/>
                <w:bCs/>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满意度指标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服务对象满意度指标</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default" w:ascii="Times New Roman" w:hAnsi="Times New Roman" w:eastAsia="仿宋_GB2312" w:cs="Times New Roman"/>
                <w:b w:val="0"/>
                <w:bCs/>
                <w:i w:val="0"/>
                <w:color w:val="000000"/>
                <w:kern w:val="0"/>
                <w:sz w:val="21"/>
                <w:szCs w:val="21"/>
                <w:u w:val="none"/>
                <w:lang w:val="en-US" w:eastAsia="zh-CN" w:bidi="ar"/>
              </w:rPr>
              <w:t>受益群众满意度</w:t>
            </w:r>
          </w:p>
        </w:tc>
        <w:tc>
          <w:tcPr>
            <w:tcW w:w="2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w:t>
            </w:r>
            <w:r>
              <w:rPr>
                <w:rFonts w:hint="default" w:ascii="Times New Roman" w:hAnsi="Times New Roman" w:eastAsia="仿宋_GB2312" w:cs="Times New Roman"/>
                <w:b w:val="0"/>
                <w:bCs/>
                <w:i w:val="0"/>
                <w:color w:val="000000"/>
                <w:kern w:val="0"/>
                <w:sz w:val="21"/>
                <w:szCs w:val="21"/>
                <w:u w:val="none"/>
                <w:lang w:val="en-US" w:eastAsia="zh-CN" w:bidi="ar"/>
              </w:rPr>
              <w:t>95%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lvlRestart w:val="0"/>
      <w:suff w:val="nothing"/>
      <w:lvlText w:val=""/>
      <w:lvlJc w:val="left"/>
      <w:pPr>
        <w:tabs>
          <w:tab w:val="left" w:pos="0"/>
        </w:tabs>
        <w:ind w:left="992" w:hanging="992"/>
      </w:pPr>
    </w:lvl>
    <w:lvl w:ilvl="2" w:tentative="0">
      <w:start w:val="1"/>
      <w:numFmt w:val="none"/>
      <w:lvlRestart w:val="0"/>
      <w:pStyle w:val="2"/>
      <w:suff w:val="nothing"/>
      <w:lvlText w:val=""/>
      <w:lvlJc w:val="left"/>
      <w:pPr>
        <w:tabs>
          <w:tab w:val="left" w:pos="0"/>
        </w:tabs>
        <w:ind w:left="1418" w:hanging="1418"/>
      </w:pPr>
    </w:lvl>
    <w:lvl w:ilvl="3" w:tentative="0">
      <w:start w:val="1"/>
      <w:numFmt w:val="none"/>
      <w:lvlRestart w:val="0"/>
      <w:suff w:val="nothing"/>
      <w:lvlText w:val=""/>
      <w:lvlJc w:val="left"/>
      <w:pPr>
        <w:tabs>
          <w:tab w:val="left" w:pos="0"/>
        </w:tabs>
        <w:ind w:left="1984" w:hanging="1984"/>
      </w:pPr>
    </w:lvl>
    <w:lvl w:ilvl="4" w:tentative="0">
      <w:start w:val="1"/>
      <w:numFmt w:val="none"/>
      <w:lvlRestart w:val="0"/>
      <w:suff w:val="nothing"/>
      <w:lvlText w:val=""/>
      <w:lvlJc w:val="left"/>
      <w:pPr>
        <w:tabs>
          <w:tab w:val="left" w:pos="0"/>
        </w:tabs>
        <w:ind w:left="2551" w:hanging="2551"/>
      </w:pPr>
    </w:lvl>
    <w:lvl w:ilvl="5" w:tentative="0">
      <w:start w:val="1"/>
      <w:numFmt w:val="none"/>
      <w:lvlRestart w:val="0"/>
      <w:suff w:val="nothing"/>
      <w:lvlText w:val=""/>
      <w:lvlJc w:val="left"/>
      <w:pPr>
        <w:tabs>
          <w:tab w:val="left" w:pos="0"/>
        </w:tabs>
        <w:ind w:left="3260" w:hanging="3260"/>
      </w:pPr>
    </w:lvl>
    <w:lvl w:ilvl="6" w:tentative="0">
      <w:start w:val="1"/>
      <w:numFmt w:val="none"/>
      <w:lvlRestart w:val="0"/>
      <w:suff w:val="nothing"/>
      <w:lvlText w:val=""/>
      <w:lvlJc w:val="left"/>
      <w:pPr>
        <w:tabs>
          <w:tab w:val="left" w:pos="0"/>
        </w:tabs>
        <w:ind w:left="3827" w:hanging="3827"/>
      </w:pPr>
    </w:lvl>
    <w:lvl w:ilvl="7" w:tentative="0">
      <w:start w:val="1"/>
      <w:numFmt w:val="none"/>
      <w:lvlRestart w:val="0"/>
      <w:suff w:val="nothing"/>
      <w:lvlText w:val=""/>
      <w:lvlJc w:val="left"/>
      <w:pPr>
        <w:tabs>
          <w:tab w:val="left" w:pos="0"/>
        </w:tabs>
        <w:ind w:left="4394" w:hanging="4394"/>
      </w:pPr>
    </w:lvl>
    <w:lvl w:ilvl="8" w:tentative="0">
      <w:start w:val="1"/>
      <w:numFmt w:val="none"/>
      <w:lvlRestart w:val="0"/>
      <w:suff w:val="nothing"/>
      <w:lvlText w:val=""/>
      <w:lvlJc w:val="left"/>
      <w:pPr>
        <w:tabs>
          <w:tab w:val="left" w:pos="0"/>
        </w:tabs>
        <w:ind w:left="5102" w:hanging="51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2D77"/>
    <w:rsid w:val="75BB72FE"/>
    <w:rsid w:val="7C8F2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Times New Roman"/>
      <w:kern w:val="0"/>
      <w:sz w:val="24"/>
      <w:szCs w:val="24"/>
      <w:lang w:val="en-US" w:eastAsia="zh-CN" w:bidi="ar"/>
    </w:rPr>
  </w:style>
  <w:style w:type="paragraph" w:styleId="2">
    <w:name w:val="heading 3"/>
    <w:basedOn w:val="1"/>
    <w:next w:val="1"/>
    <w:qFormat/>
    <w:uiPriority w:val="2"/>
    <w:pPr>
      <w:keepLines/>
      <w:numPr>
        <w:ilvl w:val="2"/>
        <w:numId w:val="1"/>
      </w:numPr>
      <w:spacing w:before="260" w:after="260" w:line="408" w:lineRule="auto"/>
      <w:outlineLvl w:val="2"/>
    </w:pPr>
    <w:rPr>
      <w:rFonts w:ascii="Times New Roman" w:hAnsi="Times New Roman" w:eastAsia="宋体" w:cs="Tahoma"/>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2024-06-21T12:45:00Z</dcterms:created>
  <dc:creator>Administrator</dc:creator>
  <cp:lastModifiedBy>Administrator</cp:lastModifiedBy>
  <dcterms:modified xsi:type="dcterms:W3CDTF">2024-06-24T04:03:46Z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