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88"/>
        <w:gridCol w:w="909"/>
        <w:gridCol w:w="1172"/>
        <w:gridCol w:w="1878"/>
        <w:gridCol w:w="1637"/>
        <w:gridCol w:w="2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7" w:hRule="atLeast"/>
        </w:trPr>
        <w:tc>
          <w:tcPr>
            <w:tcW w:w="9098" w:type="dxa"/>
            <w:gridSpan w:val="6"/>
            <w:tcBorders>
              <w:top w:val="nil"/>
              <w:left w:val="nil"/>
              <w:bottom w:val="nil"/>
              <w:right w:val="nil"/>
            </w:tcBorders>
            <w:shd w:val="clear" w:color="auto" w:fill="auto"/>
            <w:noWrap/>
            <w:tcMar>
              <w:top w:w="15" w:type="dxa"/>
              <w:left w:w="15" w:type="dxa"/>
              <w:right w:w="15" w:type="dxa"/>
            </w:tcMar>
            <w:vAlign w:val="bottom"/>
          </w:tcPr>
          <w:p>
            <w:pPr>
              <w:keepNext w:val="0"/>
              <w:pageBreakBefore w:val="0"/>
              <w:kinsoku/>
              <w:overflowPunct/>
              <w:topLinePunct w:val="0"/>
              <w:autoSpaceDE/>
              <w:autoSpaceDN/>
              <w:bidi w:val="0"/>
              <w:adjustRightInd/>
              <w:snapToGrid/>
              <w:spacing w:line="560" w:lineRule="exact"/>
              <w:rPr>
                <w:rFonts w:hint="default" w:ascii="Times New Roman" w:hAnsi="Times New Roman" w:eastAsia="仿宋_GB2312" w:cs="Times New Roman"/>
                <w:i w:val="0"/>
                <w:color w:val="auto"/>
                <w:sz w:val="22"/>
                <w:szCs w:val="22"/>
                <w:u w:val="none"/>
                <w:lang w:val="en-US"/>
              </w:rPr>
            </w:pPr>
            <w:r>
              <w:rPr>
                <w:rFonts w:hint="default" w:ascii="Times New Roman" w:hAnsi="Times New Roman" w:eastAsia="仿宋_GB2312" w:cs="Times New Roman"/>
                <w:i w:val="0"/>
                <w:color w:val="auto"/>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2"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32"/>
                <w:szCs w:val="32"/>
                <w:u w:val="none"/>
              </w:rPr>
            </w:pPr>
            <w:bookmarkStart w:id="0" w:name="_GoBack"/>
            <w:r>
              <w:rPr>
                <w:rFonts w:hint="default" w:ascii="Times New Roman" w:hAnsi="Times New Roman" w:eastAsia="方正小标宋简体" w:cs="Times New Roman"/>
                <w:i w:val="0"/>
                <w:color w:val="auto"/>
                <w:kern w:val="0"/>
                <w:sz w:val="36"/>
                <w:szCs w:val="36"/>
                <w:u w:val="none"/>
                <w:lang w:val="en-US" w:eastAsia="zh-CN" w:bidi="ar"/>
              </w:rPr>
              <w:t>绩效目标表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资金名称</w:t>
            </w:r>
          </w:p>
        </w:tc>
        <w:tc>
          <w:tcPr>
            <w:tcW w:w="730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就业补助资金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地州主管部门</w:t>
            </w:r>
          </w:p>
        </w:tc>
        <w:tc>
          <w:tcPr>
            <w:tcW w:w="305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喀什地区人力资源和社会保障局</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实施期</w:t>
            </w:r>
          </w:p>
        </w:tc>
        <w:tc>
          <w:tcPr>
            <w:tcW w:w="2614"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Fonts w:hint="default" w:ascii="Times New Roman" w:hAnsi="Times New Roman" w:eastAsia="仿宋_GB2312" w:cs="Times New Roman"/>
                <w:i w:val="0"/>
                <w:color w:val="auto"/>
                <w:kern w:val="0"/>
                <w:sz w:val="20"/>
                <w:szCs w:val="20"/>
                <w:u w:val="none"/>
                <w:lang w:val="en-US" w:eastAsia="zh-CN" w:bidi="ar"/>
              </w:rPr>
              <w:t>2024</w:t>
            </w:r>
            <w:r>
              <w:rPr>
                <w:rStyle w:val="5"/>
                <w:rFonts w:hint="default" w:ascii="Times New Roman" w:hAnsi="Times New Roman" w:eastAsia="仿宋_GB2312" w:cs="Times New Roman"/>
                <w:color w:val="auto"/>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 w:hRule="atLeast"/>
        </w:trPr>
        <w:tc>
          <w:tcPr>
            <w:tcW w:w="179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县市主管部门</w:t>
            </w:r>
          </w:p>
        </w:tc>
        <w:tc>
          <w:tcPr>
            <w:tcW w:w="3050"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巴楚县人力资源和社会保障局</w:t>
            </w:r>
          </w:p>
        </w:tc>
        <w:tc>
          <w:tcPr>
            <w:tcW w:w="1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县市财政部门</w:t>
            </w:r>
          </w:p>
        </w:tc>
        <w:tc>
          <w:tcPr>
            <w:tcW w:w="2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巴楚县财政局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资金情况（万元）</w:t>
            </w:r>
          </w:p>
        </w:tc>
        <w:tc>
          <w:tcPr>
            <w:tcW w:w="395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年度资金总额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Fonts w:hint="default" w:ascii="Times New Roman" w:hAnsi="Times New Roman" w:eastAsia="仿宋_GB2312" w:cs="Times New Roman"/>
                <w:i w:val="0"/>
                <w:color w:val="auto"/>
                <w:kern w:val="0"/>
                <w:sz w:val="20"/>
                <w:szCs w:val="20"/>
                <w:u w:val="none"/>
                <w:lang w:val="en-US" w:eastAsia="zh-CN" w:bidi="ar"/>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95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其中：中央财政</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Fonts w:hint="default" w:ascii="Times New Roman" w:hAnsi="Times New Roman" w:eastAsia="仿宋_GB2312" w:cs="Times New Roman"/>
                <w:i w:val="0"/>
                <w:color w:val="auto"/>
                <w:kern w:val="0"/>
                <w:sz w:val="20"/>
                <w:szCs w:val="20"/>
                <w:u w:val="none"/>
                <w:lang w:val="en-US" w:eastAsia="zh-CN" w:bidi="ar"/>
              </w:rPr>
              <w:t>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959"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Fonts w:hint="default" w:ascii="Times New Roman" w:hAnsi="Times New Roman" w:eastAsia="仿宋_GB2312" w:cs="Times New Roman"/>
                <w:i w:val="0"/>
                <w:color w:val="auto"/>
                <w:kern w:val="0"/>
                <w:sz w:val="20"/>
                <w:szCs w:val="20"/>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Fonts w:hint="default" w:ascii="Times New Roman" w:hAnsi="Times New Roman" w:eastAsia="仿宋_GB2312" w:cs="Times New Roman"/>
                <w:i w:val="0"/>
                <w:color w:val="auto"/>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总</w:t>
            </w:r>
            <w:r>
              <w:rPr>
                <w:rStyle w:val="5"/>
                <w:rFonts w:hint="default" w:ascii="Times New Roman" w:hAnsi="Times New Roman" w:eastAsia="仿宋_GB2312" w:cs="Times New Roman"/>
                <w:color w:val="auto"/>
                <w:lang w:val="en-US" w:eastAsia="zh-CN" w:bidi="ar"/>
              </w:rPr>
              <w:br w:type="textWrapping"/>
            </w:r>
            <w:r>
              <w:rPr>
                <w:rStyle w:val="5"/>
                <w:rFonts w:hint="default" w:ascii="Times New Roman" w:hAnsi="Times New Roman" w:eastAsia="仿宋_GB2312" w:cs="Times New Roman"/>
                <w:color w:val="auto"/>
                <w:lang w:val="en-US" w:eastAsia="zh-CN" w:bidi="ar"/>
              </w:rPr>
              <w:t>体</w:t>
            </w:r>
            <w:r>
              <w:rPr>
                <w:rStyle w:val="5"/>
                <w:rFonts w:hint="default" w:ascii="Times New Roman" w:hAnsi="Times New Roman" w:eastAsia="仿宋_GB2312" w:cs="Times New Roman"/>
                <w:color w:val="auto"/>
                <w:lang w:val="en-US" w:eastAsia="zh-CN" w:bidi="ar"/>
              </w:rPr>
              <w:br w:type="textWrapping"/>
            </w:r>
            <w:r>
              <w:rPr>
                <w:rStyle w:val="5"/>
                <w:rFonts w:hint="default" w:ascii="Times New Roman" w:hAnsi="Times New Roman" w:eastAsia="仿宋_GB2312" w:cs="Times New Roman"/>
                <w:color w:val="auto"/>
                <w:lang w:val="en-US" w:eastAsia="zh-CN" w:bidi="ar"/>
              </w:rPr>
              <w:t>目</w:t>
            </w:r>
            <w:r>
              <w:rPr>
                <w:rStyle w:val="5"/>
                <w:rFonts w:hint="default" w:ascii="Times New Roman" w:hAnsi="Times New Roman" w:eastAsia="仿宋_GB2312" w:cs="Times New Roman"/>
                <w:color w:val="auto"/>
                <w:lang w:val="en-US" w:eastAsia="zh-CN" w:bidi="ar"/>
              </w:rPr>
              <w:br w:type="textWrapping"/>
            </w:r>
            <w:r>
              <w:rPr>
                <w:rStyle w:val="5"/>
                <w:rFonts w:hint="default" w:ascii="Times New Roman" w:hAnsi="Times New Roman" w:eastAsia="仿宋_GB2312" w:cs="Times New Roman"/>
                <w:color w:val="auto"/>
                <w:lang w:val="en-US" w:eastAsia="zh-CN" w:bidi="ar"/>
              </w:rPr>
              <w:t>标</w:t>
            </w:r>
          </w:p>
        </w:tc>
        <w:tc>
          <w:tcPr>
            <w:tcW w:w="8210"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821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就业补助资金按规定时间内拨付下达，预算执行进度良好。</w:t>
            </w:r>
            <w:r>
              <w:rPr>
                <w:rStyle w:val="5"/>
                <w:rFonts w:hint="default" w:ascii="Times New Roman" w:hAnsi="Times New Roman" w:eastAsia="仿宋_GB2312" w:cs="Times New Roman"/>
                <w:color w:val="auto"/>
                <w:lang w:val="en-US" w:eastAsia="zh-CN" w:bidi="ar"/>
              </w:rPr>
              <w:br w:type="textWrapping"/>
            </w:r>
            <w:r>
              <w:rPr>
                <w:rStyle w:val="5"/>
                <w:rFonts w:hint="default" w:ascii="Times New Roman" w:hAnsi="Times New Roman" w:eastAsia="仿宋_GB2312" w:cs="Times New Roman"/>
                <w:color w:val="auto"/>
                <w:lang w:val="en-US" w:eastAsia="zh-CN" w:bidi="ar"/>
              </w:rPr>
              <w:t>资金使用效益不断提高，有力保障就业目标任务完成、重点群体稳定，劳动者职业技能水平逐步提升。就业政策满意度较高。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821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left"/>
              <w:rPr>
                <w:rFonts w:hint="default" w:ascii="Times New Roman" w:hAnsi="Times New Roman" w:eastAsia="仿宋_GB2312"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绩</w:t>
            </w:r>
            <w:r>
              <w:rPr>
                <w:rStyle w:val="5"/>
                <w:rFonts w:hint="default" w:ascii="Times New Roman" w:hAnsi="Times New Roman" w:eastAsia="仿宋_GB2312" w:cs="Times New Roman"/>
                <w:color w:val="auto"/>
                <w:lang w:val="en-US" w:eastAsia="zh-CN" w:bidi="ar"/>
              </w:rPr>
              <w:br w:type="textWrapping"/>
            </w:r>
            <w:r>
              <w:rPr>
                <w:rStyle w:val="5"/>
                <w:rFonts w:hint="default" w:ascii="Times New Roman" w:hAnsi="Times New Roman" w:eastAsia="仿宋_GB2312" w:cs="Times New Roman"/>
                <w:color w:val="auto"/>
                <w:lang w:val="en-US" w:eastAsia="zh-CN" w:bidi="ar"/>
              </w:rPr>
              <w:t>效</w:t>
            </w:r>
            <w:r>
              <w:rPr>
                <w:rStyle w:val="5"/>
                <w:rFonts w:hint="default" w:ascii="Times New Roman" w:hAnsi="Times New Roman" w:eastAsia="仿宋_GB2312" w:cs="Times New Roman"/>
                <w:color w:val="auto"/>
                <w:lang w:val="en-US" w:eastAsia="zh-CN" w:bidi="ar"/>
              </w:rPr>
              <w:br w:type="textWrapping"/>
            </w:r>
            <w:r>
              <w:rPr>
                <w:rStyle w:val="5"/>
                <w:rFonts w:hint="default" w:ascii="Times New Roman" w:hAnsi="Times New Roman" w:eastAsia="仿宋_GB2312" w:cs="Times New Roman"/>
                <w:color w:val="auto"/>
                <w:lang w:val="en-US" w:eastAsia="zh-CN" w:bidi="ar"/>
              </w:rPr>
              <w:t>指</w:t>
            </w:r>
            <w:r>
              <w:rPr>
                <w:rStyle w:val="5"/>
                <w:rFonts w:hint="default" w:ascii="Times New Roman" w:hAnsi="Times New Roman" w:eastAsia="仿宋_GB2312" w:cs="Times New Roman"/>
                <w:color w:val="auto"/>
                <w:lang w:val="en-US" w:eastAsia="zh-CN" w:bidi="ar"/>
              </w:rPr>
              <w:br w:type="textWrapping"/>
            </w:r>
            <w:r>
              <w:rPr>
                <w:rStyle w:val="5"/>
                <w:rFonts w:hint="default" w:ascii="Times New Roman" w:hAnsi="Times New Roman" w:eastAsia="仿宋_GB2312" w:cs="Times New Roman"/>
                <w:color w:val="auto"/>
                <w:lang w:val="en-US" w:eastAsia="zh-CN" w:bidi="ar"/>
              </w:rPr>
              <w:t>标</w:t>
            </w: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一级指标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二级指标</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三级指标</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产出指标</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数量指标</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5"/>
                <w:rFonts w:hint="default" w:ascii="Times New Roman" w:hAnsi="Times New Roman" w:eastAsia="仿宋_GB2312" w:cs="Times New Roman"/>
                <w:color w:val="auto"/>
                <w:lang w:val="en-US" w:eastAsia="zh-CN" w:bidi="ar"/>
              </w:rPr>
              <w:t>享受职业培训补贴人次数</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5"/>
                <w:rFonts w:hint="eastAsia" w:ascii="仿宋_GB2312" w:hAnsi="仿宋_GB2312" w:eastAsia="仿宋_GB2312" w:cs="仿宋_GB2312"/>
                <w:color w:val="auto"/>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8000</w:t>
            </w:r>
            <w:r>
              <w:rPr>
                <w:rStyle w:val="5"/>
                <w:rFonts w:hint="default" w:ascii="Times New Roman" w:hAnsi="Times New Roman" w:eastAsia="仿宋_GB2312" w:cs="Times New Roman"/>
                <w:color w:val="auto"/>
                <w:lang w:val="en-US" w:eastAsia="zh-CN" w:bidi="ar"/>
              </w:rPr>
              <w:t>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享受社会保险补贴人数</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eastAsia" w:ascii="仿宋_GB2312" w:hAnsi="仿宋_GB2312" w:eastAsia="仿宋_GB2312" w:cs="仿宋_GB2312"/>
                <w:color w:val="auto"/>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1710</w:t>
            </w:r>
            <w:r>
              <w:rPr>
                <w:rStyle w:val="6"/>
                <w:rFonts w:hint="default" w:ascii="Times New Roman" w:hAnsi="Times New Roman" w:eastAsia="仿宋_GB2312" w:cs="Times New Roman"/>
                <w:color w:val="auto"/>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享受就业见习补贴人数</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eastAsia" w:ascii="仿宋_GB2312" w:hAnsi="仿宋_GB2312" w:eastAsia="仿宋_GB2312" w:cs="仿宋_GB2312"/>
                <w:color w:val="auto"/>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70</w:t>
            </w:r>
            <w:r>
              <w:rPr>
                <w:rStyle w:val="6"/>
                <w:rFonts w:hint="default" w:ascii="Times New Roman" w:hAnsi="Times New Roman" w:eastAsia="仿宋_GB2312" w:cs="Times New Roman"/>
                <w:color w:val="auto"/>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国家级高技能人才培训基地建设数量</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以自治区最终评审文件为准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大师工作室建设数量</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Fonts w:hint="default" w:ascii="Times New Roman" w:hAnsi="Times New Roman" w:eastAsia="仿宋_GB2312" w:cs="Times New Roman"/>
                <w:i w:val="0"/>
                <w:color w:val="auto"/>
                <w:kern w:val="0"/>
                <w:sz w:val="20"/>
                <w:szCs w:val="20"/>
                <w:u w:val="none"/>
                <w:lang w:val="en-US" w:eastAsia="zh-CN" w:bidi="ar"/>
              </w:rPr>
              <w:t>以自治区最终评审文件为准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质量指标</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sz w:val="18"/>
                <w:szCs w:val="18"/>
                <w:lang w:val="en-US" w:eastAsia="zh-CN" w:bidi="ar"/>
              </w:rPr>
              <w:t>毕业年度高校毕业生享受求职创业补贴人数</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eastAsia" w:ascii="仿宋_GB2312" w:hAnsi="仿宋_GB2312" w:eastAsia="仿宋_GB2312" w:cs="仿宋_GB2312"/>
                <w:color w:val="auto"/>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1100</w:t>
            </w:r>
            <w:r>
              <w:rPr>
                <w:rStyle w:val="6"/>
                <w:rFonts w:hint="default" w:ascii="Times New Roman" w:hAnsi="Times New Roman" w:eastAsia="仿宋_GB2312" w:cs="Times New Roman"/>
                <w:color w:val="auto"/>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就业困难人员享受公益性岗位补贴人数</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eastAsia" w:ascii="仿宋_GB2312" w:hAnsi="仿宋_GB2312" w:eastAsia="仿宋_GB2312" w:cs="仿宋_GB2312"/>
                <w:color w:val="auto"/>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800</w:t>
            </w:r>
            <w:r>
              <w:rPr>
                <w:rStyle w:val="6"/>
                <w:rFonts w:hint="default" w:ascii="Times New Roman" w:hAnsi="Times New Roman" w:eastAsia="仿宋_GB2312" w:cs="Times New Roman"/>
                <w:color w:val="auto"/>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时效指标</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资金在规定时间内下达率</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eastAsia" w:ascii="仿宋_GB2312" w:hAnsi="仿宋_GB2312" w:eastAsia="仿宋_GB2312" w:cs="仿宋_GB2312"/>
                <w:color w:val="auto"/>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成本指标</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职业培训补贴人均标准</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根据培训类型、培训层次、培训课时和培训成本核算，不超过</w:t>
            </w:r>
            <w:r>
              <w:rPr>
                <w:rFonts w:hint="default" w:ascii="Times New Roman" w:hAnsi="Times New Roman" w:eastAsia="仿宋_GB2312" w:cs="Times New Roman"/>
                <w:i w:val="0"/>
                <w:color w:val="auto"/>
                <w:kern w:val="0"/>
                <w:sz w:val="20"/>
                <w:szCs w:val="20"/>
                <w:u w:val="none"/>
                <w:lang w:val="en-US" w:eastAsia="zh-CN" w:bidi="ar"/>
              </w:rPr>
              <w:t>1800</w:t>
            </w:r>
            <w:r>
              <w:rPr>
                <w:rStyle w:val="6"/>
                <w:rFonts w:hint="default" w:ascii="Times New Roman" w:hAnsi="Times New Roman" w:eastAsia="仿宋_GB2312" w:cs="Times New Roman"/>
                <w:color w:val="auto"/>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社会保险补贴人均标准</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单位实际缴纳的三项社会保险费或原则上不超过社会保险费实际缴纳金额的三分之二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公益性岗位补贴人均标准</w:t>
            </w:r>
          </w:p>
        </w:tc>
        <w:tc>
          <w:tcPr>
            <w:tcW w:w="2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原则上不高于当地最低工资标准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效益指标</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经济效益</w:t>
            </w:r>
            <w:r>
              <w:rPr>
                <w:rStyle w:val="6"/>
                <w:rFonts w:hint="default" w:ascii="Times New Roman" w:hAnsi="Times New Roman" w:eastAsia="仿宋_GB2312" w:cs="Times New Roman"/>
                <w:color w:val="auto"/>
                <w:lang w:val="en-US" w:eastAsia="zh-CN" w:bidi="ar"/>
              </w:rPr>
              <w:br w:type="textWrapping"/>
            </w:r>
            <w:r>
              <w:rPr>
                <w:rStyle w:val="6"/>
                <w:rFonts w:hint="default" w:ascii="Times New Roman" w:hAnsi="Times New Roman" w:eastAsia="仿宋_GB2312" w:cs="Times New Roman"/>
                <w:color w:val="auto"/>
                <w:lang w:val="en-US" w:eastAsia="zh-CN" w:bidi="ar"/>
              </w:rPr>
              <w:t>指标</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城镇新增就业人数</w:t>
            </w:r>
          </w:p>
        </w:tc>
        <w:tc>
          <w:tcPr>
            <w:tcW w:w="2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eastAsia" w:ascii="仿宋_GB2312" w:hAnsi="仿宋_GB2312" w:eastAsia="仿宋_GB2312" w:cs="仿宋_GB2312"/>
                <w:color w:val="auto"/>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5900</w:t>
            </w:r>
            <w:r>
              <w:rPr>
                <w:rStyle w:val="6"/>
                <w:rFonts w:hint="default" w:ascii="Times New Roman" w:hAnsi="Times New Roman" w:eastAsia="仿宋_GB2312" w:cs="Times New Roman"/>
                <w:color w:val="auto"/>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城镇调查失业率</w:t>
            </w:r>
          </w:p>
        </w:tc>
        <w:tc>
          <w:tcPr>
            <w:tcW w:w="2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eastAsia" w:ascii="仿宋_GB2312" w:hAnsi="仿宋_GB2312" w:eastAsia="仿宋_GB2312" w:cs="仿宋_GB2312"/>
                <w:color w:val="auto"/>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年末高校毕业生毕业去向落实率</w:t>
            </w:r>
          </w:p>
        </w:tc>
        <w:tc>
          <w:tcPr>
            <w:tcW w:w="2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eastAsia" w:ascii="仿宋_GB2312" w:hAnsi="仿宋_GB2312" w:eastAsia="仿宋_GB2312" w:cs="仿宋_GB2312"/>
                <w:color w:val="auto"/>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失业人员再就业人数</w:t>
            </w:r>
          </w:p>
        </w:tc>
        <w:tc>
          <w:tcPr>
            <w:tcW w:w="2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eastAsia" w:ascii="仿宋_GB2312" w:hAnsi="仿宋_GB2312" w:eastAsia="仿宋_GB2312" w:cs="仿宋_GB2312"/>
                <w:color w:val="auto"/>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1100</w:t>
            </w:r>
            <w:r>
              <w:rPr>
                <w:rStyle w:val="6"/>
                <w:rFonts w:hint="default" w:ascii="Times New Roman" w:hAnsi="Times New Roman" w:eastAsia="仿宋_GB2312" w:cs="Times New Roman"/>
                <w:color w:val="auto"/>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就业困难人员就业人数</w:t>
            </w:r>
          </w:p>
        </w:tc>
        <w:tc>
          <w:tcPr>
            <w:tcW w:w="2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eastAsia" w:ascii="仿宋_GB2312" w:hAnsi="仿宋_GB2312" w:eastAsia="仿宋_GB2312" w:cs="仿宋_GB2312"/>
                <w:color w:val="auto"/>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240</w:t>
            </w:r>
            <w:r>
              <w:rPr>
                <w:rStyle w:val="6"/>
                <w:rFonts w:hint="default" w:ascii="Times New Roman" w:hAnsi="Times New Roman" w:eastAsia="仿宋_GB2312" w:cs="Times New Roman"/>
                <w:color w:val="auto"/>
                <w:lang w:val="en-US" w:eastAsia="zh-CN" w:bidi="ar"/>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社会效益</w:t>
            </w:r>
            <w:r>
              <w:rPr>
                <w:rStyle w:val="6"/>
                <w:rFonts w:hint="default" w:ascii="Times New Roman" w:hAnsi="Times New Roman" w:eastAsia="仿宋_GB2312" w:cs="Times New Roman"/>
                <w:color w:val="auto"/>
                <w:lang w:val="en-US" w:eastAsia="zh-CN" w:bidi="ar"/>
              </w:rPr>
              <w:br w:type="textWrapping"/>
            </w:r>
            <w:r>
              <w:rPr>
                <w:rStyle w:val="6"/>
                <w:rFonts w:hint="default" w:ascii="Times New Roman" w:hAnsi="Times New Roman" w:eastAsia="仿宋_GB2312" w:cs="Times New Roman"/>
                <w:color w:val="auto"/>
                <w:lang w:val="en-US" w:eastAsia="zh-CN" w:bidi="ar"/>
              </w:rPr>
              <w:t>指标</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零就业家庭帮扶率</w:t>
            </w:r>
          </w:p>
        </w:tc>
        <w:tc>
          <w:tcPr>
            <w:tcW w:w="2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eastAsia" w:ascii="仿宋_GB2312" w:hAnsi="仿宋_GB2312" w:eastAsia="仿宋_GB2312" w:cs="仿宋_GB2312"/>
                <w:color w:val="auto"/>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因就业问题发生重大群体性事件数量</w:t>
            </w:r>
          </w:p>
        </w:tc>
        <w:tc>
          <w:tcPr>
            <w:tcW w:w="2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Fonts w:hint="default" w:ascii="Times New Roman" w:hAnsi="Times New Roman" w:eastAsia="仿宋_GB2312" w:cs="Times New Roman"/>
                <w:i w:val="0"/>
                <w:color w:val="auto"/>
                <w:kern w:val="0"/>
                <w:sz w:val="20"/>
                <w:szCs w:val="20"/>
                <w:u w:val="none"/>
                <w:lang w:val="en-US" w:eastAsia="zh-CN" w:bidi="ar"/>
              </w:rPr>
              <w:t>0</w:t>
            </w:r>
            <w:r>
              <w:rPr>
                <w:rStyle w:val="6"/>
                <w:rFonts w:hint="default" w:ascii="Times New Roman" w:hAnsi="Times New Roman" w:eastAsia="仿宋_GB2312" w:cs="Times New Roman"/>
                <w:color w:val="auto"/>
                <w:lang w:val="en-US" w:eastAsia="zh-CN" w:bidi="ar"/>
              </w:rPr>
              <w:t>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pageBreakBefore w:val="0"/>
              <w:kinsoku/>
              <w:overflowPunct/>
              <w:topLinePunct w:val="0"/>
              <w:autoSpaceDE/>
              <w:autoSpaceDN/>
              <w:bidi w:val="0"/>
              <w:adjustRightInd/>
              <w:snapToGrid/>
              <w:spacing w:line="560" w:lineRule="exact"/>
              <w:jc w:val="center"/>
              <w:rPr>
                <w:rFonts w:hint="default" w:ascii="Times New Roman" w:hAnsi="Times New Roman" w:eastAsia="仿宋_GB2312" w:cs="Times New Roman"/>
                <w:i w:val="0"/>
                <w:color w:val="auto"/>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满意度</w:t>
            </w:r>
            <w:r>
              <w:rPr>
                <w:rStyle w:val="6"/>
                <w:rFonts w:hint="default" w:ascii="Times New Roman" w:hAnsi="Times New Roman" w:eastAsia="仿宋_GB2312" w:cs="Times New Roman"/>
                <w:color w:val="auto"/>
                <w:lang w:val="en-US" w:eastAsia="zh-CN" w:bidi="ar"/>
              </w:rPr>
              <w:br w:type="textWrapping"/>
            </w:r>
            <w:r>
              <w:rPr>
                <w:rStyle w:val="6"/>
                <w:rFonts w:hint="default" w:ascii="Times New Roman" w:hAnsi="Times New Roman" w:eastAsia="仿宋_GB2312" w:cs="Times New Roman"/>
                <w:color w:val="auto"/>
                <w:lang w:val="en-US" w:eastAsia="zh-CN" w:bidi="ar"/>
              </w:rPr>
              <w:t>指标</w:t>
            </w:r>
          </w:p>
        </w:tc>
        <w:tc>
          <w:tcPr>
            <w:tcW w:w="11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服务对象</w:t>
            </w:r>
            <w:r>
              <w:rPr>
                <w:rStyle w:val="6"/>
                <w:rFonts w:hint="default" w:ascii="Times New Roman" w:hAnsi="Times New Roman" w:eastAsia="仿宋_GB2312" w:cs="Times New Roman"/>
                <w:color w:val="auto"/>
                <w:lang w:val="en-US" w:eastAsia="zh-CN" w:bidi="ar"/>
              </w:rPr>
              <w:br w:type="textWrapping"/>
            </w:r>
            <w:r>
              <w:rPr>
                <w:rStyle w:val="6"/>
                <w:rFonts w:hint="default" w:ascii="Times New Roman" w:hAnsi="Times New Roman" w:eastAsia="仿宋_GB2312" w:cs="Times New Roman"/>
                <w:color w:val="auto"/>
                <w:lang w:val="en-US" w:eastAsia="zh-CN" w:bidi="ar"/>
              </w:rPr>
              <w:t>满意度指标</w:t>
            </w:r>
          </w:p>
        </w:tc>
        <w:tc>
          <w:tcPr>
            <w:tcW w:w="35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i w:val="0"/>
                <w:color w:val="auto"/>
                <w:sz w:val="20"/>
                <w:szCs w:val="20"/>
                <w:u w:val="none"/>
              </w:rPr>
            </w:pPr>
            <w:r>
              <w:rPr>
                <w:rStyle w:val="6"/>
                <w:rFonts w:hint="default" w:ascii="Times New Roman" w:hAnsi="Times New Roman" w:eastAsia="仿宋_GB2312" w:cs="Times New Roman"/>
                <w:color w:val="auto"/>
                <w:lang w:val="en-US" w:eastAsia="zh-CN" w:bidi="ar"/>
              </w:rPr>
              <w:t>就业政策满意度</w:t>
            </w:r>
          </w:p>
        </w:tc>
        <w:tc>
          <w:tcPr>
            <w:tcW w:w="26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color w:val="auto"/>
                <w:sz w:val="20"/>
                <w:szCs w:val="20"/>
                <w:u w:val="none"/>
              </w:rPr>
            </w:pPr>
            <w:r>
              <w:rPr>
                <w:rStyle w:val="6"/>
                <w:rFonts w:hint="eastAsia" w:ascii="仿宋_GB2312" w:hAnsi="仿宋_GB2312" w:eastAsia="仿宋_GB2312" w:cs="仿宋_GB2312"/>
                <w:color w:val="auto"/>
                <w:lang w:val="en-US" w:eastAsia="zh-CN" w:bidi="ar"/>
              </w:rPr>
              <w:t>≥</w:t>
            </w:r>
            <w:r>
              <w:rPr>
                <w:rFonts w:hint="default" w:ascii="Times New Roman" w:hAnsi="Times New Roman" w:eastAsia="仿宋_GB2312" w:cs="Times New Roman"/>
                <w:i w:val="0"/>
                <w:color w:val="auto"/>
                <w:kern w:val="0"/>
                <w:sz w:val="20"/>
                <w:szCs w:val="20"/>
                <w:u w:val="none"/>
                <w:lang w:val="en-US" w:eastAsia="zh-CN" w:bidi="ar"/>
              </w:rPr>
              <w:t>90%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lvlRestart w:val="0"/>
      <w:suff w:val="nothing"/>
      <w:lvlText w:val=""/>
      <w:lvlJc w:val="left"/>
      <w:pPr>
        <w:tabs>
          <w:tab w:val="left" w:pos="0"/>
        </w:tabs>
        <w:ind w:left="992" w:hanging="992"/>
      </w:pPr>
    </w:lvl>
    <w:lvl w:ilvl="2" w:tentative="0">
      <w:start w:val="1"/>
      <w:numFmt w:val="none"/>
      <w:lvlRestart w:val="0"/>
      <w:pStyle w:val="2"/>
      <w:suff w:val="nothing"/>
      <w:lvlText w:val=""/>
      <w:lvlJc w:val="left"/>
      <w:pPr>
        <w:tabs>
          <w:tab w:val="left" w:pos="0"/>
        </w:tabs>
        <w:ind w:left="1418" w:hanging="1418"/>
      </w:pPr>
    </w:lvl>
    <w:lvl w:ilvl="3" w:tentative="0">
      <w:start w:val="1"/>
      <w:numFmt w:val="none"/>
      <w:lvlRestart w:val="0"/>
      <w:suff w:val="nothing"/>
      <w:lvlText w:val=""/>
      <w:lvlJc w:val="left"/>
      <w:pPr>
        <w:tabs>
          <w:tab w:val="left" w:pos="0"/>
        </w:tabs>
        <w:ind w:left="1984" w:hanging="1984"/>
      </w:pPr>
    </w:lvl>
    <w:lvl w:ilvl="4" w:tentative="0">
      <w:start w:val="1"/>
      <w:numFmt w:val="none"/>
      <w:lvlRestart w:val="0"/>
      <w:suff w:val="nothing"/>
      <w:lvlText w:val=""/>
      <w:lvlJc w:val="left"/>
      <w:pPr>
        <w:tabs>
          <w:tab w:val="left" w:pos="0"/>
        </w:tabs>
        <w:ind w:left="2551" w:hanging="2551"/>
      </w:pPr>
    </w:lvl>
    <w:lvl w:ilvl="5" w:tentative="0">
      <w:start w:val="1"/>
      <w:numFmt w:val="none"/>
      <w:lvlRestart w:val="0"/>
      <w:suff w:val="nothing"/>
      <w:lvlText w:val=""/>
      <w:lvlJc w:val="left"/>
      <w:pPr>
        <w:tabs>
          <w:tab w:val="left" w:pos="0"/>
        </w:tabs>
        <w:ind w:left="3260" w:hanging="3260"/>
      </w:pPr>
    </w:lvl>
    <w:lvl w:ilvl="6" w:tentative="0">
      <w:start w:val="1"/>
      <w:numFmt w:val="none"/>
      <w:lvlRestart w:val="0"/>
      <w:suff w:val="nothing"/>
      <w:lvlText w:val=""/>
      <w:lvlJc w:val="left"/>
      <w:pPr>
        <w:tabs>
          <w:tab w:val="left" w:pos="0"/>
        </w:tabs>
        <w:ind w:left="3827" w:hanging="3827"/>
      </w:pPr>
    </w:lvl>
    <w:lvl w:ilvl="7" w:tentative="0">
      <w:start w:val="1"/>
      <w:numFmt w:val="none"/>
      <w:lvlRestart w:val="0"/>
      <w:suff w:val="nothing"/>
      <w:lvlText w:val=""/>
      <w:lvlJc w:val="left"/>
      <w:pPr>
        <w:tabs>
          <w:tab w:val="left" w:pos="0"/>
        </w:tabs>
        <w:ind w:left="4394" w:hanging="4394"/>
      </w:pPr>
    </w:lvl>
    <w:lvl w:ilvl="8" w:tentative="0">
      <w:start w:val="1"/>
      <w:numFmt w:val="none"/>
      <w:lvlRestart w:val="0"/>
      <w:suff w:val="nothing"/>
      <w:lvlText w:val=""/>
      <w:lvlJc w:val="left"/>
      <w:pPr>
        <w:tabs>
          <w:tab w:val="left" w:pos="0"/>
        </w:tabs>
        <w:ind w:left="5102" w:hanging="510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C3A3F"/>
    <w:rsid w:val="45DC3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2"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2"/>
    <w:pPr>
      <w:keepLines/>
      <w:numPr>
        <w:ilvl w:val="2"/>
        <w:numId w:val="1"/>
      </w:numPr>
      <w:spacing w:before="260" w:after="260" w:line="408" w:lineRule="auto"/>
      <w:outlineLvl w:val="2"/>
    </w:pPr>
    <w:rPr>
      <w:rFonts w:ascii="Times New Roman" w:hAnsi="Times New Roman" w:eastAsia="宋体" w:cs="Tahoma"/>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101"/>
    <w:basedOn w:val="4"/>
    <w:qFormat/>
    <w:uiPriority w:val="0"/>
    <w:rPr>
      <w:rFonts w:ascii="方正仿宋_GBK" w:hAnsi="方正仿宋_GBK" w:eastAsia="方正仿宋_GBK" w:cs="方正仿宋_GBK"/>
      <w:color w:val="000000"/>
      <w:sz w:val="20"/>
      <w:szCs w:val="20"/>
      <w:u w:val="none"/>
    </w:rPr>
  </w:style>
  <w:style w:type="character" w:customStyle="1" w:styleId="6">
    <w:name w:val="font21"/>
    <w:basedOn w:val="4"/>
    <w:qFormat/>
    <w:uiPriority w:val="0"/>
    <w:rPr>
      <w:rFonts w:hint="default"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2024-06-21T12:39:00Z</dcterms:created>
  <dc:creator>Administrator</dc:creator>
  <cp:lastModifiedBy>Administrator</cp:lastModifiedBy>
  <dcterms:modified xsi:type="dcterms:W3CDTF">2024-06-21T12:39:54Z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