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49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37"/>
        <w:gridCol w:w="678"/>
        <w:gridCol w:w="294"/>
        <w:gridCol w:w="875"/>
        <w:gridCol w:w="552"/>
        <w:gridCol w:w="53"/>
        <w:gridCol w:w="1647"/>
        <w:gridCol w:w="1008"/>
        <w:gridCol w:w="2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0" w:hRule="atLeast"/>
        </w:trPr>
        <w:tc>
          <w:tcPr>
            <w:tcW w:w="5000" w:type="pct"/>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仿宋_GB2312"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附件2</w:t>
            </w:r>
            <w:r>
              <w:rPr>
                <w:rFonts w:hint="eastAsia" w:ascii="Times New Roman" w:hAnsi="Times New Roman" w:eastAsia="仿宋_GB2312" w:cs="Times New Roman"/>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atLeast"/>
        </w:trPr>
        <w:tc>
          <w:tcPr>
            <w:tcW w:w="5000" w:type="pct"/>
            <w:gridSpan w:val="9"/>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sz w:val="24"/>
                <w:szCs w:val="24"/>
                <w:u w:val="none"/>
              </w:rPr>
            </w:pPr>
            <w:r>
              <w:rPr>
                <w:rFonts w:hint="eastAsia" w:ascii="方正小标宋简体" w:hAnsi="方正小标宋简体" w:eastAsia="方正小标宋简体" w:cs="方正小标宋简体"/>
                <w:i w:val="0"/>
                <w:color w:val="000000"/>
                <w:kern w:val="0"/>
                <w:sz w:val="48"/>
                <w:szCs w:val="48"/>
                <w:u w:val="none"/>
                <w:lang w:val="en-US" w:eastAsia="zh-CN" w:bidi="ar"/>
              </w:rPr>
              <w:t>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1" w:hRule="atLeast"/>
        </w:trPr>
        <w:tc>
          <w:tcPr>
            <w:tcW w:w="8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项目名称</w:t>
            </w:r>
          </w:p>
        </w:tc>
        <w:tc>
          <w:tcPr>
            <w:tcW w:w="4132" w:type="pct"/>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优抚对象医疗保障经费项目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省级</w:t>
            </w:r>
            <w:r>
              <w:rPr>
                <w:rFonts w:hint="default" w:ascii="Times New Roman" w:hAnsi="Times New Roman" w:eastAsia="仿宋_GB2312" w:cs="Times New Roman"/>
                <w:i w:val="0"/>
                <w:color w:val="000000"/>
                <w:kern w:val="0"/>
                <w:sz w:val="24"/>
                <w:szCs w:val="24"/>
                <w:u w:val="none"/>
                <w:lang w:val="en-US" w:eastAsia="zh-CN" w:bidi="ar"/>
              </w:rPr>
              <w:t>主管部门</w:t>
            </w:r>
          </w:p>
        </w:tc>
        <w:tc>
          <w:tcPr>
            <w:tcW w:w="4132" w:type="pct"/>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kern w:val="0"/>
                <w:sz w:val="24"/>
                <w:szCs w:val="24"/>
                <w:u w:val="none"/>
                <w:lang w:val="en-US" w:eastAsia="zh-CN" w:bidi="ar"/>
              </w:rPr>
              <w:t>自治区退役军人事务厅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8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地级</w:t>
            </w:r>
            <w:r>
              <w:rPr>
                <w:rFonts w:hint="default" w:ascii="Times New Roman" w:hAnsi="Times New Roman" w:eastAsia="仿宋_GB2312" w:cs="Times New Roman"/>
                <w:i w:val="0"/>
                <w:color w:val="000000"/>
                <w:kern w:val="0"/>
                <w:sz w:val="24"/>
                <w:szCs w:val="24"/>
                <w:u w:val="none"/>
                <w:lang w:val="en-US" w:eastAsia="zh-CN" w:bidi="ar"/>
              </w:rPr>
              <w:t>财政部门</w:t>
            </w:r>
          </w:p>
        </w:tc>
        <w:tc>
          <w:tcPr>
            <w:tcW w:w="104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喀什地区财政局</w:t>
            </w:r>
          </w:p>
        </w:tc>
        <w:tc>
          <w:tcPr>
            <w:tcW w:w="127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地级</w:t>
            </w:r>
            <w:r>
              <w:rPr>
                <w:rFonts w:hint="default" w:ascii="Times New Roman" w:hAnsi="Times New Roman" w:eastAsia="仿宋_GB2312" w:cs="Times New Roman"/>
                <w:i w:val="0"/>
                <w:color w:val="000000"/>
                <w:kern w:val="0"/>
                <w:sz w:val="24"/>
                <w:szCs w:val="24"/>
                <w:u w:val="none"/>
                <w:lang w:val="en-US" w:eastAsia="zh-CN" w:bidi="ar"/>
              </w:rPr>
              <w:t>主管部门</w:t>
            </w:r>
          </w:p>
        </w:tc>
        <w:tc>
          <w:tcPr>
            <w:tcW w:w="181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喀什地区</w:t>
            </w:r>
            <w:r>
              <w:rPr>
                <w:rFonts w:hint="eastAsia" w:ascii="Times New Roman" w:hAnsi="Times New Roman" w:eastAsia="仿宋_GB2312" w:cs="Times New Roman"/>
                <w:i w:val="0"/>
                <w:color w:val="000000"/>
                <w:kern w:val="0"/>
                <w:sz w:val="24"/>
                <w:szCs w:val="24"/>
                <w:u w:val="none"/>
                <w:lang w:val="en-US" w:eastAsia="zh-CN" w:bidi="ar"/>
              </w:rPr>
              <w:t>退役军人事务</w:t>
            </w:r>
            <w:r>
              <w:rPr>
                <w:rFonts w:hint="default" w:ascii="Times New Roman" w:hAnsi="Times New Roman" w:eastAsia="仿宋_GB2312" w:cs="Times New Roman"/>
                <w:i w:val="0"/>
                <w:color w:val="000000"/>
                <w:kern w:val="0"/>
                <w:sz w:val="24"/>
                <w:szCs w:val="24"/>
                <w:u w:val="none"/>
                <w:lang w:val="en-US" w:eastAsia="zh-CN" w:bidi="ar"/>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8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县级</w:t>
            </w:r>
            <w:r>
              <w:rPr>
                <w:rFonts w:hint="default" w:ascii="Times New Roman" w:hAnsi="Times New Roman" w:eastAsia="仿宋_GB2312" w:cs="Times New Roman"/>
                <w:i w:val="0"/>
                <w:color w:val="000000"/>
                <w:kern w:val="0"/>
                <w:sz w:val="24"/>
                <w:szCs w:val="24"/>
                <w:u w:val="none"/>
                <w:lang w:val="en-US" w:eastAsia="zh-CN" w:bidi="ar"/>
              </w:rPr>
              <w:t>财政部门</w:t>
            </w:r>
          </w:p>
        </w:tc>
        <w:tc>
          <w:tcPr>
            <w:tcW w:w="104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巴楚县财政局</w:t>
            </w:r>
          </w:p>
        </w:tc>
        <w:tc>
          <w:tcPr>
            <w:tcW w:w="127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县级</w:t>
            </w:r>
            <w:r>
              <w:rPr>
                <w:rFonts w:hint="default" w:ascii="Times New Roman" w:hAnsi="Times New Roman" w:eastAsia="仿宋_GB2312" w:cs="Times New Roman"/>
                <w:i w:val="0"/>
                <w:color w:val="000000"/>
                <w:kern w:val="0"/>
                <w:sz w:val="24"/>
                <w:szCs w:val="24"/>
                <w:u w:val="none"/>
                <w:lang w:val="en-US" w:eastAsia="zh-CN" w:bidi="ar"/>
              </w:rPr>
              <w:t>主管部门</w:t>
            </w:r>
          </w:p>
        </w:tc>
        <w:tc>
          <w:tcPr>
            <w:tcW w:w="181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巴楚县</w:t>
            </w:r>
            <w:r>
              <w:rPr>
                <w:rFonts w:hint="eastAsia" w:ascii="Times New Roman" w:hAnsi="Times New Roman" w:eastAsia="仿宋_GB2312" w:cs="Times New Roman"/>
                <w:i w:val="0"/>
                <w:color w:val="000000"/>
                <w:kern w:val="0"/>
                <w:sz w:val="24"/>
                <w:szCs w:val="24"/>
                <w:u w:val="none"/>
                <w:lang w:val="en-US" w:eastAsia="zh-CN" w:bidi="ar"/>
              </w:rPr>
              <w:t>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867"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_GB2312" w:cs="Times New Roman"/>
                <w:sz w:val="24"/>
                <w:szCs w:val="24"/>
                <w:lang w:val="en-US" w:eastAsia="zh-CN"/>
              </w:rPr>
            </w:pPr>
          </w:p>
          <w:p>
            <w:pPr>
              <w:bidi w:val="0"/>
              <w:jc w:val="center"/>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val="en-US" w:eastAsia="zh-CN" w:bidi="ar-SA"/>
              </w:rPr>
              <w:t>资金情况</w:t>
            </w:r>
          </w:p>
          <w:p>
            <w:pPr>
              <w:bidi w:val="0"/>
              <w:jc w:val="center"/>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val="en-US" w:eastAsia="zh-CN" w:bidi="ar-SA"/>
              </w:rPr>
              <w:t>（万元）</w:t>
            </w:r>
          </w:p>
        </w:tc>
        <w:tc>
          <w:tcPr>
            <w:tcW w:w="1383"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年度资金总额</w:t>
            </w:r>
          </w:p>
        </w:tc>
        <w:tc>
          <w:tcPr>
            <w:tcW w:w="274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867"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sz w:val="24"/>
                <w:szCs w:val="24"/>
                <w:u w:val="none"/>
              </w:rPr>
            </w:pPr>
          </w:p>
        </w:tc>
        <w:tc>
          <w:tcPr>
            <w:tcW w:w="548" w:type="pct"/>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sz w:val="24"/>
                <w:szCs w:val="24"/>
                <w:u w:val="none"/>
                <w:lang w:eastAsia="zh-CN"/>
              </w:rPr>
            </w:pPr>
            <w:r>
              <w:rPr>
                <w:rFonts w:hint="default" w:ascii="Times New Roman" w:hAnsi="Times New Roman" w:eastAsia="仿宋_GB2312" w:cs="Times New Roman"/>
                <w:i w:val="0"/>
                <w:color w:val="000000"/>
                <w:sz w:val="24"/>
                <w:szCs w:val="24"/>
                <w:u w:val="none"/>
                <w:lang w:eastAsia="zh-CN"/>
              </w:rPr>
              <w:t>其中：</w:t>
            </w:r>
          </w:p>
        </w:tc>
        <w:tc>
          <w:tcPr>
            <w:tcW w:w="83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sz w:val="24"/>
                <w:szCs w:val="24"/>
                <w:u w:val="none"/>
                <w:lang w:eastAsia="zh-CN"/>
              </w:rPr>
            </w:pPr>
            <w:r>
              <w:rPr>
                <w:rFonts w:hint="default" w:ascii="Times New Roman" w:hAnsi="Times New Roman" w:eastAsia="仿宋_GB2312" w:cs="Times New Roman"/>
                <w:i w:val="0"/>
                <w:color w:val="000000"/>
                <w:sz w:val="24"/>
                <w:szCs w:val="24"/>
                <w:u w:val="none"/>
                <w:lang w:eastAsia="zh-CN"/>
              </w:rPr>
              <w:t>中央补助</w:t>
            </w:r>
          </w:p>
        </w:tc>
        <w:tc>
          <w:tcPr>
            <w:tcW w:w="274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867"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sz w:val="24"/>
                <w:szCs w:val="24"/>
                <w:u w:val="none"/>
              </w:rPr>
            </w:pPr>
          </w:p>
        </w:tc>
        <w:tc>
          <w:tcPr>
            <w:tcW w:w="548" w:type="pct"/>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sz w:val="24"/>
                <w:szCs w:val="24"/>
                <w:u w:val="none"/>
                <w:lang w:eastAsia="zh-CN"/>
              </w:rPr>
            </w:pPr>
          </w:p>
        </w:tc>
        <w:tc>
          <w:tcPr>
            <w:tcW w:w="83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sz w:val="24"/>
                <w:szCs w:val="24"/>
                <w:u w:val="none"/>
                <w:lang w:eastAsia="zh-CN"/>
              </w:rPr>
            </w:pPr>
            <w:r>
              <w:rPr>
                <w:rFonts w:hint="default" w:ascii="Times New Roman" w:hAnsi="Times New Roman" w:eastAsia="仿宋_GB2312" w:cs="Times New Roman"/>
                <w:i w:val="0"/>
                <w:color w:val="000000"/>
                <w:sz w:val="24"/>
                <w:szCs w:val="24"/>
                <w:u w:val="none"/>
                <w:lang w:eastAsia="zh-CN"/>
              </w:rPr>
              <w:t>地方资金</w:t>
            </w:r>
          </w:p>
        </w:tc>
        <w:tc>
          <w:tcPr>
            <w:tcW w:w="274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8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年度总体目标</w:t>
            </w:r>
          </w:p>
        </w:tc>
        <w:tc>
          <w:tcPr>
            <w:tcW w:w="4132"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通过发放优抚对象医疗补助资金，对优抚对象参保缴费、住院和门诊费用进行补助，有效帮助解决优抚对象医疗难的问题。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125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一级指标</w:t>
            </w:r>
          </w:p>
        </w:tc>
        <w:tc>
          <w:tcPr>
            <w:tcW w:w="97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二级指标</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三级指标</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1250" w:type="pct"/>
            <w:gridSpan w:val="2"/>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产出</w:t>
            </w:r>
            <w:bookmarkStart w:id="0" w:name="_GoBack"/>
            <w:bookmarkEnd w:id="0"/>
            <w:r>
              <w:rPr>
                <w:rFonts w:hint="eastAsia" w:ascii="Times New Roman" w:hAnsi="Times New Roman" w:eastAsia="仿宋_GB2312" w:cs="Times New Roman"/>
                <w:i w:val="0"/>
                <w:color w:val="000000"/>
                <w:kern w:val="0"/>
                <w:sz w:val="24"/>
                <w:szCs w:val="24"/>
                <w:u w:val="none"/>
                <w:lang w:val="en-US" w:eastAsia="zh-CN" w:bidi="ar"/>
              </w:rPr>
              <w:t>指标</w:t>
            </w:r>
          </w:p>
        </w:tc>
        <w:tc>
          <w:tcPr>
            <w:tcW w:w="971" w:type="pct"/>
            <w:gridSpan w:val="3"/>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数量指标</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享受医疗待遇对象人数</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Times New Roman" w:hAnsi="Times New Roman" w:eastAsia="仿宋_GB2312" w:cs="Times New Roman"/>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r>
              <w:rPr>
                <w:rFonts w:hint="eastAsia" w:ascii="Times New Roman" w:hAnsi="Times New Roman" w:eastAsia="仿宋_GB2312" w:cs="Times New Roman"/>
                <w:i w:val="0"/>
                <w:color w:val="000000"/>
                <w:kern w:val="0"/>
                <w:sz w:val="24"/>
                <w:szCs w:val="24"/>
                <w:u w:val="none"/>
                <w:lang w:val="en-US" w:eastAsia="zh-CN" w:bidi="ar"/>
              </w:rPr>
              <w:t>45人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8" w:hRule="atLeast"/>
        </w:trPr>
        <w:tc>
          <w:tcPr>
            <w:tcW w:w="1250" w:type="pct"/>
            <w:gridSpan w:val="2"/>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4"/>
                <w:szCs w:val="24"/>
                <w:u w:val="none"/>
                <w:lang w:val="en-US" w:eastAsia="zh-CN" w:bidi="ar"/>
              </w:rPr>
            </w:pPr>
          </w:p>
        </w:tc>
        <w:tc>
          <w:tcPr>
            <w:tcW w:w="971" w:type="pct"/>
            <w:gridSpan w:val="3"/>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imes New Roman" w:hAnsi="Times New Roman" w:eastAsia="仿宋_GB2312" w:cs="Times New Roman"/>
                <w:i w:val="0"/>
                <w:color w:val="000000"/>
                <w:kern w:val="0"/>
                <w:sz w:val="24"/>
                <w:szCs w:val="24"/>
                <w:u w:val="none"/>
                <w:lang w:val="en-US" w:eastAsia="zh-CN" w:bidi="ar"/>
              </w:rPr>
            </w:pP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符合自主参保条件的1级到6级残疾军人实际职工基本医疗保险参保率</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Times New Roman" w:hAnsi="Times New Roman" w:eastAsia="仿宋_GB2312" w:cs="Times New Roman"/>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9</w:t>
            </w:r>
            <w:r>
              <w:rPr>
                <w:rFonts w:hint="eastAsia" w:ascii="Times New Roman" w:hAnsi="Times New Roman" w:eastAsia="仿宋_GB2312" w:cs="Times New Roman"/>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5" w:hRule="atLeast"/>
        </w:trPr>
        <w:tc>
          <w:tcPr>
            <w:tcW w:w="1250" w:type="pct"/>
            <w:gridSpan w:val="2"/>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4"/>
                <w:szCs w:val="24"/>
                <w:u w:val="none"/>
                <w:lang w:val="en-US" w:eastAsia="zh-CN" w:bidi="ar"/>
              </w:rPr>
            </w:pPr>
          </w:p>
        </w:tc>
        <w:tc>
          <w:tcPr>
            <w:tcW w:w="971" w:type="pct"/>
            <w:gridSpan w:val="3"/>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imes New Roman" w:hAnsi="Times New Roman" w:eastAsia="仿宋_GB2312" w:cs="Times New Roman"/>
                <w:i w:val="0"/>
                <w:color w:val="000000"/>
                <w:kern w:val="0"/>
                <w:sz w:val="24"/>
                <w:szCs w:val="24"/>
                <w:u w:val="none"/>
                <w:lang w:val="en-US" w:eastAsia="zh-CN" w:bidi="ar"/>
              </w:rPr>
            </w:pP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符合医疗补助条件，参加基本医疗保险制度但个人医疗费用负担较重的优抚对象中实际享受医疗补助人数的比例</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Times New Roman" w:hAnsi="Times New Roman" w:eastAsia="仿宋_GB2312" w:cs="Times New Roman"/>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90</w:t>
            </w:r>
            <w:r>
              <w:rPr>
                <w:rFonts w:hint="eastAsia" w:ascii="Times New Roman" w:hAnsi="Times New Roman" w:eastAsia="仿宋_GB2312" w:cs="Times New Roman"/>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250" w:type="pct"/>
            <w:gridSpan w:val="2"/>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4"/>
                <w:szCs w:val="24"/>
                <w:u w:val="none"/>
                <w:lang w:val="en-US" w:eastAsia="zh-CN" w:bidi="ar"/>
              </w:rPr>
            </w:pPr>
          </w:p>
        </w:tc>
        <w:tc>
          <w:tcPr>
            <w:tcW w:w="971" w:type="pct"/>
            <w:gridSpan w:val="3"/>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质量指标</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优抚对象医疗保障资金 按政策规定支出</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1250" w:type="pct"/>
            <w:gridSpan w:val="2"/>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4"/>
                <w:szCs w:val="24"/>
                <w:u w:val="none"/>
                <w:lang w:val="en-US" w:eastAsia="zh-CN" w:bidi="ar"/>
              </w:rPr>
            </w:pPr>
          </w:p>
        </w:tc>
        <w:tc>
          <w:tcPr>
            <w:tcW w:w="971" w:type="pct"/>
            <w:gridSpan w:val="3"/>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imes New Roman" w:hAnsi="Times New Roman" w:eastAsia="仿宋_GB2312" w:cs="Times New Roman"/>
                <w:i w:val="0"/>
                <w:color w:val="000000"/>
                <w:kern w:val="0"/>
                <w:sz w:val="24"/>
                <w:szCs w:val="24"/>
                <w:u w:val="none"/>
                <w:lang w:val="en-US" w:eastAsia="zh-CN" w:bidi="ar"/>
              </w:rPr>
            </w:pP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经费足额拨付率</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250" w:type="pct"/>
            <w:gridSpan w:val="2"/>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4"/>
                <w:szCs w:val="24"/>
                <w:u w:val="none"/>
                <w:lang w:val="en-US" w:eastAsia="zh-CN" w:bidi="ar"/>
              </w:rPr>
            </w:pPr>
          </w:p>
        </w:tc>
        <w:tc>
          <w:tcPr>
            <w:tcW w:w="97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时效指标</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优抚对象医疗保障经费 及时拨付率</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25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效益指标</w:t>
            </w:r>
          </w:p>
        </w:tc>
        <w:tc>
          <w:tcPr>
            <w:tcW w:w="97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社会效益指标</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优抚对象医疗难问题改善情况</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有效改善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6" w:hRule="atLeast"/>
        </w:trPr>
        <w:tc>
          <w:tcPr>
            <w:tcW w:w="125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满意度指标</w:t>
            </w:r>
          </w:p>
        </w:tc>
        <w:tc>
          <w:tcPr>
            <w:tcW w:w="97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服务对象满意度指标</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优抚对象满意度</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90</w:t>
            </w:r>
            <w:r>
              <w:rPr>
                <w:rFonts w:hint="eastAsia" w:ascii="Times New Roman" w:hAnsi="Times New Roman" w:eastAsia="仿宋_GB2312" w:cs="Times New Roman"/>
                <w:i w:val="0"/>
                <w:color w:val="000000"/>
                <w:kern w:val="0"/>
                <w:sz w:val="24"/>
                <w:szCs w:val="24"/>
                <w:u w:val="none"/>
                <w:lang w:val="en-US" w:eastAsia="zh-CN" w:bidi="ar"/>
              </w:rPr>
              <w:t>％</w:t>
            </w:r>
          </w:p>
        </w:tc>
      </w:tr>
    </w:tbl>
    <w:p>
      <w:pPr>
        <w:rPr>
          <w:rFonts w:hint="default" w:ascii="Times New Roman" w:hAnsi="Times New Roman" w:eastAsia="仿宋_GB2312" w:cs="Times New Roman"/>
        </w:rPr>
      </w:pPr>
    </w:p>
    <w:sectPr>
      <w:footerReference r:id="rId3" w:type="default"/>
      <w:footerReference r:id="rId4" w:type="even"/>
      <w:pgSz w:w="11906" w:h="16838"/>
      <w:pgMar w:top="1984" w:right="1531" w:bottom="1701" w:left="1531" w:header="851" w:footer="992" w:gutter="0"/>
      <w:pgBorders>
        <w:top w:val="none" w:sz="0" w:space="0"/>
        <w:left w:val="none" w:sz="0" w:space="0"/>
        <w:bottom w:val="none" w:sz="0" w:space="0"/>
        <w:right w:val="none" w:sz="0" w:space="0"/>
      </w:pgBorders>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p>
    <w:pPr>
      <w:pStyle w:val="3"/>
      <w:rPr>
        <w:rFonts w:hint="eastAsia"/>
      </w:rPr>
    </w:pPr>
  </w:p>
  <w:p>
    <w:pPr>
      <w:pStyle w:val="3"/>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lvlRestart w:val="0"/>
      <w:suff w:val="nothing"/>
      <w:lvlText w:val=""/>
      <w:lvlJc w:val="left"/>
      <w:pPr>
        <w:tabs>
          <w:tab w:val="left" w:pos="0"/>
        </w:tabs>
        <w:ind w:left="992" w:hanging="992"/>
      </w:pPr>
    </w:lvl>
    <w:lvl w:ilvl="2" w:tentative="0">
      <w:start w:val="1"/>
      <w:numFmt w:val="none"/>
      <w:lvlRestart w:val="0"/>
      <w:pStyle w:val="2"/>
      <w:suff w:val="nothing"/>
      <w:lvlText w:val=""/>
      <w:lvlJc w:val="left"/>
      <w:pPr>
        <w:tabs>
          <w:tab w:val="left" w:pos="0"/>
        </w:tabs>
        <w:ind w:left="1418" w:hanging="1418"/>
      </w:pPr>
    </w:lvl>
    <w:lvl w:ilvl="3" w:tentative="0">
      <w:start w:val="1"/>
      <w:numFmt w:val="none"/>
      <w:lvlRestart w:val="0"/>
      <w:suff w:val="nothing"/>
      <w:lvlText w:val=""/>
      <w:lvlJc w:val="left"/>
      <w:pPr>
        <w:tabs>
          <w:tab w:val="left" w:pos="0"/>
        </w:tabs>
        <w:ind w:left="1984" w:hanging="1984"/>
      </w:pPr>
    </w:lvl>
    <w:lvl w:ilvl="4" w:tentative="0">
      <w:start w:val="1"/>
      <w:numFmt w:val="none"/>
      <w:lvlRestart w:val="0"/>
      <w:suff w:val="nothing"/>
      <w:lvlText w:val=""/>
      <w:lvlJc w:val="left"/>
      <w:pPr>
        <w:tabs>
          <w:tab w:val="left" w:pos="0"/>
        </w:tabs>
        <w:ind w:left="2551" w:hanging="2551"/>
      </w:pPr>
    </w:lvl>
    <w:lvl w:ilvl="5" w:tentative="0">
      <w:start w:val="1"/>
      <w:numFmt w:val="none"/>
      <w:lvlRestart w:val="0"/>
      <w:suff w:val="nothing"/>
      <w:lvlText w:val=""/>
      <w:lvlJc w:val="left"/>
      <w:pPr>
        <w:tabs>
          <w:tab w:val="left" w:pos="0"/>
        </w:tabs>
        <w:ind w:left="3260" w:hanging="3260"/>
      </w:pPr>
    </w:lvl>
    <w:lvl w:ilvl="6" w:tentative="0">
      <w:start w:val="1"/>
      <w:numFmt w:val="none"/>
      <w:lvlRestart w:val="0"/>
      <w:suff w:val="nothing"/>
      <w:lvlText w:val=""/>
      <w:lvlJc w:val="left"/>
      <w:pPr>
        <w:tabs>
          <w:tab w:val="left" w:pos="0"/>
        </w:tabs>
        <w:ind w:left="3827" w:hanging="3827"/>
      </w:pPr>
    </w:lvl>
    <w:lvl w:ilvl="7" w:tentative="0">
      <w:start w:val="1"/>
      <w:numFmt w:val="none"/>
      <w:lvlRestart w:val="0"/>
      <w:suff w:val="nothing"/>
      <w:lvlText w:val=""/>
      <w:lvlJc w:val="left"/>
      <w:pPr>
        <w:tabs>
          <w:tab w:val="left" w:pos="0"/>
        </w:tabs>
        <w:ind w:left="4394" w:hanging="4394"/>
      </w:pPr>
    </w:lvl>
    <w:lvl w:ilvl="8" w:tentative="0">
      <w:start w:val="1"/>
      <w:numFmt w:val="none"/>
      <w:lvlRestart w:val="0"/>
      <w:suff w:val="nothing"/>
      <w:lvlText w:val=""/>
      <w:lvlJc w:val="left"/>
      <w:pPr>
        <w:tabs>
          <w:tab w:val="left" w:pos="0"/>
        </w:tabs>
        <w:ind w:left="5102" w:hanging="51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871225"/>
    <w:rsid w:val="01E77045"/>
    <w:rsid w:val="04CF05D5"/>
    <w:rsid w:val="072D1D36"/>
    <w:rsid w:val="07C531B2"/>
    <w:rsid w:val="08F71EBD"/>
    <w:rsid w:val="0DFF5908"/>
    <w:rsid w:val="0FAD0872"/>
    <w:rsid w:val="10BD318D"/>
    <w:rsid w:val="14C44C16"/>
    <w:rsid w:val="1614075A"/>
    <w:rsid w:val="1748134F"/>
    <w:rsid w:val="17B12E7E"/>
    <w:rsid w:val="1B6A5B9F"/>
    <w:rsid w:val="1E005FC9"/>
    <w:rsid w:val="1ECD1FE3"/>
    <w:rsid w:val="203523C3"/>
    <w:rsid w:val="20ED7E69"/>
    <w:rsid w:val="226B63C6"/>
    <w:rsid w:val="23770A91"/>
    <w:rsid w:val="246A58B9"/>
    <w:rsid w:val="24FC6D1C"/>
    <w:rsid w:val="256D3EF6"/>
    <w:rsid w:val="295B3171"/>
    <w:rsid w:val="2B046012"/>
    <w:rsid w:val="2CCF0CC1"/>
    <w:rsid w:val="2CF46ACE"/>
    <w:rsid w:val="2D7C4132"/>
    <w:rsid w:val="2FD520C3"/>
    <w:rsid w:val="306B7C79"/>
    <w:rsid w:val="307E2F6F"/>
    <w:rsid w:val="30CD5EA7"/>
    <w:rsid w:val="31033E07"/>
    <w:rsid w:val="31674CD5"/>
    <w:rsid w:val="333C03A9"/>
    <w:rsid w:val="33634518"/>
    <w:rsid w:val="35B2677E"/>
    <w:rsid w:val="38A24B3C"/>
    <w:rsid w:val="39506F07"/>
    <w:rsid w:val="396773C8"/>
    <w:rsid w:val="398C2286"/>
    <w:rsid w:val="3A6023D1"/>
    <w:rsid w:val="3A871225"/>
    <w:rsid w:val="3BBD0C2C"/>
    <w:rsid w:val="3D5162DE"/>
    <w:rsid w:val="3EB9360E"/>
    <w:rsid w:val="41C10A7A"/>
    <w:rsid w:val="423F0777"/>
    <w:rsid w:val="42F97D84"/>
    <w:rsid w:val="4309410B"/>
    <w:rsid w:val="44106532"/>
    <w:rsid w:val="445D4972"/>
    <w:rsid w:val="462651EF"/>
    <w:rsid w:val="49591ABC"/>
    <w:rsid w:val="4A6701DB"/>
    <w:rsid w:val="4AB832F5"/>
    <w:rsid w:val="4B110AF0"/>
    <w:rsid w:val="4C4C05A8"/>
    <w:rsid w:val="4D685B04"/>
    <w:rsid w:val="4EEC1A8C"/>
    <w:rsid w:val="517228DF"/>
    <w:rsid w:val="546A13A6"/>
    <w:rsid w:val="559C1C0E"/>
    <w:rsid w:val="56A113C5"/>
    <w:rsid w:val="578410FF"/>
    <w:rsid w:val="58B3087D"/>
    <w:rsid w:val="59414172"/>
    <w:rsid w:val="59F001CF"/>
    <w:rsid w:val="5A1E762F"/>
    <w:rsid w:val="5B0C7BD9"/>
    <w:rsid w:val="5B685A24"/>
    <w:rsid w:val="5BB31C7C"/>
    <w:rsid w:val="61F231BE"/>
    <w:rsid w:val="64806FD1"/>
    <w:rsid w:val="6595008E"/>
    <w:rsid w:val="66BD0499"/>
    <w:rsid w:val="67314B56"/>
    <w:rsid w:val="68FD0BDA"/>
    <w:rsid w:val="6E9E1ECD"/>
    <w:rsid w:val="73D02575"/>
    <w:rsid w:val="744401AF"/>
    <w:rsid w:val="75642C86"/>
    <w:rsid w:val="76C4424F"/>
    <w:rsid w:val="78611184"/>
    <w:rsid w:val="7A2F7608"/>
    <w:rsid w:val="7B303C8D"/>
    <w:rsid w:val="7C1F4230"/>
    <w:rsid w:val="7D006CD6"/>
    <w:rsid w:val="7EC344D5"/>
    <w:rsid w:val="7F5254DF"/>
    <w:rsid w:val="7FB81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2"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szCs w:val="24"/>
      <w:lang w:val="en-US" w:eastAsia="zh-CN" w:bidi="ar-SA"/>
    </w:rPr>
  </w:style>
  <w:style w:type="paragraph" w:styleId="2">
    <w:name w:val="heading 3"/>
    <w:basedOn w:val="1"/>
    <w:next w:val="1"/>
    <w:qFormat/>
    <w:uiPriority w:val="2"/>
    <w:pPr>
      <w:keepLines/>
      <w:numPr>
        <w:ilvl w:val="2"/>
        <w:numId w:val="1"/>
      </w:numPr>
      <w:spacing w:before="260" w:after="260" w:line="408" w:lineRule="auto"/>
      <w:outlineLvl w:val="2"/>
    </w:pPr>
    <w:rPr>
      <w:rFonts w:ascii="Times New Roman" w:hAnsi="Times New Roman" w:eastAsia="宋体" w:cs="Tahoma"/>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eastAsia="黑体"/>
      <w:snapToGrid w:val="0"/>
      <w:sz w:val="18"/>
      <w:szCs w:val="18"/>
    </w:rPr>
  </w:style>
  <w:style w:type="character" w:customStyle="1" w:styleId="6">
    <w:name w:val="font181"/>
    <w:basedOn w:val="5"/>
    <w:qFormat/>
    <w:uiPriority w:val="0"/>
    <w:rPr>
      <w:rFonts w:hint="eastAsia" w:ascii="宋体" w:hAnsi="宋体" w:eastAsia="宋体" w:cs="宋体"/>
      <w:b/>
      <w:color w:val="000000"/>
      <w:sz w:val="48"/>
      <w:szCs w:val="48"/>
      <w:u w:val="none"/>
    </w:rPr>
  </w:style>
  <w:style w:type="character" w:customStyle="1" w:styleId="7">
    <w:name w:val="font71"/>
    <w:basedOn w:val="5"/>
    <w:qFormat/>
    <w:uiPriority w:val="0"/>
    <w:rPr>
      <w:rFonts w:hint="default" w:ascii="方正仿宋_GBK" w:hAnsi="方正仿宋_GBK" w:eastAsia="方正仿宋_GBK" w:cs="方正仿宋_GBK"/>
      <w:b/>
      <w:color w:val="000000"/>
      <w:sz w:val="48"/>
      <w:szCs w:val="4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2024-10-31T02:38:00Z</dcterms:created>
  <dc:creator>Administrator</dc:creator>
  <cp:lastModifiedBy>Administrator</cp:lastModifiedBy>
  <cp:lastPrinted>2024-11-06T04:20:00Z</cp:lastPrinted>
  <dcterms:modified xsi:type="dcterms:W3CDTF">2024-12-09T11:56:39Z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