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pBdr>
          <w:bottom w:val="dotDotDash" w:color="auto" w:sz="24" w:space="10"/>
        </w:pBdr>
        <w:kinsoku/>
        <w:wordWrap/>
        <w:overflowPunct/>
        <w:topLinePunct w:val="0"/>
        <w:autoSpaceDE/>
        <w:autoSpaceDN/>
        <w:bidi w:val="0"/>
        <w:adjustRightInd/>
        <w:spacing w:before="312" w:beforeLines="100" w:after="312" w:afterLines="100" w:line="360" w:lineRule="exact"/>
        <w:ind w:firstLine="0" w:firstLineChars="0"/>
        <w:rPr>
          <w:rFonts w:eastAsia="黑体"/>
          <w:b/>
          <w:sz w:val="30"/>
          <w:szCs w:val="30"/>
        </w:rPr>
      </w:pPr>
    </w:p>
    <w:p>
      <w:pPr>
        <w:pageBreakBefore w:val="0"/>
        <w:pBdr>
          <w:bottom w:val="dotDotDash" w:color="auto" w:sz="24" w:space="10"/>
        </w:pBdr>
        <w:kinsoku/>
        <w:wordWrap/>
        <w:overflowPunct/>
        <w:topLinePunct w:val="0"/>
        <w:autoSpaceDE/>
        <w:autoSpaceDN/>
        <w:bidi w:val="0"/>
        <w:adjustRightInd/>
        <w:spacing w:before="312" w:beforeLines="100" w:after="312" w:afterLines="100" w:line="360" w:lineRule="exact"/>
        <w:ind w:firstLine="0" w:firstLineChars="0"/>
        <w:jc w:val="center"/>
        <w:rPr>
          <w:rFonts w:eastAsia="黑体"/>
          <w:b/>
          <w:sz w:val="30"/>
          <w:szCs w:val="30"/>
        </w:rPr>
      </w:pPr>
    </w:p>
    <w:p>
      <w:pPr>
        <w:keepNext w:val="0"/>
        <w:keepLines w:val="0"/>
        <w:pageBreakBefore w:val="0"/>
        <w:widowControl w:val="0"/>
        <w:pBdr>
          <w:bottom w:val="dotDotDash" w:color="auto" w:sz="24" w:space="10"/>
        </w:pBdr>
        <w:kinsoku/>
        <w:wordWrap/>
        <w:overflowPunct/>
        <w:topLinePunct w:val="0"/>
        <w:autoSpaceDE/>
        <w:autoSpaceDN/>
        <w:bidi w:val="0"/>
        <w:adjustRightInd/>
        <w:snapToGrid w:val="0"/>
        <w:spacing w:before="156" w:beforeLines="50" w:after="312" w:afterLines="100" w:line="600" w:lineRule="exact"/>
        <w:ind w:firstLine="0" w:firstLineChars="0"/>
        <w:jc w:val="center"/>
        <w:textAlignment w:val="center"/>
        <w:rPr>
          <w:rFonts w:eastAsia="黑体"/>
          <w:b/>
          <w:sz w:val="44"/>
          <w:szCs w:val="22"/>
        </w:rPr>
      </w:pPr>
      <w:r>
        <w:rPr>
          <w:rFonts w:hint="eastAsia" w:eastAsia="黑体"/>
          <w:b/>
          <w:sz w:val="44"/>
          <w:szCs w:val="22"/>
        </w:rPr>
        <w:t>巴楚县住房和城乡建设局</w:t>
      </w:r>
    </w:p>
    <w:p>
      <w:pPr>
        <w:keepNext w:val="0"/>
        <w:keepLines w:val="0"/>
        <w:pageBreakBefore w:val="0"/>
        <w:widowControl w:val="0"/>
        <w:pBdr>
          <w:bottom w:val="dotDotDash" w:color="auto" w:sz="24" w:space="10"/>
        </w:pBdr>
        <w:kinsoku/>
        <w:wordWrap/>
        <w:overflowPunct/>
        <w:topLinePunct w:val="0"/>
        <w:autoSpaceDE/>
        <w:autoSpaceDN/>
        <w:bidi w:val="0"/>
        <w:adjustRightInd/>
        <w:snapToGrid w:val="0"/>
        <w:spacing w:before="156" w:beforeLines="50" w:after="312" w:afterLines="100" w:line="600" w:lineRule="exact"/>
        <w:ind w:firstLine="0" w:firstLineChars="0"/>
        <w:jc w:val="center"/>
        <w:textAlignment w:val="center"/>
        <w:rPr>
          <w:rFonts w:eastAsia="黑体"/>
          <w:b/>
          <w:sz w:val="44"/>
          <w:szCs w:val="22"/>
        </w:rPr>
      </w:pPr>
      <w:r>
        <w:rPr>
          <w:rFonts w:hint="eastAsia" w:eastAsia="黑体"/>
          <w:b/>
          <w:sz w:val="44"/>
          <w:szCs w:val="22"/>
        </w:rPr>
        <w:t>2023年度城区环卫市场化项目</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jc w:val="center"/>
        <w:rPr>
          <w:rFonts w:eastAsia="黑体"/>
          <w:sz w:val="44"/>
          <w:szCs w:val="44"/>
        </w:rPr>
      </w:pPr>
      <w:r>
        <w:rPr>
          <w:rFonts w:eastAsia="黑体"/>
          <w:spacing w:val="23"/>
          <w:kern w:val="0"/>
          <w:sz w:val="44"/>
          <w:szCs w:val="44"/>
          <w:fitText w:val="2872" w:id="1924366299"/>
        </w:rPr>
        <w:t>绩效评价报</w:t>
      </w:r>
      <w:r>
        <w:rPr>
          <w:rFonts w:eastAsia="黑体"/>
          <w:spacing w:val="1"/>
          <w:kern w:val="0"/>
          <w:sz w:val="44"/>
          <w:szCs w:val="44"/>
          <w:fitText w:val="2872" w:id="1924366299"/>
        </w:rPr>
        <w:t>告</w:t>
      </w:r>
    </w:p>
    <w:p>
      <w:pPr>
        <w:keepNext w:val="0"/>
        <w:keepLines w:val="0"/>
        <w:pageBreakBefore w:val="0"/>
        <w:widowControl w:val="0"/>
        <w:kinsoku/>
        <w:wordWrap/>
        <w:overflowPunct/>
        <w:topLinePunct w:val="0"/>
        <w:autoSpaceDE/>
        <w:autoSpaceDN/>
        <w:bidi w:val="0"/>
        <w:adjustRightInd/>
        <w:snapToGrid w:val="0"/>
        <w:spacing w:line="600" w:lineRule="exact"/>
        <w:ind w:firstLine="0" w:firstLineChars="0"/>
        <w:jc w:val="center"/>
      </w:pPr>
      <w:r>
        <w:t>驰天会咨</w:t>
      </w:r>
      <w:r>
        <w:rPr>
          <w:rFonts w:ascii="Times New Roman" w:hAnsi="Times New Roman" w:cs="Times New Roman"/>
        </w:rPr>
        <w:t>字</w:t>
      </w:r>
      <w:r>
        <w:rPr>
          <w:rFonts w:hint="eastAsia" w:ascii="Times New Roman" w:hAnsi="Times New Roman" w:cs="Times New Roman"/>
        </w:rPr>
        <w:t>〔</w:t>
      </w:r>
      <w:r>
        <w:rPr>
          <w:rFonts w:ascii="Times New Roman" w:hAnsi="Times New Roman" w:cs="Times New Roman"/>
        </w:rPr>
        <w:t>20</w:t>
      </w:r>
      <w:r>
        <w:rPr>
          <w:rFonts w:hint="eastAsia" w:ascii="Times New Roman" w:hAnsi="Times New Roman" w:cs="Times New Roman"/>
        </w:rPr>
        <w:t>24〕</w:t>
      </w:r>
      <w:r>
        <w:rPr>
          <w:rFonts w:ascii="Times New Roman" w:hAnsi="Times New Roman" w:cs="Times New Roman"/>
        </w:rPr>
        <w:t>1-</w:t>
      </w:r>
      <w:r>
        <w:rPr>
          <w:rFonts w:hint="eastAsia" w:ascii="Times New Roman" w:hAnsi="Times New Roman" w:cs="Times New Roman"/>
        </w:rPr>
        <w:t>0146</w:t>
      </w:r>
      <w:r>
        <w:t>号</w:t>
      </w:r>
    </w:p>
    <w:p>
      <w:pPr>
        <w:pageBreakBefore w:val="0"/>
        <w:kinsoku/>
        <w:wordWrap/>
        <w:overflowPunct/>
        <w:topLinePunct w:val="0"/>
        <w:autoSpaceDE/>
        <w:autoSpaceDN/>
        <w:bidi w:val="0"/>
        <w:adjustRightInd/>
        <w:spacing w:line="360" w:lineRule="exact"/>
        <w:ind w:firstLine="0" w:firstLineChars="0"/>
        <w:jc w:val="center"/>
        <w:rPr>
          <w:b/>
          <w:sz w:val="32"/>
          <w:szCs w:val="22"/>
        </w:rPr>
      </w:pPr>
    </w:p>
    <w:p>
      <w:pPr>
        <w:pageBreakBefore w:val="0"/>
        <w:kinsoku/>
        <w:wordWrap/>
        <w:overflowPunct/>
        <w:topLinePunct w:val="0"/>
        <w:autoSpaceDE/>
        <w:autoSpaceDN/>
        <w:bidi w:val="0"/>
        <w:adjustRightInd/>
        <w:spacing w:line="360" w:lineRule="exact"/>
        <w:ind w:firstLine="0" w:firstLineChars="0"/>
        <w:jc w:val="center"/>
        <w:rPr>
          <w:b/>
          <w:sz w:val="32"/>
          <w:szCs w:val="22"/>
        </w:rPr>
      </w:pPr>
    </w:p>
    <w:p>
      <w:pPr>
        <w:pageBreakBefore w:val="0"/>
        <w:kinsoku/>
        <w:wordWrap/>
        <w:overflowPunct/>
        <w:topLinePunct w:val="0"/>
        <w:autoSpaceDE/>
        <w:autoSpaceDN/>
        <w:bidi w:val="0"/>
        <w:adjustRightInd/>
        <w:spacing w:line="360" w:lineRule="exact"/>
        <w:ind w:firstLine="0" w:firstLineChars="0"/>
        <w:jc w:val="center"/>
        <w:rPr>
          <w:b/>
          <w:sz w:val="32"/>
          <w:szCs w:val="22"/>
        </w:rPr>
      </w:pPr>
    </w:p>
    <w:p>
      <w:pPr>
        <w:pageBreakBefore w:val="0"/>
        <w:kinsoku/>
        <w:wordWrap/>
        <w:overflowPunct/>
        <w:topLinePunct w:val="0"/>
        <w:autoSpaceDE/>
        <w:autoSpaceDN/>
        <w:bidi w:val="0"/>
        <w:adjustRightInd/>
        <w:spacing w:line="360" w:lineRule="exact"/>
        <w:ind w:firstLine="0" w:firstLineChars="0"/>
        <w:jc w:val="center"/>
        <w:rPr>
          <w:b/>
          <w:sz w:val="32"/>
          <w:szCs w:val="22"/>
        </w:rPr>
      </w:pPr>
    </w:p>
    <w:p>
      <w:pPr>
        <w:pageBreakBefore w:val="0"/>
        <w:kinsoku/>
        <w:wordWrap/>
        <w:overflowPunct/>
        <w:topLinePunct w:val="0"/>
        <w:autoSpaceDE/>
        <w:autoSpaceDN/>
        <w:bidi w:val="0"/>
        <w:adjustRightInd/>
        <w:spacing w:line="360" w:lineRule="exact"/>
        <w:ind w:firstLine="0" w:firstLineChars="0"/>
        <w:jc w:val="center"/>
        <w:rPr>
          <w:b/>
          <w:sz w:val="32"/>
          <w:szCs w:val="22"/>
        </w:rPr>
      </w:pPr>
    </w:p>
    <w:p>
      <w:pPr>
        <w:pageBreakBefore w:val="0"/>
        <w:kinsoku/>
        <w:wordWrap/>
        <w:overflowPunct/>
        <w:topLinePunct w:val="0"/>
        <w:autoSpaceDE/>
        <w:autoSpaceDN/>
        <w:bidi w:val="0"/>
        <w:adjustRightInd/>
        <w:spacing w:line="360" w:lineRule="exact"/>
        <w:ind w:firstLine="0" w:firstLineChars="0"/>
        <w:jc w:val="center"/>
        <w:rPr>
          <w:b/>
          <w:sz w:val="32"/>
          <w:szCs w:val="22"/>
        </w:rPr>
      </w:pPr>
    </w:p>
    <w:p>
      <w:pPr>
        <w:pageBreakBefore w:val="0"/>
        <w:kinsoku/>
        <w:wordWrap/>
        <w:overflowPunct/>
        <w:topLinePunct w:val="0"/>
        <w:autoSpaceDE/>
        <w:autoSpaceDN/>
        <w:bidi w:val="0"/>
        <w:adjustRightInd/>
        <w:spacing w:line="360" w:lineRule="exact"/>
        <w:ind w:firstLine="0" w:firstLineChars="0"/>
        <w:jc w:val="center"/>
        <w:rPr>
          <w:b/>
          <w:sz w:val="32"/>
          <w:szCs w:val="22"/>
        </w:rPr>
      </w:pPr>
    </w:p>
    <w:p>
      <w:pPr>
        <w:pageBreakBefore w:val="0"/>
        <w:kinsoku/>
        <w:wordWrap/>
        <w:overflowPunct/>
        <w:topLinePunct w:val="0"/>
        <w:autoSpaceDE/>
        <w:autoSpaceDN/>
        <w:bidi w:val="0"/>
        <w:adjustRightInd/>
        <w:spacing w:line="360" w:lineRule="exact"/>
        <w:ind w:firstLine="0" w:firstLineChars="0"/>
        <w:jc w:val="center"/>
        <w:rPr>
          <w:b/>
          <w:sz w:val="32"/>
          <w:szCs w:val="22"/>
        </w:rPr>
      </w:pPr>
    </w:p>
    <w:p>
      <w:pPr>
        <w:pageBreakBefore w:val="0"/>
        <w:kinsoku/>
        <w:wordWrap/>
        <w:overflowPunct/>
        <w:topLinePunct w:val="0"/>
        <w:autoSpaceDE/>
        <w:autoSpaceDN/>
        <w:bidi w:val="0"/>
        <w:adjustRightInd/>
        <w:spacing w:line="360" w:lineRule="exact"/>
        <w:ind w:firstLine="0" w:firstLineChars="0"/>
        <w:rPr>
          <w:b/>
          <w:sz w:val="32"/>
          <w:szCs w:val="22"/>
        </w:rPr>
      </w:pPr>
    </w:p>
    <w:p>
      <w:pPr>
        <w:pStyle w:val="9"/>
        <w:pageBreakBefore w:val="0"/>
        <w:kinsoku/>
        <w:wordWrap/>
        <w:overflowPunct/>
        <w:topLinePunct w:val="0"/>
        <w:autoSpaceDE/>
        <w:autoSpaceDN/>
        <w:bidi w:val="0"/>
        <w:spacing w:line="360" w:lineRule="exact"/>
        <w:ind w:firstLine="643"/>
        <w:rPr>
          <w:b/>
          <w:sz w:val="32"/>
          <w:szCs w:val="22"/>
        </w:rPr>
      </w:pPr>
    </w:p>
    <w:p>
      <w:pPr>
        <w:pStyle w:val="10"/>
        <w:pageBreakBefore w:val="0"/>
        <w:kinsoku/>
        <w:wordWrap/>
        <w:overflowPunct/>
        <w:topLinePunct w:val="0"/>
        <w:autoSpaceDE/>
        <w:autoSpaceDN/>
        <w:bidi w:val="0"/>
        <w:spacing w:line="360" w:lineRule="exact"/>
        <w:ind w:firstLine="420"/>
      </w:pPr>
    </w:p>
    <w:p>
      <w:pPr>
        <w:pStyle w:val="10"/>
        <w:pageBreakBefore w:val="0"/>
        <w:kinsoku/>
        <w:wordWrap/>
        <w:overflowPunct/>
        <w:topLinePunct w:val="0"/>
        <w:autoSpaceDE/>
        <w:autoSpaceDN/>
        <w:bidi w:val="0"/>
        <w:spacing w:line="360" w:lineRule="exact"/>
        <w:ind w:firstLine="420"/>
      </w:pPr>
    </w:p>
    <w:p>
      <w:pPr>
        <w:pStyle w:val="10"/>
        <w:pageBreakBefore w:val="0"/>
        <w:kinsoku/>
        <w:wordWrap/>
        <w:overflowPunct/>
        <w:topLinePunct w:val="0"/>
        <w:autoSpaceDE/>
        <w:autoSpaceDN/>
        <w:bidi w:val="0"/>
        <w:spacing w:line="360" w:lineRule="exact"/>
        <w:ind w:firstLine="420"/>
      </w:pPr>
    </w:p>
    <w:p>
      <w:pPr>
        <w:pStyle w:val="10"/>
        <w:pageBreakBefore w:val="0"/>
        <w:kinsoku/>
        <w:wordWrap/>
        <w:overflowPunct/>
        <w:topLinePunct w:val="0"/>
        <w:autoSpaceDE/>
        <w:autoSpaceDN/>
        <w:bidi w:val="0"/>
        <w:spacing w:line="360" w:lineRule="exact"/>
        <w:ind w:firstLine="420"/>
      </w:pPr>
    </w:p>
    <w:p>
      <w:pPr>
        <w:pStyle w:val="10"/>
        <w:pageBreakBefore w:val="0"/>
        <w:kinsoku/>
        <w:wordWrap/>
        <w:overflowPunct/>
        <w:topLinePunct w:val="0"/>
        <w:autoSpaceDE/>
        <w:autoSpaceDN/>
        <w:bidi w:val="0"/>
        <w:spacing w:line="360" w:lineRule="exact"/>
        <w:ind w:firstLine="420"/>
      </w:pPr>
    </w:p>
    <w:p>
      <w:pPr>
        <w:pStyle w:val="10"/>
        <w:pageBreakBefore w:val="0"/>
        <w:kinsoku/>
        <w:wordWrap/>
        <w:overflowPunct/>
        <w:topLinePunct w:val="0"/>
        <w:autoSpaceDE/>
        <w:autoSpaceDN/>
        <w:bidi w:val="0"/>
        <w:spacing w:line="360" w:lineRule="exact"/>
        <w:ind w:firstLine="420"/>
      </w:pPr>
    </w:p>
    <w:p>
      <w:pPr>
        <w:pStyle w:val="10"/>
        <w:pageBreakBefore w:val="0"/>
        <w:kinsoku/>
        <w:wordWrap/>
        <w:overflowPunct/>
        <w:topLinePunct w:val="0"/>
        <w:autoSpaceDE/>
        <w:autoSpaceDN/>
        <w:bidi w:val="0"/>
        <w:spacing w:line="360" w:lineRule="exact"/>
        <w:ind w:firstLine="420"/>
      </w:pPr>
    </w:p>
    <w:p>
      <w:pPr>
        <w:pStyle w:val="10"/>
        <w:pageBreakBefore w:val="0"/>
        <w:kinsoku/>
        <w:wordWrap/>
        <w:overflowPunct/>
        <w:topLinePunct w:val="0"/>
        <w:autoSpaceDE/>
        <w:autoSpaceDN/>
        <w:bidi w:val="0"/>
        <w:spacing w:line="360" w:lineRule="exact"/>
        <w:ind w:firstLine="0" w:firstLineChars="0"/>
      </w:pPr>
    </w:p>
    <w:p>
      <w:pPr>
        <w:pageBreakBefore w:val="0"/>
        <w:kinsoku/>
        <w:wordWrap/>
        <w:overflowPunct/>
        <w:topLinePunct w:val="0"/>
        <w:autoSpaceDE/>
        <w:autoSpaceDN/>
        <w:bidi w:val="0"/>
        <w:adjustRightInd/>
        <w:spacing w:line="360" w:lineRule="exact"/>
        <w:ind w:firstLine="0" w:firstLineChars="0"/>
        <w:jc w:val="center"/>
        <w:rPr>
          <w:b/>
          <w:sz w:val="32"/>
          <w:szCs w:val="22"/>
        </w:rPr>
      </w:pPr>
      <w:r>
        <w:rPr>
          <w:b/>
          <w:sz w:val="32"/>
          <w:szCs w:val="22"/>
        </w:rPr>
        <w:t>新疆驰远天合有限责任会计师事务所</w:t>
      </w:r>
    </w:p>
    <w:p>
      <w:pPr>
        <w:pageBreakBefore w:val="0"/>
        <w:kinsoku/>
        <w:wordWrap/>
        <w:overflowPunct/>
        <w:topLinePunct w:val="0"/>
        <w:autoSpaceDE/>
        <w:autoSpaceDN/>
        <w:bidi w:val="0"/>
        <w:adjustRightInd/>
        <w:spacing w:line="360" w:lineRule="exact"/>
        <w:ind w:firstLine="0" w:firstLineChars="0"/>
        <w:jc w:val="center"/>
        <w:rPr>
          <w:rFonts w:eastAsia="等线"/>
          <w:b/>
          <w:sz w:val="28"/>
          <w:szCs w:val="28"/>
        </w:rPr>
      </w:pPr>
      <w:r>
        <w:rPr>
          <w:rFonts w:eastAsia="等线"/>
          <w:b/>
          <w:sz w:val="28"/>
          <w:szCs w:val="28"/>
        </w:rPr>
        <w:t>XIN JIANG CHI YUAN TIAN HE</w:t>
      </w:r>
    </w:p>
    <w:p>
      <w:pPr>
        <w:pageBreakBefore w:val="0"/>
        <w:kinsoku/>
        <w:wordWrap/>
        <w:overflowPunct/>
        <w:topLinePunct w:val="0"/>
        <w:autoSpaceDE/>
        <w:autoSpaceDN/>
        <w:bidi w:val="0"/>
        <w:adjustRightInd/>
        <w:spacing w:line="360" w:lineRule="exact"/>
        <w:ind w:firstLine="0" w:firstLineChars="0"/>
        <w:jc w:val="center"/>
        <w:rPr>
          <w:rFonts w:eastAsia="等线"/>
          <w:b/>
        </w:rPr>
      </w:pPr>
      <w:r>
        <w:rPr>
          <w:rFonts w:eastAsia="等线"/>
          <w:b/>
        </w:rPr>
        <w:t>Certified Public Accountants Co.</w:t>
      </w:r>
      <w:r>
        <w:rPr>
          <w:rFonts w:hint="eastAsia" w:eastAsia="等线"/>
          <w:b/>
          <w:lang w:eastAsia="zh-CN"/>
        </w:rPr>
        <w:t>，</w:t>
      </w:r>
      <w:r>
        <w:rPr>
          <w:rFonts w:eastAsia="等线"/>
          <w:b/>
        </w:rPr>
        <w:t>Ltd.</w:t>
      </w:r>
    </w:p>
    <w:p>
      <w:pPr>
        <w:pageBreakBefore w:val="0"/>
        <w:kinsoku/>
        <w:wordWrap/>
        <w:overflowPunct/>
        <w:topLinePunct w:val="0"/>
        <w:autoSpaceDE/>
        <w:autoSpaceDN/>
        <w:bidi w:val="0"/>
        <w:spacing w:line="360" w:lineRule="exact"/>
        <w:ind w:firstLine="0" w:firstLineChars="0"/>
        <w:rPr>
          <w:rFonts w:eastAsia="黑体"/>
          <w:bCs/>
          <w:sz w:val="24"/>
          <w:szCs w:val="24"/>
        </w:rPr>
      </w:pPr>
      <w:r>
        <w:rPr>
          <w:rFonts w:eastAsia="黑体"/>
          <w:bCs/>
          <w:sz w:val="24"/>
          <w:szCs w:val="24"/>
        </w:rPr>
        <w:br w:type="page"/>
      </w:r>
    </w:p>
    <w:p>
      <w:pPr>
        <w:pageBreakBefore w:val="0"/>
        <w:kinsoku/>
        <w:wordWrap/>
        <w:overflowPunct/>
        <w:topLinePunct w:val="0"/>
        <w:autoSpaceDE/>
        <w:autoSpaceDN/>
        <w:bidi w:val="0"/>
        <w:spacing w:line="360" w:lineRule="exact"/>
        <w:ind w:firstLine="0" w:firstLineChars="0"/>
        <w:rPr>
          <w:rFonts w:eastAsia="黑体"/>
          <w:bCs/>
          <w:sz w:val="24"/>
          <w:szCs w:val="24"/>
        </w:rPr>
      </w:pPr>
      <w:r>
        <w:rPr>
          <w:rFonts w:eastAsia="黑体"/>
          <w:bCs/>
          <w:sz w:val="24"/>
          <w:szCs w:val="24"/>
        </w:rPr>
        <w:t>项目名称：</w:t>
      </w:r>
      <w:r>
        <w:rPr>
          <w:rFonts w:hint="eastAsia" w:eastAsia="黑体"/>
          <w:bCs/>
          <w:sz w:val="24"/>
          <w:szCs w:val="24"/>
        </w:rPr>
        <w:t>巴楚县住房和城乡建设局</w:t>
      </w:r>
      <w:r>
        <w:rPr>
          <w:rFonts w:eastAsia="黑体"/>
          <w:bCs/>
          <w:sz w:val="24"/>
          <w:szCs w:val="24"/>
        </w:rPr>
        <w:t>2023年度城区环卫市场化项目</w:t>
      </w:r>
    </w:p>
    <w:p>
      <w:pPr>
        <w:pageBreakBefore w:val="0"/>
        <w:widowControl/>
        <w:kinsoku/>
        <w:wordWrap/>
        <w:overflowPunct/>
        <w:topLinePunct w:val="0"/>
        <w:autoSpaceDE/>
        <w:autoSpaceDN/>
        <w:bidi w:val="0"/>
        <w:spacing w:line="360" w:lineRule="exact"/>
        <w:ind w:firstLine="0" w:firstLineChars="0"/>
        <w:rPr>
          <w:rFonts w:eastAsia="黑体"/>
          <w:bCs/>
          <w:sz w:val="24"/>
          <w:szCs w:val="24"/>
        </w:rPr>
      </w:pPr>
      <w:r>
        <w:rPr>
          <w:rFonts w:eastAsia="黑体"/>
          <w:bCs/>
          <w:sz w:val="24"/>
          <w:szCs w:val="24"/>
        </w:rPr>
        <w:t>委托单位：巴楚县财政局</w:t>
      </w:r>
    </w:p>
    <w:p>
      <w:pPr>
        <w:pageBreakBefore w:val="0"/>
        <w:widowControl/>
        <w:kinsoku/>
        <w:wordWrap/>
        <w:overflowPunct/>
        <w:topLinePunct w:val="0"/>
        <w:autoSpaceDE/>
        <w:autoSpaceDN/>
        <w:bidi w:val="0"/>
        <w:spacing w:line="360" w:lineRule="exact"/>
        <w:ind w:firstLine="0" w:firstLineChars="0"/>
        <w:rPr>
          <w:rFonts w:eastAsia="黑体"/>
          <w:bCs/>
          <w:sz w:val="24"/>
          <w:szCs w:val="24"/>
        </w:rPr>
      </w:pPr>
      <w:r>
        <w:rPr>
          <w:rFonts w:eastAsia="黑体"/>
          <w:bCs/>
          <w:sz w:val="24"/>
          <w:szCs w:val="24"/>
        </w:rPr>
        <w:t>评价机构：新疆驰远天合有限责任会计师事务所</w:t>
      </w:r>
    </w:p>
    <w:p>
      <w:pPr>
        <w:pageBreakBefore w:val="0"/>
        <w:widowControl/>
        <w:kinsoku/>
        <w:wordWrap/>
        <w:overflowPunct/>
        <w:topLinePunct w:val="0"/>
        <w:autoSpaceDE/>
        <w:autoSpaceDN/>
        <w:bidi w:val="0"/>
        <w:spacing w:line="360" w:lineRule="exact"/>
        <w:ind w:firstLine="0" w:firstLineChars="0"/>
        <w:rPr>
          <w:rFonts w:eastAsia="黑体"/>
          <w:bCs/>
          <w:sz w:val="24"/>
          <w:szCs w:val="24"/>
        </w:rPr>
      </w:pPr>
      <w:r>
        <w:rPr>
          <w:rFonts w:eastAsia="黑体"/>
          <w:bCs/>
          <w:sz w:val="24"/>
          <w:szCs w:val="24"/>
        </w:rPr>
        <w:t>机构负责人：孙卫红</w:t>
      </w:r>
    </w:p>
    <w:p>
      <w:pPr>
        <w:pageBreakBefore w:val="0"/>
        <w:widowControl/>
        <w:kinsoku/>
        <w:wordWrap/>
        <w:overflowPunct/>
        <w:topLinePunct w:val="0"/>
        <w:autoSpaceDE/>
        <w:autoSpaceDN/>
        <w:bidi w:val="0"/>
        <w:spacing w:line="360" w:lineRule="exact"/>
        <w:ind w:firstLine="0" w:firstLineChars="0"/>
        <w:rPr>
          <w:rFonts w:eastAsia="黑体"/>
          <w:bCs/>
          <w:sz w:val="24"/>
          <w:szCs w:val="24"/>
        </w:rPr>
      </w:pPr>
      <w:r>
        <w:rPr>
          <w:rFonts w:eastAsia="黑体"/>
          <w:bCs/>
          <w:sz w:val="24"/>
          <w:szCs w:val="24"/>
        </w:rPr>
        <w:t>联系方式：0991-2835917、0991-2831583</w:t>
      </w:r>
    </w:p>
    <w:p>
      <w:pPr>
        <w:pageBreakBefore w:val="0"/>
        <w:widowControl/>
        <w:kinsoku/>
        <w:wordWrap/>
        <w:overflowPunct/>
        <w:topLinePunct w:val="0"/>
        <w:autoSpaceDE/>
        <w:autoSpaceDN/>
        <w:bidi w:val="0"/>
        <w:spacing w:line="360" w:lineRule="exact"/>
        <w:ind w:firstLine="0" w:firstLineChars="0"/>
        <w:rPr>
          <w:rFonts w:eastAsia="黑体"/>
          <w:bCs/>
          <w:sz w:val="24"/>
          <w:szCs w:val="24"/>
        </w:rPr>
      </w:pPr>
      <w:r>
        <w:rPr>
          <w:rFonts w:eastAsia="黑体"/>
          <w:bCs/>
          <w:sz w:val="24"/>
          <w:szCs w:val="24"/>
        </w:rPr>
        <w:t>通讯地址：新疆乌鲁木齐市天山区新华南路9号汇源大厦13楼</w:t>
      </w:r>
    </w:p>
    <w:p>
      <w:pPr>
        <w:pageBreakBefore w:val="0"/>
        <w:widowControl/>
        <w:kinsoku/>
        <w:wordWrap/>
        <w:overflowPunct/>
        <w:topLinePunct w:val="0"/>
        <w:autoSpaceDE/>
        <w:autoSpaceDN/>
        <w:bidi w:val="0"/>
        <w:spacing w:line="360" w:lineRule="exact"/>
        <w:ind w:firstLine="0" w:firstLineChars="0"/>
        <w:rPr>
          <w:rFonts w:eastAsia="黑体"/>
          <w:bCs/>
          <w:sz w:val="24"/>
          <w:szCs w:val="24"/>
        </w:rPr>
      </w:pPr>
      <w:r>
        <w:rPr>
          <w:rFonts w:eastAsia="黑体"/>
          <w:bCs/>
          <w:sz w:val="24"/>
          <w:szCs w:val="24"/>
        </w:rPr>
        <w:t>邮政编码：830004</w:t>
      </w:r>
    </w:p>
    <w:p>
      <w:pPr>
        <w:pageBreakBefore w:val="0"/>
        <w:widowControl/>
        <w:kinsoku/>
        <w:wordWrap/>
        <w:overflowPunct/>
        <w:topLinePunct w:val="0"/>
        <w:autoSpaceDE/>
        <w:autoSpaceDN/>
        <w:bidi w:val="0"/>
        <w:spacing w:line="360" w:lineRule="exact"/>
        <w:ind w:firstLine="0" w:firstLineChars="0"/>
        <w:rPr>
          <w:rFonts w:eastAsia="黑体"/>
          <w:bCs/>
          <w:sz w:val="24"/>
          <w:szCs w:val="24"/>
        </w:rPr>
      </w:pPr>
    </w:p>
    <w:p>
      <w:pPr>
        <w:pageBreakBefore w:val="0"/>
        <w:widowControl/>
        <w:kinsoku/>
        <w:wordWrap/>
        <w:overflowPunct/>
        <w:topLinePunct w:val="0"/>
        <w:autoSpaceDE/>
        <w:autoSpaceDN/>
        <w:bidi w:val="0"/>
        <w:spacing w:line="360" w:lineRule="exact"/>
        <w:ind w:firstLine="0" w:firstLineChars="0"/>
        <w:rPr>
          <w:rFonts w:eastAsia="黑体"/>
          <w:bCs/>
          <w:sz w:val="24"/>
          <w:szCs w:val="24"/>
        </w:rPr>
      </w:pPr>
    </w:p>
    <w:p>
      <w:pPr>
        <w:pageBreakBefore w:val="0"/>
        <w:widowControl/>
        <w:kinsoku/>
        <w:wordWrap/>
        <w:overflowPunct/>
        <w:topLinePunct w:val="0"/>
        <w:autoSpaceDE/>
        <w:autoSpaceDN/>
        <w:bidi w:val="0"/>
        <w:spacing w:line="360" w:lineRule="exact"/>
        <w:ind w:firstLine="0" w:firstLineChars="0"/>
        <w:rPr>
          <w:rFonts w:ascii="黑体" w:hAnsi="黑体" w:eastAsia="黑体" w:cs="黑体"/>
          <w:bCs/>
          <w:sz w:val="24"/>
          <w:szCs w:val="24"/>
        </w:rPr>
      </w:pPr>
      <w:r>
        <w:rPr>
          <w:rFonts w:hint="eastAsia" w:ascii="黑体" w:hAnsi="黑体" w:eastAsia="黑体" w:cs="黑体"/>
          <w:bCs/>
          <w:sz w:val="24"/>
          <w:szCs w:val="24"/>
        </w:rPr>
        <w:t>项目评价小组成员：</w:t>
      </w:r>
    </w:p>
    <w:p>
      <w:pPr>
        <w:pageBreakBefore w:val="0"/>
        <w:widowControl/>
        <w:kinsoku/>
        <w:wordWrap/>
        <w:overflowPunct/>
        <w:topLinePunct w:val="0"/>
        <w:autoSpaceDE/>
        <w:autoSpaceDN/>
        <w:bidi w:val="0"/>
        <w:spacing w:line="360" w:lineRule="exact"/>
        <w:ind w:firstLine="720" w:firstLineChars="300"/>
        <w:rPr>
          <w:rFonts w:ascii="黑体" w:hAnsi="黑体" w:eastAsia="黑体" w:cs="黑体"/>
          <w:bCs/>
          <w:sz w:val="24"/>
          <w:szCs w:val="24"/>
        </w:rPr>
      </w:pPr>
      <w:r>
        <w:rPr>
          <w:rFonts w:hint="eastAsia" w:ascii="黑体" w:hAnsi="黑体" w:eastAsia="黑体" w:cs="黑体"/>
          <w:bCs/>
          <w:sz w:val="24"/>
          <w:szCs w:val="24"/>
        </w:rPr>
        <w:t>项目主评人：冯延萍  注册会计师、注册评估师</w:t>
      </w:r>
    </w:p>
    <w:p>
      <w:pPr>
        <w:pageBreakBefore w:val="0"/>
        <w:widowControl/>
        <w:kinsoku/>
        <w:wordWrap/>
        <w:overflowPunct/>
        <w:topLinePunct w:val="0"/>
        <w:autoSpaceDE/>
        <w:autoSpaceDN/>
        <w:bidi w:val="0"/>
        <w:spacing w:line="360" w:lineRule="exact"/>
        <w:ind w:firstLine="720" w:firstLineChars="300"/>
        <w:rPr>
          <w:rFonts w:ascii="黑体" w:hAnsi="黑体" w:eastAsia="黑体" w:cs="黑体"/>
          <w:bCs/>
          <w:sz w:val="24"/>
          <w:szCs w:val="24"/>
        </w:rPr>
      </w:pPr>
    </w:p>
    <w:p>
      <w:pPr>
        <w:pageBreakBefore w:val="0"/>
        <w:widowControl/>
        <w:kinsoku/>
        <w:wordWrap/>
        <w:overflowPunct/>
        <w:topLinePunct w:val="0"/>
        <w:autoSpaceDE/>
        <w:autoSpaceDN/>
        <w:bidi w:val="0"/>
        <w:spacing w:line="360" w:lineRule="exact"/>
        <w:ind w:firstLine="720" w:firstLineChars="300"/>
        <w:rPr>
          <w:rFonts w:ascii="黑体" w:hAnsi="黑体" w:eastAsia="黑体" w:cs="黑体"/>
          <w:bCs/>
          <w:sz w:val="24"/>
          <w:szCs w:val="24"/>
        </w:rPr>
      </w:pPr>
      <w:r>
        <w:rPr>
          <w:rFonts w:hint="eastAsia" w:ascii="黑体" w:hAnsi="黑体" w:eastAsia="黑体" w:cs="黑体"/>
          <w:bCs/>
          <w:sz w:val="24"/>
          <w:szCs w:val="24"/>
        </w:rPr>
        <w:t>报告复核人：腊晓林</w:t>
      </w:r>
    </w:p>
    <w:p>
      <w:pPr>
        <w:pageBreakBefore w:val="0"/>
        <w:widowControl/>
        <w:kinsoku/>
        <w:wordWrap/>
        <w:overflowPunct/>
        <w:topLinePunct w:val="0"/>
        <w:autoSpaceDE/>
        <w:autoSpaceDN/>
        <w:bidi w:val="0"/>
        <w:spacing w:line="360" w:lineRule="exact"/>
        <w:ind w:firstLine="720" w:firstLineChars="300"/>
        <w:rPr>
          <w:rFonts w:ascii="黑体" w:hAnsi="黑体" w:eastAsia="黑体" w:cs="黑体"/>
          <w:bCs/>
          <w:sz w:val="24"/>
          <w:szCs w:val="24"/>
        </w:rPr>
      </w:pPr>
    </w:p>
    <w:p>
      <w:pPr>
        <w:pageBreakBefore w:val="0"/>
        <w:widowControl/>
        <w:kinsoku/>
        <w:wordWrap/>
        <w:overflowPunct/>
        <w:topLinePunct w:val="0"/>
        <w:autoSpaceDE/>
        <w:autoSpaceDN/>
        <w:bidi w:val="0"/>
        <w:spacing w:line="360" w:lineRule="exact"/>
        <w:ind w:firstLine="720" w:firstLineChars="300"/>
        <w:rPr>
          <w:rFonts w:ascii="黑体" w:hAnsi="黑体" w:eastAsia="黑体" w:cs="黑体"/>
          <w:bCs/>
          <w:sz w:val="24"/>
          <w:szCs w:val="24"/>
        </w:rPr>
      </w:pPr>
      <w:r>
        <w:rPr>
          <w:rFonts w:hint="eastAsia" w:ascii="黑体" w:hAnsi="黑体" w:eastAsia="黑体" w:cs="黑体"/>
          <w:bCs/>
          <w:sz w:val="24"/>
          <w:szCs w:val="24"/>
        </w:rPr>
        <w:t>项目负责人：赵夏清</w:t>
      </w:r>
    </w:p>
    <w:p>
      <w:pPr>
        <w:pageBreakBefore w:val="0"/>
        <w:widowControl/>
        <w:kinsoku/>
        <w:wordWrap/>
        <w:overflowPunct/>
        <w:topLinePunct w:val="0"/>
        <w:autoSpaceDE/>
        <w:autoSpaceDN/>
        <w:bidi w:val="0"/>
        <w:spacing w:line="360" w:lineRule="exact"/>
        <w:ind w:firstLine="720" w:firstLineChars="300"/>
        <w:rPr>
          <w:rFonts w:ascii="黑体" w:hAnsi="黑体" w:eastAsia="黑体" w:cs="黑体"/>
          <w:bCs/>
          <w:sz w:val="24"/>
          <w:szCs w:val="24"/>
        </w:rPr>
      </w:pPr>
    </w:p>
    <w:p>
      <w:pPr>
        <w:pageBreakBefore w:val="0"/>
        <w:widowControl/>
        <w:kinsoku/>
        <w:wordWrap/>
        <w:overflowPunct/>
        <w:topLinePunct w:val="0"/>
        <w:autoSpaceDE/>
        <w:autoSpaceDN/>
        <w:bidi w:val="0"/>
        <w:spacing w:line="360" w:lineRule="exact"/>
        <w:ind w:firstLine="720" w:firstLineChars="300"/>
        <w:rPr>
          <w:rFonts w:ascii="黑体" w:hAnsi="黑体" w:eastAsia="黑体" w:cs="黑体"/>
          <w:bCs/>
          <w:sz w:val="24"/>
          <w:szCs w:val="24"/>
        </w:rPr>
      </w:pPr>
      <w:r>
        <w:rPr>
          <w:rFonts w:hint="eastAsia" w:ascii="黑体" w:hAnsi="黑体" w:eastAsia="黑体" w:cs="黑体"/>
          <w:bCs/>
          <w:sz w:val="24"/>
          <w:szCs w:val="24"/>
        </w:rPr>
        <w:t>项目组成员：郭璐璐</w:t>
      </w:r>
    </w:p>
    <w:p>
      <w:pPr>
        <w:keepNext/>
        <w:keepLines/>
        <w:pageBreakBefore w:val="0"/>
        <w:kinsoku/>
        <w:wordWrap/>
        <w:overflowPunct/>
        <w:topLinePunct w:val="0"/>
        <w:autoSpaceDE/>
        <w:autoSpaceDN/>
        <w:bidi w:val="0"/>
        <w:adjustRightInd/>
        <w:spacing w:line="360" w:lineRule="exact"/>
        <w:ind w:firstLine="0" w:firstLineChars="0"/>
        <w:rPr>
          <w:rFonts w:eastAsia="黑体"/>
          <w:bCs/>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fmt="upperRoman" w:start="1"/>
          <w:cols w:space="720" w:num="1"/>
          <w:docGrid w:type="lines" w:linePitch="312" w:charSpace="0"/>
        </w:sectPr>
      </w:pPr>
    </w:p>
    <w:p>
      <w:pPr>
        <w:pStyle w:val="5"/>
        <w:pageBreakBefore w:val="0"/>
        <w:kinsoku/>
        <w:wordWrap/>
        <w:overflowPunct/>
        <w:topLinePunct w:val="0"/>
        <w:autoSpaceDE/>
        <w:autoSpaceDN/>
        <w:bidi w:val="0"/>
        <w:spacing w:line="360" w:lineRule="exact"/>
        <w:ind w:firstLine="0" w:firstLineChars="0"/>
        <w:jc w:val="center"/>
      </w:pPr>
      <w:bookmarkStart w:id="0" w:name="_Toc19563"/>
      <w:bookmarkStart w:id="1" w:name="_Toc9680"/>
      <w:bookmarkStart w:id="2" w:name="_Toc27606"/>
      <w:bookmarkStart w:id="3" w:name="_Toc13486"/>
      <w:bookmarkStart w:id="4" w:name="_Toc3626"/>
      <w:bookmarkStart w:id="5" w:name="_Toc10292"/>
      <w:bookmarkStart w:id="6" w:name="_Toc26712"/>
      <w:bookmarkStart w:id="7" w:name="_Toc7544"/>
      <w:bookmarkStart w:id="8" w:name="_Toc16666"/>
      <w:bookmarkStart w:id="9" w:name="_Toc15008"/>
      <w:bookmarkStart w:id="10" w:name="_Toc13788"/>
      <w:bookmarkStart w:id="11" w:name="_Toc28799"/>
      <w:bookmarkStart w:id="12" w:name="_Toc17859"/>
      <w:bookmarkStart w:id="13" w:name="_Toc5154"/>
      <w:r>
        <w:rPr>
          <w:szCs w:val="32"/>
        </w:rPr>
        <w:t>报告摘要</w:t>
      </w:r>
      <w:bookmarkEnd w:id="0"/>
      <w:bookmarkEnd w:id="1"/>
      <w:bookmarkEnd w:id="2"/>
      <w:bookmarkEnd w:id="3"/>
      <w:bookmarkEnd w:id="4"/>
      <w:bookmarkEnd w:id="5"/>
      <w:bookmarkEnd w:id="6"/>
      <w:bookmarkEnd w:id="7"/>
      <w:bookmarkEnd w:id="8"/>
      <w:bookmarkEnd w:id="9"/>
      <w:bookmarkEnd w:id="10"/>
      <w:bookmarkEnd w:id="11"/>
      <w:bookmarkEnd w:id="12"/>
      <w:bookmarkEnd w:id="13"/>
    </w:p>
    <w:p>
      <w:pPr>
        <w:pageBreakBefore w:val="0"/>
        <w:kinsoku/>
        <w:wordWrap/>
        <w:overflowPunct/>
        <w:topLinePunct w:val="0"/>
        <w:autoSpaceDE/>
        <w:autoSpaceDN/>
        <w:bidi w:val="0"/>
        <w:spacing w:line="360" w:lineRule="exact"/>
        <w:ind w:firstLine="420"/>
        <w:rPr>
          <w:rFonts w:hint="eastAsia" w:eastAsiaTheme="minorEastAsia"/>
          <w:lang w:eastAsia="zh-CN"/>
        </w:rPr>
      </w:pPr>
      <w:r>
        <w:t>受巴楚县财政局委托，新疆驰远天合有限责任会计师事务所以第三方社会评价机构的身份，对巴楚县住房和城乡建设局实施的2023年度城区环卫市场化项目开展了绩效评价工作并形成绩效评价报告，评价情况如下</w:t>
      </w:r>
      <w:r>
        <w:rPr>
          <w:rFonts w:hint="eastAsia"/>
          <w:lang w:eastAsia="zh-CN"/>
        </w:rPr>
        <w:t>。</w:t>
      </w:r>
    </w:p>
    <w:p>
      <w:pPr>
        <w:pageBreakBefore w:val="0"/>
        <w:kinsoku/>
        <w:wordWrap/>
        <w:overflowPunct/>
        <w:topLinePunct w:val="0"/>
        <w:autoSpaceDE/>
        <w:autoSpaceDN/>
        <w:bidi w:val="0"/>
        <w:spacing w:line="360" w:lineRule="exact"/>
        <w:ind w:firstLine="482"/>
        <w:rPr>
          <w:b/>
          <w:bCs/>
          <w:sz w:val="24"/>
          <w:szCs w:val="28"/>
        </w:rPr>
      </w:pPr>
      <w:r>
        <w:rPr>
          <w:b/>
          <w:bCs/>
          <w:sz w:val="24"/>
          <w:szCs w:val="28"/>
        </w:rPr>
        <w:t>一、基本情况</w:t>
      </w:r>
    </w:p>
    <w:p>
      <w:pPr>
        <w:pageBreakBefore w:val="0"/>
        <w:kinsoku/>
        <w:wordWrap/>
        <w:overflowPunct/>
        <w:topLinePunct w:val="0"/>
        <w:autoSpaceDE/>
        <w:autoSpaceDN/>
        <w:bidi w:val="0"/>
        <w:spacing w:line="360" w:lineRule="exact"/>
        <w:ind w:firstLine="482"/>
        <w:rPr>
          <w:b/>
          <w:bCs/>
          <w:sz w:val="24"/>
          <w:szCs w:val="24"/>
        </w:rPr>
      </w:pPr>
      <w:r>
        <w:rPr>
          <w:rFonts w:hint="eastAsia"/>
          <w:b/>
          <w:bCs/>
          <w:sz w:val="24"/>
          <w:szCs w:val="24"/>
        </w:rPr>
        <w:t>（一）</w:t>
      </w:r>
      <w:r>
        <w:rPr>
          <w:b/>
          <w:bCs/>
          <w:sz w:val="24"/>
          <w:szCs w:val="24"/>
        </w:rPr>
        <w:t>项目背景</w:t>
      </w:r>
    </w:p>
    <w:p>
      <w:pPr>
        <w:pStyle w:val="6"/>
        <w:pageBreakBefore w:val="0"/>
        <w:kinsoku/>
        <w:wordWrap/>
        <w:overflowPunct/>
        <w:topLinePunct w:val="0"/>
        <w:autoSpaceDE/>
        <w:autoSpaceDN/>
        <w:bidi w:val="0"/>
        <w:spacing w:line="360" w:lineRule="exact"/>
        <w:ind w:firstLine="422"/>
        <w:rPr>
          <w:rFonts w:ascii="Times New Roman" w:hAnsi="Times New Roman" w:cs="Times New Roman" w:eastAsiaTheme="minorEastAsia"/>
          <w:b/>
          <w:bCs/>
          <w:kern w:val="2"/>
          <w:sz w:val="24"/>
          <w:szCs w:val="24"/>
          <w:lang w:val="en-US" w:eastAsia="zh-CN" w:bidi="ar-SA"/>
        </w:rPr>
      </w:pPr>
      <w:bookmarkStart w:id="14" w:name="_Toc30041"/>
      <w:bookmarkStart w:id="15" w:name="_Toc11097"/>
      <w:bookmarkStart w:id="16" w:name="_Toc30672"/>
      <w:bookmarkStart w:id="17" w:name="_Toc20985"/>
      <w:bookmarkStart w:id="18" w:name="_Toc5403"/>
      <w:bookmarkStart w:id="19" w:name="_Toc27490"/>
      <w:bookmarkStart w:id="20" w:name="_Toc2935"/>
      <w:r>
        <w:rPr>
          <w:rFonts w:hint="eastAsia" w:ascii="Times New Roman" w:hAnsi="Times New Roman" w:cs="Times New Roman" w:eastAsiaTheme="minorEastAsia"/>
          <w:b/>
          <w:bCs/>
          <w:kern w:val="2"/>
          <w:sz w:val="24"/>
          <w:szCs w:val="24"/>
          <w:lang w:val="en-US" w:eastAsia="zh-CN" w:bidi="ar-SA"/>
        </w:rPr>
        <w:t>（一）</w:t>
      </w:r>
      <w:r>
        <w:rPr>
          <w:rFonts w:ascii="Times New Roman" w:hAnsi="Times New Roman" w:cs="Times New Roman" w:eastAsiaTheme="minorEastAsia"/>
          <w:b/>
          <w:bCs/>
          <w:kern w:val="2"/>
          <w:sz w:val="24"/>
          <w:szCs w:val="24"/>
          <w:lang w:val="en-US" w:eastAsia="zh-CN" w:bidi="ar-SA"/>
        </w:rPr>
        <w:t>项目背景及</w:t>
      </w:r>
      <w:r>
        <w:rPr>
          <w:rFonts w:hint="eastAsia" w:ascii="Times New Roman" w:hAnsi="Times New Roman" w:cs="Times New Roman" w:eastAsiaTheme="minorEastAsia"/>
          <w:b/>
          <w:bCs/>
          <w:kern w:val="2"/>
          <w:sz w:val="24"/>
          <w:szCs w:val="24"/>
          <w:lang w:val="en-US" w:eastAsia="zh-CN" w:bidi="ar-SA"/>
        </w:rPr>
        <w:t>立项</w:t>
      </w:r>
      <w:bookmarkEnd w:id="14"/>
      <w:bookmarkEnd w:id="15"/>
      <w:bookmarkEnd w:id="16"/>
      <w:bookmarkEnd w:id="17"/>
      <w:bookmarkEnd w:id="18"/>
      <w:bookmarkEnd w:id="19"/>
      <w:bookmarkEnd w:id="20"/>
    </w:p>
    <w:p>
      <w:pPr>
        <w:pageBreakBefore w:val="0"/>
        <w:kinsoku/>
        <w:wordWrap/>
        <w:overflowPunct/>
        <w:topLinePunct w:val="0"/>
        <w:autoSpaceDE/>
        <w:autoSpaceDN/>
        <w:bidi w:val="0"/>
        <w:spacing w:line="360" w:lineRule="exact"/>
        <w:ind w:firstLine="420"/>
      </w:pPr>
      <w:r>
        <w:rPr>
          <w:rFonts w:hint="eastAsia"/>
        </w:rPr>
        <w:t>为进一步抓好巴楚县城市环境卫生，改善城市居民环境质量，推动巴楚县环卫管理事业向“作业专业化、经营企业化、服务社会化、管理规范化”的发展，巴楚县住房和城乡建设局于2021年采用政府购买服务方式公开招标引进环卫公司石河子市瑞祥居物业服务有限公司，签订《巴楚县城区环卫市场化购买服务项目合同》，中标合同金额为778.72万元/年，服务期限为3+3年，自2021年4月22</w:t>
      </w:r>
      <w:r>
        <w:rPr>
          <w:rFonts w:hint="eastAsia"/>
          <w:lang w:eastAsia="zh-CN"/>
        </w:rPr>
        <w:t>日</w:t>
      </w:r>
      <w:r>
        <w:rPr>
          <w:rFonts w:hint="eastAsia"/>
        </w:rPr>
        <w:t>-2024年4月21日止（三年期满后考核合格，双方可续约3年，最多续约2次）。</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（二）项目概况</w:t>
      </w:r>
    </w:p>
    <w:p>
      <w:pPr>
        <w:pageBreakBefore w:val="0"/>
        <w:kinsoku/>
        <w:wordWrap/>
        <w:overflowPunct/>
        <w:topLinePunct w:val="0"/>
        <w:autoSpaceDE/>
        <w:autoSpaceDN/>
        <w:bidi w:val="0"/>
        <w:spacing w:line="360" w:lineRule="exact"/>
        <w:ind w:firstLine="420"/>
      </w:pPr>
      <w:r>
        <w:t>项目名称：</w:t>
      </w:r>
      <w:r>
        <w:rPr>
          <w:rFonts w:hint="eastAsia"/>
        </w:rPr>
        <w:t>巴楚县住房和城乡建设局</w:t>
      </w:r>
      <w:r>
        <w:t>2023年度城区环卫市场化项目（以下简称“该项目”或“项目”）</w:t>
      </w:r>
    </w:p>
    <w:p>
      <w:pPr>
        <w:pageBreakBefore w:val="0"/>
        <w:kinsoku/>
        <w:wordWrap/>
        <w:overflowPunct/>
        <w:topLinePunct w:val="0"/>
        <w:autoSpaceDE/>
        <w:autoSpaceDN/>
        <w:bidi w:val="0"/>
        <w:spacing w:line="360" w:lineRule="exact"/>
        <w:ind w:firstLine="420"/>
      </w:pPr>
      <w:r>
        <w:rPr>
          <w:rFonts w:hint="eastAsia"/>
          <w:lang w:val="en-US" w:eastAsia="zh-CN"/>
        </w:rPr>
        <w:t>项目预算单位：</w:t>
      </w:r>
      <w:r>
        <w:rPr>
          <w:rFonts w:hint="eastAsia"/>
        </w:rPr>
        <w:t>巴楚县住房和城乡建设局</w:t>
      </w:r>
    </w:p>
    <w:p>
      <w:pPr>
        <w:pageBreakBefore w:val="0"/>
        <w:kinsoku/>
        <w:wordWrap/>
        <w:overflowPunct/>
        <w:topLinePunct w:val="0"/>
        <w:autoSpaceDE/>
        <w:autoSpaceDN/>
        <w:bidi w:val="0"/>
        <w:spacing w:line="360" w:lineRule="exact"/>
        <w:ind w:firstLine="420"/>
      </w:pPr>
      <w:r>
        <w:t>项目实施单位：</w:t>
      </w:r>
      <w:r>
        <w:rPr>
          <w:rFonts w:hint="eastAsia"/>
        </w:rPr>
        <w:t>巴楚县住房和城乡建设局</w:t>
      </w:r>
    </w:p>
    <w:p>
      <w:pPr>
        <w:pageBreakBefore w:val="0"/>
        <w:kinsoku/>
        <w:wordWrap/>
        <w:overflowPunct/>
        <w:topLinePunct w:val="0"/>
        <w:autoSpaceDE/>
        <w:autoSpaceDN/>
        <w:bidi w:val="0"/>
        <w:spacing w:line="360" w:lineRule="exact"/>
        <w:ind w:firstLine="420"/>
      </w:pPr>
      <w:r>
        <w:rPr>
          <w:rFonts w:hint="eastAsia"/>
        </w:rPr>
        <w:t>市场化服务单位：石河子市瑞祥居物业服务有限公司</w:t>
      </w:r>
    </w:p>
    <w:p>
      <w:pPr>
        <w:pageBreakBefore w:val="0"/>
        <w:kinsoku/>
        <w:wordWrap/>
        <w:overflowPunct/>
        <w:topLinePunct w:val="0"/>
        <w:autoSpaceDE/>
        <w:autoSpaceDN/>
        <w:bidi w:val="0"/>
        <w:spacing w:line="360" w:lineRule="exact"/>
        <w:ind w:firstLine="420"/>
        <w:rPr>
          <w:lang w:eastAsia="zh-Hans"/>
        </w:rPr>
      </w:pPr>
      <w:r>
        <w:rPr>
          <w:rFonts w:hint="eastAsia"/>
        </w:rPr>
        <w:t>服务范围</w:t>
      </w:r>
      <w:r>
        <w:rPr>
          <w:lang w:eastAsia="zh-Hans"/>
        </w:rPr>
        <w:t>：</w:t>
      </w:r>
    </w:p>
    <w:p>
      <w:pPr>
        <w:pageBreakBefore w:val="0"/>
        <w:kinsoku/>
        <w:wordWrap/>
        <w:overflowPunct/>
        <w:topLinePunct w:val="0"/>
        <w:autoSpaceDE/>
        <w:autoSpaceDN/>
        <w:bidi w:val="0"/>
        <w:spacing w:line="360" w:lineRule="exact"/>
        <w:ind w:firstLine="420"/>
      </w:pPr>
      <w:r>
        <w:rPr>
          <w:rFonts w:hint="eastAsia"/>
        </w:rPr>
        <w:t>①城区道路保洁：城区内23条道路及工业园区道路和5个广场274</w:t>
      </w:r>
      <w:r>
        <w:rPr>
          <w:rFonts w:hint="eastAsia"/>
          <w:lang w:eastAsia="zh-CN"/>
        </w:rPr>
        <w:t>.1</w:t>
      </w:r>
      <w:r>
        <w:rPr>
          <w:rFonts w:hint="eastAsia"/>
        </w:rPr>
        <w:t>万平方米，保洁内容主要是城区道路和公共广场、公园、绿化带、人行道等公共区域内的清扫保洁、洒水降尘、护栏清洗、果皮箱内垃圾收集、清洁工作（不包含城乡结合部的背街小巷）。</w:t>
      </w:r>
    </w:p>
    <w:p>
      <w:pPr>
        <w:pageBreakBefore w:val="0"/>
        <w:kinsoku/>
        <w:wordWrap/>
        <w:overflowPunct/>
        <w:topLinePunct w:val="0"/>
        <w:autoSpaceDE/>
        <w:autoSpaceDN/>
        <w:bidi w:val="0"/>
        <w:spacing w:line="360" w:lineRule="exact"/>
        <w:ind w:firstLine="420"/>
      </w:pPr>
      <w:r>
        <w:rPr>
          <w:rFonts w:hint="eastAsia"/>
        </w:rPr>
        <w:t>②城区垃圾清运日常管理：清运覆盖县城区道路、公共区域、广场公园、绿化带等保洁产生的所有垃圾进行收集清运（不包括住宅小区内的垃圾清运），收集的垃圾清运到中转站及填埋场。</w:t>
      </w:r>
    </w:p>
    <w:p>
      <w:pPr>
        <w:pageBreakBefore w:val="0"/>
        <w:kinsoku/>
        <w:wordWrap/>
        <w:overflowPunct/>
        <w:topLinePunct w:val="0"/>
        <w:autoSpaceDE/>
        <w:autoSpaceDN/>
        <w:bidi w:val="0"/>
        <w:spacing w:line="360" w:lineRule="exact"/>
        <w:ind w:firstLine="420"/>
        <w:rPr>
          <w:rFonts w:hint="eastAsia"/>
        </w:rPr>
      </w:pPr>
      <w:r>
        <w:rPr>
          <w:rFonts w:hint="eastAsia" w:eastAsia="宋体"/>
        </w:rPr>
        <w:t>绩效评价</w:t>
      </w:r>
      <w:r>
        <w:rPr>
          <w:rFonts w:eastAsia="宋体"/>
        </w:rPr>
        <w:t>项目</w:t>
      </w:r>
      <w:r>
        <w:rPr>
          <w:rFonts w:hint="eastAsia" w:eastAsia="宋体"/>
        </w:rPr>
        <w:t>服务</w:t>
      </w:r>
      <w:r>
        <w:rPr>
          <w:rFonts w:eastAsia="宋体"/>
        </w:rPr>
        <w:t>时间：12个月，2023年1月-2023年12月</w:t>
      </w:r>
    </w:p>
    <w:p>
      <w:pPr>
        <w:pageBreakBefore w:val="0"/>
        <w:kinsoku/>
        <w:wordWrap/>
        <w:overflowPunct/>
        <w:topLinePunct w:val="0"/>
        <w:autoSpaceDE/>
        <w:autoSpaceDN/>
        <w:bidi w:val="0"/>
        <w:spacing w:line="360" w:lineRule="exact"/>
        <w:ind w:firstLine="420"/>
        <w:rPr>
          <w:rFonts w:hint="default" w:eastAsiaTheme="minorEastAsia"/>
          <w:lang w:val="en-US" w:eastAsia="zh-CN"/>
        </w:rPr>
      </w:pPr>
      <w:r>
        <w:rPr>
          <w:rFonts w:hint="eastAsia"/>
          <w:lang w:val="en-US" w:eastAsia="zh-CN"/>
        </w:rPr>
        <w:t>项目评价时间：2024年7月</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（三）预算资金及使用情况</w:t>
      </w:r>
    </w:p>
    <w:p>
      <w:pPr>
        <w:pageBreakBefore w:val="0"/>
        <w:kinsoku/>
        <w:wordWrap/>
        <w:overflowPunct/>
        <w:topLinePunct w:val="0"/>
        <w:autoSpaceDE/>
        <w:autoSpaceDN/>
        <w:bidi w:val="0"/>
        <w:spacing w:line="360" w:lineRule="exact"/>
        <w:ind w:firstLine="420"/>
      </w:pPr>
      <w:r>
        <w:t>项目</w:t>
      </w:r>
      <w:r>
        <w:rPr>
          <w:rFonts w:hint="eastAsia"/>
        </w:rPr>
        <w:t>2023年度服务费用预算</w:t>
      </w:r>
      <w:r>
        <w:t>为</w:t>
      </w:r>
      <w:r>
        <w:rPr>
          <w:rFonts w:eastAsia="宋体"/>
          <w:kern w:val="0"/>
          <w:lang w:bidi="ar"/>
        </w:rPr>
        <w:t>778.72</w:t>
      </w:r>
      <w:r>
        <w:t>万元</w:t>
      </w:r>
      <w:r>
        <w:rPr>
          <w:rFonts w:hint="eastAsia"/>
        </w:rPr>
        <w:t>，资金来源为县级财政资金</w:t>
      </w:r>
      <w:r>
        <w:t>。</w:t>
      </w:r>
      <w:r>
        <w:rPr>
          <w:rFonts w:hint="eastAsia"/>
        </w:rPr>
        <w:t>项目2023年度</w:t>
      </w:r>
      <w:r>
        <w:t>实际到位资金</w:t>
      </w:r>
      <w:r>
        <w:rPr>
          <w:rFonts w:eastAsia="宋体"/>
          <w:kern w:val="0"/>
          <w:lang w:bidi="ar"/>
        </w:rPr>
        <w:t>778.72</w:t>
      </w:r>
      <w:r>
        <w:t>万元，资金到位率为100%</w:t>
      </w:r>
      <w:r>
        <w:rPr>
          <w:rFonts w:hint="eastAsia"/>
        </w:rPr>
        <w:t>；</w:t>
      </w:r>
      <w:r>
        <w:t>项目实际支出资金总额为</w:t>
      </w:r>
      <w:r>
        <w:rPr>
          <w:rFonts w:eastAsia="宋体"/>
          <w:kern w:val="0"/>
          <w:lang w:bidi="ar"/>
        </w:rPr>
        <w:t>778.72</w:t>
      </w:r>
      <w:r>
        <w:t>万元，预算资金执行率为</w:t>
      </w:r>
      <w:r>
        <w:rPr>
          <w:rFonts w:hint="eastAsia"/>
        </w:rPr>
        <w:t>100</w:t>
      </w:r>
      <w:r>
        <w:t>%。</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二、评价结论</w:t>
      </w:r>
    </w:p>
    <w:p>
      <w:pPr>
        <w:pageBreakBefore w:val="0"/>
        <w:kinsoku/>
        <w:wordWrap/>
        <w:overflowPunct/>
        <w:topLinePunct w:val="0"/>
        <w:autoSpaceDE/>
        <w:autoSpaceDN/>
        <w:bidi w:val="0"/>
        <w:spacing w:line="360" w:lineRule="exact"/>
        <w:ind w:firstLine="420"/>
        <w:rPr>
          <w:rFonts w:cs="宋体"/>
        </w:rPr>
      </w:pPr>
      <w:r>
        <w:rPr>
          <w:rFonts w:hint="eastAsia" w:cs="宋体"/>
        </w:rPr>
        <w:t>项目总体实施情况较好，环卫公司完成2023年度巴楚县道路、公园广场清扫保洁及公共设施维护管理，日产清运垃圾18.83吨，项目实施单位对环卫公司服务开展月度绩效考核均为优秀，并按考核结果向环卫公司完成支付2023年度服务费。但在实施过程中也存在一些不足：项目实施单位未开展联合考评工作，未严格履行合同月度付款约定，监督职责履行不到位。</w:t>
      </w:r>
    </w:p>
    <w:p>
      <w:pPr>
        <w:pageBreakBefore w:val="0"/>
        <w:kinsoku/>
        <w:wordWrap/>
        <w:overflowPunct/>
        <w:topLinePunct w:val="0"/>
        <w:autoSpaceDE/>
        <w:autoSpaceDN/>
        <w:bidi w:val="0"/>
        <w:spacing w:line="360" w:lineRule="exact"/>
        <w:ind w:firstLine="420"/>
        <w:rPr>
          <w:highlight w:val="yellow"/>
        </w:rPr>
      </w:pPr>
      <w:r>
        <w:rPr>
          <w:lang w:val="zh-TW" w:eastAsia="zh-TW"/>
        </w:rPr>
        <w:t>通过调研、数据分析、访谈等方式，根据工作方案确定的指标体系及评分标准，对“</w:t>
      </w:r>
      <w:r>
        <w:rPr>
          <w:rFonts w:hint="eastAsia"/>
          <w:lang w:val="zh-TW"/>
        </w:rPr>
        <w:t>巴楚县住房和城乡建设局</w:t>
      </w:r>
      <w:r>
        <w:rPr>
          <w:lang w:val="zh-TW" w:eastAsia="zh-TW"/>
        </w:rPr>
        <w:t>2023年度城区环卫市场化项目”绩效进行客观评价</w:t>
      </w:r>
      <w:r>
        <w:t>，项目最终得分为</w:t>
      </w:r>
      <w:r>
        <w:rPr>
          <w:rFonts w:hint="eastAsia"/>
        </w:rPr>
        <w:t>92</w:t>
      </w:r>
      <w:r>
        <w:rPr>
          <w:rFonts w:hint="eastAsia"/>
          <w:lang w:eastAsia="zh-CN"/>
        </w:rPr>
        <w:t>.8</w:t>
      </w:r>
      <w:r>
        <w:t>分，评价级别属于“优”。</w:t>
      </w:r>
    </w:p>
    <w:p>
      <w:pPr>
        <w:pageBreakBefore w:val="0"/>
        <w:kinsoku/>
        <w:wordWrap/>
        <w:overflowPunct/>
        <w:topLinePunct w:val="0"/>
        <w:autoSpaceDE/>
        <w:autoSpaceDN/>
        <w:bidi w:val="0"/>
        <w:spacing w:line="360" w:lineRule="exact"/>
        <w:ind w:firstLine="0" w:firstLineChars="0"/>
        <w:jc w:val="center"/>
        <w:rPr>
          <w:rFonts w:asciiTheme="minorEastAsia" w:hAnsiTheme="minorEastAsia" w:cstheme="minorEastAsia"/>
          <w:b/>
          <w:bCs/>
        </w:rPr>
      </w:pPr>
      <w:r>
        <w:rPr>
          <w:rFonts w:hint="eastAsia" w:asciiTheme="minorEastAsia" w:hAnsiTheme="minorEastAsia" w:cstheme="minorEastAsia"/>
          <w:b/>
          <w:bCs/>
          <w:lang w:val="zh-TW" w:eastAsia="zh-CN"/>
        </w:rPr>
        <w:t>巴楚县住房和城乡建设局</w:t>
      </w:r>
      <w:r>
        <w:rPr>
          <w:rFonts w:hint="eastAsia" w:asciiTheme="minorEastAsia" w:hAnsiTheme="minorEastAsia" w:cstheme="minorEastAsia"/>
          <w:b/>
          <w:bCs/>
          <w:lang w:val="zh-TW" w:eastAsia="zh-TW"/>
        </w:rPr>
        <w:t>2023年度城区环卫市场化项目</w:t>
      </w:r>
      <w:r>
        <w:rPr>
          <w:rFonts w:hint="eastAsia" w:asciiTheme="minorEastAsia" w:hAnsiTheme="minorEastAsia" w:cstheme="minorEastAsia"/>
          <w:b/>
          <w:bCs/>
          <w:lang w:val="zh-TW"/>
        </w:rPr>
        <w:t>得分表</w:t>
      </w:r>
    </w:p>
    <w:tbl>
      <w:tblPr>
        <w:tblStyle w:val="19"/>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4"/>
        <w:gridCol w:w="1614"/>
        <w:gridCol w:w="1614"/>
        <w:gridCol w:w="1614"/>
        <w:gridCol w:w="1614"/>
        <w:gridCol w:w="112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过程</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产出</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lang w:val="zh-TW" w:eastAsia="zh-TW"/>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效益</w:t>
            </w:r>
            <w:r>
              <w:rPr>
                <w:rFonts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25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9</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21</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32</w:t>
            </w:r>
            <w:r>
              <w:rPr>
                <w:rFonts w:hint="eastAsia" w:hAnsi="Times New Roman" w:eastAsia="宋体" w:cs="Times New Roman"/>
                <w:color w:val="auto"/>
                <w:sz w:val="21"/>
                <w:szCs w:val="21"/>
                <w:lang w:eastAsia="zh-CN"/>
              </w:rPr>
              <w:t>.8</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92</w:t>
            </w:r>
            <w:r>
              <w:rPr>
                <w:rFonts w:hint="eastAsia" w:hAnsi="Times New Roman" w:eastAsia="宋体" w:cs="Times New Roman"/>
                <w:color w:val="auto"/>
                <w:sz w:val="21"/>
                <w:szCs w:val="21"/>
                <w:lang w:eastAsia="zh-CN"/>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rPr>
            </w:pPr>
            <w:r>
              <w:rPr>
                <w:rFonts w:hint="eastAsia" w:hAnsi="Times New Roman" w:eastAsia="宋体" w:cs="Times New Roman"/>
                <w:color w:val="auto"/>
                <w:sz w:val="21"/>
                <w:szCs w:val="21"/>
              </w:rPr>
              <w:t>90%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rPr>
            </w:pPr>
            <w:r>
              <w:rPr>
                <w:rFonts w:hint="eastAsia" w:hAnsi="Times New Roman" w:eastAsia="宋体" w:cs="Times New Roman"/>
                <w:color w:val="auto"/>
                <w:sz w:val="21"/>
                <w:szCs w:val="21"/>
              </w:rPr>
              <w:t>84%</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rPr>
            </w:pPr>
            <w:r>
              <w:rPr>
                <w:rFonts w:hint="eastAsia" w:hAnsi="Times New Roman" w:eastAsia="宋体" w:cs="Times New Roman"/>
                <w:color w:val="auto"/>
                <w:sz w:val="21"/>
                <w:szCs w:val="21"/>
              </w:rPr>
              <w:t>93.71%</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rPr>
            </w:pPr>
            <w:r>
              <w:rPr>
                <w:rFonts w:hint="eastAsia" w:hAnsi="Times New Roman" w:eastAsia="宋体" w:cs="Times New Roman"/>
                <w:color w:val="auto"/>
                <w:sz w:val="21"/>
                <w:szCs w:val="21"/>
              </w:rPr>
              <w:t>100%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rPr>
            </w:pPr>
            <w:r>
              <w:rPr>
                <w:rFonts w:hint="eastAsia" w:hAnsi="Times New Roman" w:eastAsia="宋体" w:cs="Times New Roman"/>
                <w:color w:val="auto"/>
                <w:sz w:val="21"/>
                <w:szCs w:val="21"/>
              </w:rPr>
              <w:t>92</w:t>
            </w:r>
            <w:r>
              <w:rPr>
                <w:rFonts w:hint="eastAsia" w:hAnsi="Times New Roman" w:eastAsia="宋体" w:cs="Times New Roman"/>
                <w:color w:val="auto"/>
                <w:sz w:val="21"/>
                <w:szCs w:val="21"/>
                <w:lang w:eastAsia="zh-CN"/>
              </w:rPr>
              <w:t>.8</w:t>
            </w:r>
            <w:r>
              <w:rPr>
                <w:rFonts w:hint="eastAsia" w:hAnsi="Times New Roman" w:eastAsia="宋体" w:cs="Times New Roman"/>
                <w:color w:val="auto"/>
                <w:sz w:val="21"/>
                <w:szCs w:val="21"/>
              </w:rPr>
              <w:t>%</w:t>
            </w:r>
          </w:p>
        </w:tc>
      </w:tr>
    </w:tbl>
    <w:p>
      <w:pPr>
        <w:pageBreakBefore w:val="0"/>
        <w:kinsoku/>
        <w:wordWrap/>
        <w:overflowPunct/>
        <w:topLinePunct w:val="0"/>
        <w:autoSpaceDE/>
        <w:autoSpaceDN/>
        <w:bidi w:val="0"/>
        <w:spacing w:line="360" w:lineRule="exact"/>
        <w:ind w:firstLine="420"/>
      </w:pP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三、取得的业绩、存在的问题和改进的建议</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21" w:name="_Toc18032"/>
      <w:bookmarkStart w:id="22" w:name="_Toc26164"/>
      <w:bookmarkStart w:id="23" w:name="_Toc9848"/>
      <w:bookmarkStart w:id="24" w:name="_Toc6842"/>
      <w:bookmarkStart w:id="25" w:name="_Toc10999"/>
      <w:bookmarkStart w:id="26" w:name="_Toc5925"/>
      <w:bookmarkStart w:id="27" w:name="_Toc10760"/>
      <w:r>
        <w:rPr>
          <w:rFonts w:hint="eastAsia" w:ascii="Times New Roman" w:hAnsi="Times New Roman" w:cs="Times New Roman" w:eastAsiaTheme="minorEastAsia"/>
          <w:b/>
          <w:bCs/>
          <w:kern w:val="2"/>
          <w:sz w:val="24"/>
          <w:szCs w:val="24"/>
          <w:lang w:val="en-US" w:eastAsia="zh-CN" w:bidi="ar-SA"/>
        </w:rPr>
        <w:t>（一）主要经验及做法</w:t>
      </w:r>
      <w:bookmarkEnd w:id="21"/>
      <w:bookmarkEnd w:id="22"/>
      <w:bookmarkEnd w:id="23"/>
      <w:bookmarkEnd w:id="24"/>
      <w:bookmarkEnd w:id="25"/>
      <w:bookmarkEnd w:id="26"/>
    </w:p>
    <w:p>
      <w:pPr>
        <w:pageBreakBefore w:val="0"/>
        <w:kinsoku/>
        <w:wordWrap/>
        <w:overflowPunct/>
        <w:topLinePunct w:val="0"/>
        <w:autoSpaceDE/>
        <w:autoSpaceDN/>
        <w:bidi w:val="0"/>
        <w:spacing w:line="360" w:lineRule="exact"/>
        <w:ind w:firstLine="420"/>
      </w:pPr>
      <w:r>
        <w:t>项目实施单位管理制度健全</w:t>
      </w:r>
      <w:r>
        <w:rPr>
          <w:rFonts w:hint="eastAsia"/>
        </w:rPr>
        <w:t>，</w:t>
      </w:r>
      <w:r>
        <w:t>编制项目实施方案及计划</w:t>
      </w:r>
      <w:r>
        <w:rPr>
          <w:rFonts w:hint="eastAsia"/>
          <w:lang w:eastAsia="zh-CN"/>
        </w:rPr>
        <w:t>，</w:t>
      </w:r>
      <w:r>
        <w:rPr>
          <w:rFonts w:hint="eastAsia"/>
          <w:kern w:val="2"/>
          <w:lang w:val="en-US" w:eastAsia="zh-CN"/>
        </w:rPr>
        <w:t>成立项目</w:t>
      </w:r>
      <w:r>
        <w:rPr>
          <w:rFonts w:hint="default"/>
          <w:lang w:val="en-US" w:eastAsia="zh-CN"/>
        </w:rPr>
        <w:t>领导小组</w:t>
      </w:r>
      <w:r>
        <w:rPr>
          <w:rFonts w:hint="eastAsia"/>
        </w:rPr>
        <w:t>，为项目</w:t>
      </w:r>
      <w:r>
        <w:rPr>
          <w:rFonts w:hint="eastAsia"/>
          <w:lang w:val="en-US" w:eastAsia="zh-CN"/>
        </w:rPr>
        <w:t>实施</w:t>
      </w:r>
      <w:r>
        <w:rPr>
          <w:rFonts w:hint="eastAsia"/>
        </w:rPr>
        <w:t>提供制度和组织保障</w:t>
      </w:r>
      <w:r>
        <w:t>。</w:t>
      </w:r>
      <w:r>
        <w:rPr>
          <w:rFonts w:hint="default" w:ascii="Times New Roman" w:hAnsi="Times New Roman" w:eastAsiaTheme="minorEastAsia"/>
          <w:kern w:val="2"/>
          <w:lang w:val="en-US" w:eastAsia="zh-CN"/>
        </w:rPr>
        <w:t>项目</w:t>
      </w:r>
      <w:r>
        <w:rPr>
          <w:rFonts w:hint="default"/>
          <w:lang w:val="en-US" w:eastAsia="zh-CN"/>
        </w:rPr>
        <w:t>领导小组对项目实施进行全过程</w:t>
      </w:r>
      <w:r>
        <w:rPr>
          <w:rFonts w:hint="eastAsia"/>
        </w:rPr>
        <w:t>监督</w:t>
      </w:r>
      <w:r>
        <w:rPr>
          <w:rFonts w:hint="default"/>
          <w:lang w:val="en-US" w:eastAsia="zh-CN"/>
        </w:rPr>
        <w:t>监管、绩效考核，依据</w:t>
      </w:r>
      <w:r>
        <w:rPr>
          <w:rFonts w:hint="eastAsia"/>
        </w:rPr>
        <w:t>《巴楚县城区保洁作业标准及考核标准》和《巴楚县环境卫生作业质量标准》</w:t>
      </w:r>
      <w:r>
        <w:rPr>
          <w:rFonts w:hint="default"/>
          <w:lang w:val="en-US" w:eastAsia="zh-CN"/>
        </w:rPr>
        <w:t>，针对作业现场机械及人员落实情况、</w:t>
      </w:r>
      <w:r>
        <w:rPr>
          <w:rFonts w:hint="eastAsia"/>
          <w:lang w:val="en-US" w:eastAsia="zh-CN"/>
        </w:rPr>
        <w:t>统一着装、道路清扫、垃圾收集及清运等方面进行全面考核，有效指导项目实施，提升环卫作业质量。</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28" w:name="_Toc4985"/>
      <w:bookmarkStart w:id="29" w:name="_Toc29419"/>
      <w:r>
        <w:rPr>
          <w:rFonts w:hint="eastAsia" w:ascii="Times New Roman" w:hAnsi="Times New Roman" w:cs="Times New Roman" w:eastAsiaTheme="minorEastAsia"/>
          <w:b/>
          <w:bCs/>
          <w:kern w:val="2"/>
          <w:sz w:val="24"/>
          <w:szCs w:val="24"/>
          <w:lang w:val="en-US" w:eastAsia="zh-CN" w:bidi="ar-SA"/>
        </w:rPr>
        <w:t>（二）存在的问题</w:t>
      </w:r>
    </w:p>
    <w:p>
      <w:pPr>
        <w:pageBreakBefore w:val="0"/>
        <w:kinsoku/>
        <w:wordWrap/>
        <w:overflowPunct/>
        <w:topLinePunct w:val="0"/>
        <w:autoSpaceDE/>
        <w:autoSpaceDN/>
        <w:bidi w:val="0"/>
        <w:spacing w:line="360" w:lineRule="exact"/>
        <w:ind w:firstLine="420"/>
      </w:pPr>
      <w:r>
        <w:rPr>
          <w:rFonts w:hint="eastAsia"/>
        </w:rPr>
        <w:t>经评价分析，项目实施过程存在问题如下：</w:t>
      </w:r>
    </w:p>
    <w:p>
      <w:pPr>
        <w:pageBreakBefore w:val="0"/>
        <w:kinsoku/>
        <w:wordWrap/>
        <w:overflowPunct/>
        <w:topLinePunct w:val="0"/>
        <w:autoSpaceDE/>
        <w:autoSpaceDN/>
        <w:bidi w:val="0"/>
        <w:spacing w:line="360" w:lineRule="exact"/>
        <w:ind w:firstLine="420"/>
      </w:pPr>
      <w:r>
        <w:rPr>
          <w:rFonts w:hint="eastAsia"/>
        </w:rPr>
        <w:t>①未严格履行合同绩效考核约定，监督职责履行不到位。根据</w:t>
      </w:r>
      <w:r>
        <w:t>《巴楚县城区环卫市场化购买服务项目合同》</w:t>
      </w:r>
      <w:r>
        <w:rPr>
          <w:rFonts w:hint="eastAsia"/>
        </w:rPr>
        <w:t>《巴楚县住房和城乡建设局2023年度城区环卫市场化项目工作计划》等资料，项目实施单位应当联合卫生和健康委员会、市场监督管理局对乙方每月度实施考核，作为核拨经费的依据；经核查，项目月度考核工作均由项目实施单位组织人员完成，未开展联合考评工作，未严格履行合同约定考核机制，监督职责履行不到位</w:t>
      </w:r>
      <w:r>
        <w:t>。</w:t>
      </w:r>
    </w:p>
    <w:p>
      <w:pPr>
        <w:pageBreakBefore w:val="0"/>
        <w:kinsoku/>
        <w:wordWrap/>
        <w:overflowPunct/>
        <w:topLinePunct w:val="0"/>
        <w:autoSpaceDE/>
        <w:autoSpaceDN/>
        <w:bidi w:val="0"/>
        <w:spacing w:line="360" w:lineRule="exact"/>
        <w:ind w:firstLine="420"/>
      </w:pPr>
      <w:r>
        <w:rPr>
          <w:rFonts w:hint="eastAsia"/>
        </w:rPr>
        <w:t>②未严格履行合同支付条款，按月拨付合同服务费用。根据</w:t>
      </w:r>
      <w:r>
        <w:t>《巴楚县城区环卫市场化购买服务项目合同》</w:t>
      </w:r>
      <w:r>
        <w:rPr>
          <w:rFonts w:hint="eastAsia"/>
        </w:rPr>
        <w:t>及费用支付材料，项目实施单位实际为两月一次向环卫公司支付服务费用，未按合同约定按月拨付服务费用。</w:t>
      </w:r>
    </w:p>
    <w:p>
      <w:pPr>
        <w:pageBreakBefore w:val="0"/>
        <w:kinsoku/>
        <w:wordWrap/>
        <w:overflowPunct/>
        <w:topLinePunct w:val="0"/>
        <w:autoSpaceDE/>
        <w:autoSpaceDN/>
        <w:bidi w:val="0"/>
        <w:spacing w:line="360" w:lineRule="exact"/>
        <w:ind w:firstLine="420"/>
      </w:pPr>
      <w:r>
        <w:rPr>
          <w:rFonts w:hint="eastAsia"/>
        </w:rPr>
        <w:t>③服务范围发生变化，未签订补充协议。经实际调研了解，2023年巴楚县新增一座公园纳入环卫公司日常保洁及垃圾清运管理，经双方协商，2023年增加的公园清扫工作量不进行费用追加。但该事项未签订书面协议。</w:t>
      </w:r>
    </w:p>
    <w:bookmarkEnd w:id="28"/>
    <w:bookmarkEnd w:id="29"/>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30" w:name="_Toc15777"/>
      <w:bookmarkStart w:id="31" w:name="_Toc9016"/>
      <w:bookmarkStart w:id="32" w:name="_Toc14295"/>
      <w:bookmarkStart w:id="33" w:name="_Toc4106"/>
      <w:bookmarkStart w:id="34" w:name="_Toc167"/>
      <w:bookmarkStart w:id="35" w:name="_Toc4584"/>
      <w:r>
        <w:rPr>
          <w:rFonts w:hint="eastAsia" w:ascii="Times New Roman" w:hAnsi="Times New Roman" w:cs="Times New Roman" w:eastAsiaTheme="minorEastAsia"/>
          <w:b/>
          <w:bCs/>
          <w:kern w:val="2"/>
          <w:sz w:val="24"/>
          <w:szCs w:val="24"/>
          <w:lang w:val="en-US" w:eastAsia="zh-CN" w:bidi="ar-SA"/>
        </w:rPr>
        <w:t>（三）有关建议</w:t>
      </w:r>
      <w:bookmarkEnd w:id="30"/>
      <w:bookmarkEnd w:id="31"/>
      <w:bookmarkEnd w:id="32"/>
      <w:bookmarkEnd w:id="33"/>
      <w:bookmarkEnd w:id="34"/>
      <w:bookmarkEnd w:id="35"/>
    </w:p>
    <w:p>
      <w:pPr>
        <w:pageBreakBefore w:val="0"/>
        <w:kinsoku/>
        <w:wordWrap/>
        <w:overflowPunct/>
        <w:topLinePunct w:val="0"/>
        <w:autoSpaceDE/>
        <w:autoSpaceDN/>
        <w:bidi w:val="0"/>
        <w:spacing w:line="360" w:lineRule="exact"/>
        <w:ind w:firstLine="420"/>
      </w:pPr>
      <w:r>
        <w:rPr>
          <w:rFonts w:hint="eastAsia"/>
        </w:rPr>
        <w:t>建议项目实施单位：</w:t>
      </w:r>
    </w:p>
    <w:p>
      <w:pPr>
        <w:pageBreakBefore w:val="0"/>
        <w:kinsoku/>
        <w:wordWrap/>
        <w:overflowPunct/>
        <w:topLinePunct w:val="0"/>
        <w:autoSpaceDE/>
        <w:autoSpaceDN/>
        <w:bidi w:val="0"/>
        <w:spacing w:line="360" w:lineRule="exact"/>
        <w:ind w:firstLine="420"/>
      </w:pPr>
      <w:r>
        <w:rPr>
          <w:rFonts w:hint="eastAsia"/>
        </w:rPr>
        <w:t xml:space="preserve">一是加强合同履约管理。项目实施单位要加强绩效考核责任，强化监督检查，严格按照合同约定执行付款程序及频次，对于付款时间、考核时限等和实际不一致的约定应当进行研究协商，签订相关补充协议，确保实际执行和合同约定一致，降低违约风险。 </w:t>
      </w:r>
    </w:p>
    <w:p>
      <w:pPr>
        <w:pageBreakBefore w:val="0"/>
        <w:kinsoku/>
        <w:wordWrap/>
        <w:overflowPunct/>
        <w:topLinePunct w:val="0"/>
        <w:autoSpaceDE/>
        <w:autoSpaceDN/>
        <w:bidi w:val="0"/>
        <w:spacing w:line="360" w:lineRule="exact"/>
        <w:ind w:firstLine="420"/>
      </w:pPr>
      <w:r>
        <w:rPr>
          <w:rFonts w:hint="eastAsia"/>
        </w:rPr>
        <w:t>二是加强合同合规性管理。根据项目区域目前保洁工作量增加、日产清运垃圾量不及预期、环卫公司人员减少等现状，积极组织开展合同履约内容的评估评价，对环卫公司运营成本进行必要成本分析，对新增作业区域环卫工作保障程度开展必要的评估，对合同服务的范围及服务费用形成科学合理、依据充分的调整意见或结论，经报行业主管部门、财政部门审议确认，签署补充协议，按程序完成合同调整并留存过程资料。</w:t>
      </w:r>
    </w:p>
    <w:p>
      <w:pPr>
        <w:pageBreakBefore w:val="0"/>
        <w:widowControl/>
        <w:kinsoku/>
        <w:wordWrap/>
        <w:overflowPunct/>
        <w:topLinePunct w:val="0"/>
        <w:autoSpaceDE/>
        <w:autoSpaceDN/>
        <w:bidi w:val="0"/>
        <w:snapToGrid/>
        <w:spacing w:line="360" w:lineRule="exact"/>
        <w:ind w:firstLine="420"/>
      </w:pPr>
      <w:r>
        <w:rPr>
          <w:rFonts w:hint="eastAsia"/>
        </w:rPr>
        <w:t>三是建立和完善合同管理制度，加强合同台账管理、变更管理、履约检查环节以及合同履行中的信息汇报反馈等，强化合同履约过程控制，通过定期检查和抽查的方式，监督合同的履行情况，确保各方按合同约定进度全面履行，保障项目良性运行。</w:t>
      </w:r>
      <w:bookmarkEnd w:id="27"/>
    </w:p>
    <w:p>
      <w:pPr>
        <w:pStyle w:val="15"/>
        <w:pageBreakBefore w:val="0"/>
        <w:tabs>
          <w:tab w:val="right" w:leader="dot" w:pos="8879"/>
          <w:tab w:val="clear" w:pos="9356"/>
        </w:tabs>
        <w:kinsoku/>
        <w:wordWrap/>
        <w:overflowPunct/>
        <w:topLinePunct w:val="0"/>
        <w:autoSpaceDE/>
        <w:autoSpaceDN/>
        <w:bidi w:val="0"/>
        <w:spacing w:line="360" w:lineRule="exact"/>
        <w:rPr>
          <w:rFonts w:ascii="Times New Roman" w:hAnsi="Times New Roman" w:cs="Times New Roman"/>
          <w:color w:val="auto"/>
        </w:rPr>
        <w:sectPr>
          <w:headerReference r:id="rId9" w:type="default"/>
          <w:footerReference r:id="rId10" w:type="default"/>
          <w:pgSz w:w="11906" w:h="16838"/>
          <w:pgMar w:top="1440" w:right="1797" w:bottom="1440" w:left="1797" w:header="851" w:footer="992" w:gutter="0"/>
          <w:pgNumType w:fmt="upperRoman" w:start="1"/>
          <w:cols w:space="720" w:num="1"/>
          <w:docGrid w:type="lines" w:linePitch="312" w:charSpace="0"/>
        </w:sectPr>
      </w:pPr>
    </w:p>
    <w:sdt>
      <w:sdtPr>
        <w:rPr>
          <w:rFonts w:eastAsia="宋体"/>
          <w:szCs w:val="22"/>
        </w:rPr>
        <w:id w:val="147469479"/>
        <w:docPartObj>
          <w:docPartGallery w:val="Table of Contents"/>
          <w:docPartUnique/>
        </w:docPartObj>
      </w:sdtPr>
      <w:sdtEndPr>
        <w:rPr>
          <w:rFonts w:eastAsia="宋体"/>
          <w:b/>
          <w:szCs w:val="21"/>
        </w:rPr>
      </w:sdtEndPr>
      <w:sdtContent>
        <w:p>
          <w:pPr>
            <w:pStyle w:val="15"/>
            <w:pageBreakBefore w:val="0"/>
            <w:tabs>
              <w:tab w:val="right" w:leader="dot" w:pos="8306"/>
              <w:tab w:val="clear" w:pos="9356"/>
            </w:tabs>
            <w:kinsoku/>
            <w:wordWrap/>
            <w:overflowPunct/>
            <w:topLinePunct w:val="0"/>
            <w:autoSpaceDE/>
            <w:autoSpaceDN/>
            <w:bidi w:val="0"/>
            <w:spacing w:line="360" w:lineRule="exact"/>
            <w:ind w:firstLine="0" w:firstLineChars="0"/>
            <w:jc w:val="center"/>
            <w:rPr>
              <w:rFonts w:ascii="黑体" w:hAnsi="黑体" w:eastAsia="宋体" w:cs="仿宋_GB2312"/>
              <w:b/>
              <w:bCs/>
              <w:color w:val="000000"/>
              <w:kern w:val="0"/>
              <w:sz w:val="28"/>
              <w:szCs w:val="28"/>
              <w:lang w:val="en-US" w:eastAsia="zh-CN" w:bidi="ar-SA"/>
            </w:rPr>
          </w:pPr>
          <w:r>
            <w:rPr>
              <w:rFonts w:eastAsia="宋体"/>
              <w:b/>
              <w:bCs/>
              <w:sz w:val="32"/>
              <w:szCs w:val="36"/>
            </w:rPr>
            <w:t>目录</w:t>
          </w:r>
          <w:r>
            <w:rPr>
              <w:rFonts w:eastAsia="宋体"/>
            </w:rPr>
            <w:fldChar w:fldCharType="begin"/>
          </w:r>
          <w:r>
            <w:rPr>
              <w:rFonts w:eastAsia="宋体"/>
            </w:rPr>
            <w:instrText xml:space="preserve">TOC \o "1-2" \h \u </w:instrText>
          </w:r>
          <w:r>
            <w:rPr>
              <w:rFonts w:eastAsia="宋体"/>
            </w:rPr>
            <w:fldChar w:fldCharType="separate"/>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_Toc26400 </w:instrText>
          </w:r>
          <w:r>
            <w:rPr>
              <w:rFonts w:hint="eastAsia" w:ascii="宋体" w:hAnsi="宋体" w:eastAsia="宋体" w:cs="宋体"/>
              <w:sz w:val="22"/>
              <w:szCs w:val="22"/>
            </w:rPr>
            <w:fldChar w:fldCharType="separate"/>
          </w:r>
          <w:r>
            <w:rPr>
              <w:rFonts w:hint="eastAsia" w:ascii="宋体" w:hAnsi="宋体" w:eastAsia="宋体" w:cs="宋体"/>
              <w:sz w:val="22"/>
              <w:szCs w:val="22"/>
            </w:rPr>
            <w:t>一、项目基本情况</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_Toc26400 \h </w:instrText>
          </w:r>
          <w:r>
            <w:rPr>
              <w:rFonts w:hint="eastAsia" w:ascii="宋体" w:hAnsi="宋体" w:eastAsia="宋体" w:cs="宋体"/>
              <w:sz w:val="22"/>
              <w:szCs w:val="22"/>
            </w:rPr>
            <w:fldChar w:fldCharType="separate"/>
          </w:r>
          <w:r>
            <w:rPr>
              <w:rFonts w:hint="eastAsia" w:ascii="宋体" w:hAnsi="宋体" w:eastAsia="宋体" w:cs="宋体"/>
              <w:sz w:val="22"/>
              <w:szCs w:val="22"/>
            </w:rPr>
            <w:t>1</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_Toc3573 </w:instrText>
          </w:r>
          <w:r>
            <w:rPr>
              <w:rFonts w:hint="eastAsia" w:ascii="宋体" w:hAnsi="宋体" w:eastAsia="宋体" w:cs="宋体"/>
              <w:sz w:val="22"/>
              <w:szCs w:val="22"/>
            </w:rPr>
            <w:fldChar w:fldCharType="separate"/>
          </w:r>
          <w:r>
            <w:rPr>
              <w:rFonts w:hint="eastAsia" w:ascii="宋体" w:hAnsi="宋体" w:eastAsia="宋体" w:cs="宋体"/>
              <w:sz w:val="22"/>
              <w:szCs w:val="22"/>
            </w:rPr>
            <w:t>（一）项目背景及立项</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_Toc3573 \h </w:instrText>
          </w:r>
          <w:r>
            <w:rPr>
              <w:rFonts w:hint="eastAsia" w:ascii="宋体" w:hAnsi="宋体" w:eastAsia="宋体" w:cs="宋体"/>
              <w:sz w:val="22"/>
              <w:szCs w:val="22"/>
            </w:rPr>
            <w:fldChar w:fldCharType="separate"/>
          </w:r>
          <w:r>
            <w:rPr>
              <w:rFonts w:hint="eastAsia" w:ascii="宋体" w:hAnsi="宋体" w:eastAsia="宋体" w:cs="宋体"/>
              <w:sz w:val="22"/>
              <w:szCs w:val="22"/>
            </w:rPr>
            <w:t>1</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_Toc14717 </w:instrText>
          </w:r>
          <w:r>
            <w:rPr>
              <w:rFonts w:hint="eastAsia" w:ascii="宋体" w:hAnsi="宋体" w:eastAsia="宋体" w:cs="宋体"/>
              <w:sz w:val="22"/>
              <w:szCs w:val="22"/>
            </w:rPr>
            <w:fldChar w:fldCharType="separate"/>
          </w:r>
          <w:r>
            <w:rPr>
              <w:rFonts w:hint="eastAsia" w:ascii="宋体" w:hAnsi="宋体" w:eastAsia="宋体" w:cs="宋体"/>
              <w:sz w:val="22"/>
              <w:szCs w:val="22"/>
            </w:rPr>
            <w:t>（二）项目组织管理及实施情况</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_Toc14717 \h </w:instrText>
          </w:r>
          <w:r>
            <w:rPr>
              <w:rFonts w:hint="eastAsia" w:ascii="宋体" w:hAnsi="宋体" w:eastAsia="宋体" w:cs="宋体"/>
              <w:sz w:val="22"/>
              <w:szCs w:val="22"/>
            </w:rPr>
            <w:fldChar w:fldCharType="separate"/>
          </w:r>
          <w:r>
            <w:rPr>
              <w:rFonts w:hint="eastAsia" w:ascii="宋体" w:hAnsi="宋体" w:eastAsia="宋体" w:cs="宋体"/>
              <w:sz w:val="22"/>
              <w:szCs w:val="22"/>
            </w:rPr>
            <w:t>2</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_Toc18365 </w:instrText>
          </w:r>
          <w:r>
            <w:rPr>
              <w:rFonts w:hint="eastAsia" w:ascii="宋体" w:hAnsi="宋体" w:eastAsia="宋体" w:cs="宋体"/>
              <w:sz w:val="22"/>
              <w:szCs w:val="22"/>
            </w:rPr>
            <w:fldChar w:fldCharType="separate"/>
          </w:r>
          <w:r>
            <w:rPr>
              <w:rFonts w:hint="eastAsia" w:ascii="宋体" w:hAnsi="宋体" w:eastAsia="宋体" w:cs="宋体"/>
              <w:sz w:val="22"/>
              <w:szCs w:val="22"/>
            </w:rPr>
            <w:t>（三）资金投入和使用情况</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_Toc18365 \h </w:instrText>
          </w:r>
          <w:r>
            <w:rPr>
              <w:rFonts w:hint="eastAsia" w:ascii="宋体" w:hAnsi="宋体" w:eastAsia="宋体" w:cs="宋体"/>
              <w:sz w:val="22"/>
              <w:szCs w:val="22"/>
            </w:rPr>
            <w:fldChar w:fldCharType="separate"/>
          </w:r>
          <w:r>
            <w:rPr>
              <w:rFonts w:hint="eastAsia" w:ascii="宋体" w:hAnsi="宋体" w:eastAsia="宋体" w:cs="宋体"/>
              <w:sz w:val="22"/>
              <w:szCs w:val="22"/>
            </w:rPr>
            <w:t>3</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_Toc22432 </w:instrText>
          </w:r>
          <w:r>
            <w:rPr>
              <w:rFonts w:hint="eastAsia" w:ascii="宋体" w:hAnsi="宋体" w:eastAsia="宋体" w:cs="宋体"/>
              <w:sz w:val="22"/>
              <w:szCs w:val="22"/>
            </w:rPr>
            <w:fldChar w:fldCharType="separate"/>
          </w:r>
          <w:r>
            <w:rPr>
              <w:rFonts w:hint="eastAsia" w:ascii="宋体" w:hAnsi="宋体" w:eastAsia="宋体" w:cs="宋体"/>
              <w:sz w:val="22"/>
              <w:szCs w:val="22"/>
            </w:rPr>
            <w:t>二、项目绩效目标</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_Toc22432 \h </w:instrText>
          </w:r>
          <w:r>
            <w:rPr>
              <w:rFonts w:hint="eastAsia" w:ascii="宋体" w:hAnsi="宋体" w:eastAsia="宋体" w:cs="宋体"/>
              <w:sz w:val="22"/>
              <w:szCs w:val="22"/>
            </w:rPr>
            <w:fldChar w:fldCharType="separate"/>
          </w:r>
          <w:r>
            <w:rPr>
              <w:rFonts w:hint="eastAsia" w:ascii="宋体" w:hAnsi="宋体" w:eastAsia="宋体" w:cs="宋体"/>
              <w:sz w:val="22"/>
              <w:szCs w:val="22"/>
            </w:rPr>
            <w:t>4</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_Toc28798 </w:instrText>
          </w:r>
          <w:r>
            <w:rPr>
              <w:rFonts w:hint="eastAsia" w:ascii="宋体" w:hAnsi="宋体" w:eastAsia="宋体" w:cs="宋体"/>
              <w:sz w:val="22"/>
              <w:szCs w:val="22"/>
            </w:rPr>
            <w:fldChar w:fldCharType="separate"/>
          </w:r>
          <w:r>
            <w:rPr>
              <w:rFonts w:hint="eastAsia" w:ascii="宋体" w:hAnsi="宋体" w:eastAsia="宋体" w:cs="宋体"/>
              <w:sz w:val="22"/>
              <w:szCs w:val="22"/>
            </w:rPr>
            <w:t>三、绩效评价工作开展情况</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_Toc28798 \h </w:instrText>
          </w:r>
          <w:r>
            <w:rPr>
              <w:rFonts w:hint="eastAsia" w:ascii="宋体" w:hAnsi="宋体" w:eastAsia="宋体" w:cs="宋体"/>
              <w:sz w:val="22"/>
              <w:szCs w:val="22"/>
            </w:rPr>
            <w:fldChar w:fldCharType="separate"/>
          </w:r>
          <w:r>
            <w:rPr>
              <w:rFonts w:hint="eastAsia" w:ascii="宋体" w:hAnsi="宋体" w:eastAsia="宋体" w:cs="宋体"/>
              <w:sz w:val="22"/>
              <w:szCs w:val="22"/>
            </w:rPr>
            <w:t>5</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_Toc8963 </w:instrText>
          </w:r>
          <w:r>
            <w:rPr>
              <w:rFonts w:hint="eastAsia" w:ascii="宋体" w:hAnsi="宋体" w:eastAsia="宋体" w:cs="宋体"/>
              <w:sz w:val="22"/>
              <w:szCs w:val="22"/>
            </w:rPr>
            <w:fldChar w:fldCharType="separate"/>
          </w:r>
          <w:r>
            <w:rPr>
              <w:rFonts w:hint="eastAsia" w:ascii="宋体" w:hAnsi="宋体" w:eastAsia="宋体" w:cs="宋体"/>
              <w:sz w:val="22"/>
              <w:szCs w:val="22"/>
            </w:rPr>
            <w:t>（一）绩效评价依据</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_Toc8963 \h </w:instrText>
          </w:r>
          <w:r>
            <w:rPr>
              <w:rFonts w:hint="eastAsia" w:ascii="宋体" w:hAnsi="宋体" w:eastAsia="宋体" w:cs="宋体"/>
              <w:sz w:val="22"/>
              <w:szCs w:val="22"/>
            </w:rPr>
            <w:fldChar w:fldCharType="separate"/>
          </w:r>
          <w:r>
            <w:rPr>
              <w:rFonts w:hint="eastAsia" w:ascii="宋体" w:hAnsi="宋体" w:eastAsia="宋体" w:cs="宋体"/>
              <w:sz w:val="22"/>
              <w:szCs w:val="22"/>
            </w:rPr>
            <w:t>5</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_Toc20490 </w:instrText>
          </w:r>
          <w:r>
            <w:rPr>
              <w:rFonts w:hint="eastAsia" w:ascii="宋体" w:hAnsi="宋体" w:eastAsia="宋体" w:cs="宋体"/>
              <w:sz w:val="22"/>
              <w:szCs w:val="22"/>
            </w:rPr>
            <w:fldChar w:fldCharType="separate"/>
          </w:r>
          <w:r>
            <w:rPr>
              <w:rFonts w:hint="eastAsia" w:ascii="宋体" w:hAnsi="宋体" w:eastAsia="宋体" w:cs="宋体"/>
              <w:sz w:val="22"/>
              <w:szCs w:val="22"/>
            </w:rPr>
            <w:t>（二）绩效评价目的、对象和范围</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_Toc20490 \h </w:instrText>
          </w:r>
          <w:r>
            <w:rPr>
              <w:rFonts w:hint="eastAsia" w:ascii="宋体" w:hAnsi="宋体" w:eastAsia="宋体" w:cs="宋体"/>
              <w:sz w:val="22"/>
              <w:szCs w:val="22"/>
            </w:rPr>
            <w:fldChar w:fldCharType="separate"/>
          </w:r>
          <w:r>
            <w:rPr>
              <w:rFonts w:hint="eastAsia" w:ascii="宋体" w:hAnsi="宋体" w:eastAsia="宋体" w:cs="宋体"/>
              <w:sz w:val="22"/>
              <w:szCs w:val="22"/>
            </w:rPr>
            <w:t>6</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_Toc1892 </w:instrText>
          </w:r>
          <w:r>
            <w:rPr>
              <w:rFonts w:hint="eastAsia" w:ascii="宋体" w:hAnsi="宋体" w:eastAsia="宋体" w:cs="宋体"/>
              <w:sz w:val="22"/>
              <w:szCs w:val="22"/>
            </w:rPr>
            <w:fldChar w:fldCharType="separate"/>
          </w:r>
          <w:r>
            <w:rPr>
              <w:rFonts w:hint="eastAsia" w:ascii="宋体" w:hAnsi="宋体" w:eastAsia="宋体" w:cs="宋体"/>
              <w:sz w:val="22"/>
              <w:szCs w:val="22"/>
            </w:rPr>
            <w:t>（三）绩效评价原则</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_Toc1892 \h </w:instrText>
          </w:r>
          <w:r>
            <w:rPr>
              <w:rFonts w:hint="eastAsia" w:ascii="宋体" w:hAnsi="宋体" w:eastAsia="宋体" w:cs="宋体"/>
              <w:sz w:val="22"/>
              <w:szCs w:val="22"/>
            </w:rPr>
            <w:fldChar w:fldCharType="separate"/>
          </w:r>
          <w:r>
            <w:rPr>
              <w:rFonts w:hint="eastAsia" w:ascii="宋体" w:hAnsi="宋体" w:eastAsia="宋体" w:cs="宋体"/>
              <w:sz w:val="22"/>
              <w:szCs w:val="22"/>
            </w:rPr>
            <w:t>6</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_Toc16757 </w:instrText>
          </w:r>
          <w:r>
            <w:rPr>
              <w:rFonts w:hint="eastAsia" w:ascii="宋体" w:hAnsi="宋体" w:eastAsia="宋体" w:cs="宋体"/>
              <w:sz w:val="22"/>
              <w:szCs w:val="22"/>
            </w:rPr>
            <w:fldChar w:fldCharType="separate"/>
          </w:r>
          <w:r>
            <w:rPr>
              <w:rFonts w:hint="eastAsia" w:ascii="宋体" w:hAnsi="宋体" w:eastAsia="宋体" w:cs="宋体"/>
              <w:sz w:val="22"/>
              <w:szCs w:val="22"/>
            </w:rPr>
            <w:t>（四）绩效评价指标体系设计</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_Toc16757 \h </w:instrText>
          </w:r>
          <w:r>
            <w:rPr>
              <w:rFonts w:hint="eastAsia" w:ascii="宋体" w:hAnsi="宋体" w:eastAsia="宋体" w:cs="宋体"/>
              <w:sz w:val="22"/>
              <w:szCs w:val="22"/>
            </w:rPr>
            <w:fldChar w:fldCharType="separate"/>
          </w:r>
          <w:r>
            <w:rPr>
              <w:rFonts w:hint="eastAsia" w:ascii="宋体" w:hAnsi="宋体" w:eastAsia="宋体" w:cs="宋体"/>
              <w:sz w:val="22"/>
              <w:szCs w:val="22"/>
            </w:rPr>
            <w:t>6</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_Toc24724 </w:instrText>
          </w:r>
          <w:r>
            <w:rPr>
              <w:rFonts w:hint="eastAsia" w:ascii="宋体" w:hAnsi="宋体" w:eastAsia="宋体" w:cs="宋体"/>
              <w:sz w:val="22"/>
              <w:szCs w:val="22"/>
            </w:rPr>
            <w:fldChar w:fldCharType="separate"/>
          </w:r>
          <w:r>
            <w:rPr>
              <w:rFonts w:hint="eastAsia" w:ascii="宋体" w:hAnsi="宋体" w:eastAsia="宋体" w:cs="宋体"/>
              <w:sz w:val="22"/>
              <w:szCs w:val="22"/>
            </w:rPr>
            <w:t>（五）绩效评价方法</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_Toc24724 \h </w:instrText>
          </w:r>
          <w:r>
            <w:rPr>
              <w:rFonts w:hint="eastAsia" w:ascii="宋体" w:hAnsi="宋体" w:eastAsia="宋体" w:cs="宋体"/>
              <w:sz w:val="22"/>
              <w:szCs w:val="22"/>
            </w:rPr>
            <w:fldChar w:fldCharType="separate"/>
          </w:r>
          <w:r>
            <w:rPr>
              <w:rFonts w:hint="eastAsia" w:ascii="宋体" w:hAnsi="宋体" w:eastAsia="宋体" w:cs="宋体"/>
              <w:sz w:val="22"/>
              <w:szCs w:val="22"/>
            </w:rPr>
            <w:t>7</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_Toc4661 </w:instrText>
          </w:r>
          <w:r>
            <w:rPr>
              <w:rFonts w:hint="eastAsia" w:ascii="宋体" w:hAnsi="宋体" w:eastAsia="宋体" w:cs="宋体"/>
              <w:sz w:val="22"/>
              <w:szCs w:val="22"/>
            </w:rPr>
            <w:fldChar w:fldCharType="separate"/>
          </w:r>
          <w:r>
            <w:rPr>
              <w:rFonts w:hint="eastAsia" w:ascii="宋体" w:hAnsi="宋体" w:eastAsia="宋体" w:cs="宋体"/>
              <w:sz w:val="22"/>
              <w:szCs w:val="22"/>
            </w:rPr>
            <w:t>（六）绩效评价</w:t>
          </w:r>
          <w:r>
            <w:rPr>
              <w:rFonts w:hint="eastAsia" w:ascii="宋体" w:hAnsi="宋体" w:eastAsia="宋体" w:cs="宋体"/>
              <w:sz w:val="22"/>
              <w:szCs w:val="22"/>
              <w:lang w:val="en-US" w:eastAsia="zh-CN"/>
            </w:rPr>
            <w:t>标准</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_Toc4661 \h </w:instrText>
          </w:r>
          <w:r>
            <w:rPr>
              <w:rFonts w:hint="eastAsia" w:ascii="宋体" w:hAnsi="宋体" w:eastAsia="宋体" w:cs="宋体"/>
              <w:sz w:val="22"/>
              <w:szCs w:val="22"/>
            </w:rPr>
            <w:fldChar w:fldCharType="separate"/>
          </w:r>
          <w:r>
            <w:rPr>
              <w:rFonts w:hint="eastAsia" w:ascii="宋体" w:hAnsi="宋体" w:eastAsia="宋体" w:cs="宋体"/>
              <w:sz w:val="22"/>
              <w:szCs w:val="22"/>
            </w:rPr>
            <w:t>9</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_Toc11146 </w:instrText>
          </w:r>
          <w:r>
            <w:rPr>
              <w:rFonts w:hint="eastAsia" w:ascii="宋体" w:hAnsi="宋体" w:eastAsia="宋体" w:cs="宋体"/>
              <w:sz w:val="22"/>
              <w:szCs w:val="22"/>
            </w:rPr>
            <w:fldChar w:fldCharType="separate"/>
          </w:r>
          <w:r>
            <w:rPr>
              <w:rFonts w:hint="eastAsia" w:ascii="宋体" w:hAnsi="宋体" w:eastAsia="宋体" w:cs="宋体"/>
              <w:sz w:val="22"/>
              <w:szCs w:val="22"/>
            </w:rPr>
            <w:t>（</w:t>
          </w:r>
          <w:r>
            <w:rPr>
              <w:rFonts w:hint="eastAsia" w:ascii="宋体" w:hAnsi="宋体" w:eastAsia="宋体" w:cs="宋体"/>
              <w:sz w:val="22"/>
              <w:szCs w:val="22"/>
              <w:lang w:val="en-US" w:eastAsia="zh-CN"/>
            </w:rPr>
            <w:t>七</w:t>
          </w:r>
          <w:r>
            <w:rPr>
              <w:rFonts w:hint="eastAsia" w:ascii="宋体" w:hAnsi="宋体" w:eastAsia="宋体" w:cs="宋体"/>
              <w:sz w:val="22"/>
              <w:szCs w:val="22"/>
            </w:rPr>
            <w:t>）绩效评价工作过程</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_Toc11146 \h </w:instrText>
          </w:r>
          <w:r>
            <w:rPr>
              <w:rFonts w:hint="eastAsia" w:ascii="宋体" w:hAnsi="宋体" w:eastAsia="宋体" w:cs="宋体"/>
              <w:sz w:val="22"/>
              <w:szCs w:val="22"/>
            </w:rPr>
            <w:fldChar w:fldCharType="separate"/>
          </w:r>
          <w:r>
            <w:rPr>
              <w:rFonts w:hint="eastAsia" w:ascii="宋体" w:hAnsi="宋体" w:eastAsia="宋体" w:cs="宋体"/>
              <w:sz w:val="22"/>
              <w:szCs w:val="22"/>
            </w:rPr>
            <w:t>9</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_Toc847 </w:instrText>
          </w:r>
          <w:r>
            <w:rPr>
              <w:rFonts w:hint="eastAsia" w:ascii="宋体" w:hAnsi="宋体" w:eastAsia="宋体" w:cs="宋体"/>
              <w:sz w:val="22"/>
              <w:szCs w:val="22"/>
            </w:rPr>
            <w:fldChar w:fldCharType="separate"/>
          </w:r>
          <w:r>
            <w:rPr>
              <w:rFonts w:hint="eastAsia" w:ascii="宋体" w:hAnsi="宋体" w:eastAsia="宋体" w:cs="宋体"/>
              <w:sz w:val="22"/>
              <w:szCs w:val="22"/>
            </w:rPr>
            <w:t>四、综合评价情况及评价结论</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_Toc847 \h </w:instrText>
          </w:r>
          <w:r>
            <w:rPr>
              <w:rFonts w:hint="eastAsia" w:ascii="宋体" w:hAnsi="宋体" w:eastAsia="宋体" w:cs="宋体"/>
              <w:sz w:val="22"/>
              <w:szCs w:val="22"/>
            </w:rPr>
            <w:fldChar w:fldCharType="separate"/>
          </w:r>
          <w:r>
            <w:rPr>
              <w:rFonts w:hint="eastAsia" w:ascii="宋体" w:hAnsi="宋体" w:eastAsia="宋体" w:cs="宋体"/>
              <w:sz w:val="22"/>
              <w:szCs w:val="22"/>
            </w:rPr>
            <w:t>10</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_Toc17760 </w:instrText>
          </w:r>
          <w:r>
            <w:rPr>
              <w:rFonts w:hint="eastAsia" w:ascii="宋体" w:hAnsi="宋体" w:eastAsia="宋体" w:cs="宋体"/>
              <w:sz w:val="22"/>
              <w:szCs w:val="22"/>
            </w:rPr>
            <w:fldChar w:fldCharType="separate"/>
          </w:r>
          <w:r>
            <w:rPr>
              <w:rFonts w:hint="eastAsia" w:ascii="宋体" w:hAnsi="宋体" w:eastAsia="宋体" w:cs="宋体"/>
              <w:sz w:val="22"/>
              <w:szCs w:val="22"/>
            </w:rPr>
            <w:t>（一）评价得分情况</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_Toc17760 \h </w:instrText>
          </w:r>
          <w:r>
            <w:rPr>
              <w:rFonts w:hint="eastAsia" w:ascii="宋体" w:hAnsi="宋体" w:eastAsia="宋体" w:cs="宋体"/>
              <w:sz w:val="22"/>
              <w:szCs w:val="22"/>
            </w:rPr>
            <w:fldChar w:fldCharType="separate"/>
          </w:r>
          <w:r>
            <w:rPr>
              <w:rFonts w:hint="eastAsia" w:ascii="宋体" w:hAnsi="宋体" w:eastAsia="宋体" w:cs="宋体"/>
              <w:sz w:val="22"/>
              <w:szCs w:val="22"/>
            </w:rPr>
            <w:t>10</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_Toc17662 </w:instrText>
          </w:r>
          <w:r>
            <w:rPr>
              <w:rFonts w:hint="eastAsia" w:ascii="宋体" w:hAnsi="宋体" w:eastAsia="宋体" w:cs="宋体"/>
              <w:sz w:val="22"/>
              <w:szCs w:val="22"/>
            </w:rPr>
            <w:fldChar w:fldCharType="separate"/>
          </w:r>
          <w:r>
            <w:rPr>
              <w:rFonts w:hint="eastAsia" w:ascii="宋体" w:hAnsi="宋体" w:eastAsia="宋体" w:cs="宋体"/>
              <w:sz w:val="22"/>
              <w:szCs w:val="22"/>
            </w:rPr>
            <w:t>（二）综合评价结论</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_Toc17662 \h </w:instrText>
          </w:r>
          <w:r>
            <w:rPr>
              <w:rFonts w:hint="eastAsia" w:ascii="宋体" w:hAnsi="宋体" w:eastAsia="宋体" w:cs="宋体"/>
              <w:sz w:val="22"/>
              <w:szCs w:val="22"/>
            </w:rPr>
            <w:fldChar w:fldCharType="separate"/>
          </w:r>
          <w:r>
            <w:rPr>
              <w:rFonts w:hint="eastAsia" w:ascii="宋体" w:hAnsi="宋体" w:eastAsia="宋体" w:cs="宋体"/>
              <w:sz w:val="22"/>
              <w:szCs w:val="22"/>
            </w:rPr>
            <w:t>11</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_Toc20193 </w:instrText>
          </w:r>
          <w:r>
            <w:rPr>
              <w:rFonts w:hint="eastAsia" w:ascii="宋体" w:hAnsi="宋体" w:eastAsia="宋体" w:cs="宋体"/>
              <w:sz w:val="22"/>
              <w:szCs w:val="22"/>
            </w:rPr>
            <w:fldChar w:fldCharType="separate"/>
          </w:r>
          <w:r>
            <w:rPr>
              <w:rFonts w:hint="eastAsia" w:ascii="宋体" w:hAnsi="宋体" w:eastAsia="宋体" w:cs="宋体"/>
              <w:sz w:val="22"/>
              <w:szCs w:val="22"/>
            </w:rPr>
            <w:t>五、绩效评价指标分析</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_Toc20193 \h </w:instrText>
          </w:r>
          <w:r>
            <w:rPr>
              <w:rFonts w:hint="eastAsia" w:ascii="宋体" w:hAnsi="宋体" w:eastAsia="宋体" w:cs="宋体"/>
              <w:sz w:val="22"/>
              <w:szCs w:val="22"/>
            </w:rPr>
            <w:fldChar w:fldCharType="separate"/>
          </w:r>
          <w:r>
            <w:rPr>
              <w:rFonts w:hint="eastAsia" w:ascii="宋体" w:hAnsi="宋体" w:eastAsia="宋体" w:cs="宋体"/>
              <w:sz w:val="22"/>
              <w:szCs w:val="22"/>
            </w:rPr>
            <w:t>11</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_Toc18545 </w:instrText>
          </w:r>
          <w:r>
            <w:rPr>
              <w:rFonts w:hint="eastAsia" w:ascii="宋体" w:hAnsi="宋体" w:eastAsia="宋体" w:cs="宋体"/>
              <w:sz w:val="22"/>
              <w:szCs w:val="22"/>
            </w:rPr>
            <w:fldChar w:fldCharType="separate"/>
          </w:r>
          <w:r>
            <w:rPr>
              <w:rFonts w:hint="eastAsia" w:ascii="宋体" w:hAnsi="宋体" w:eastAsia="宋体" w:cs="宋体"/>
              <w:sz w:val="22"/>
              <w:szCs w:val="22"/>
            </w:rPr>
            <w:t>（一）项目决策情况</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_Toc18545 \h </w:instrText>
          </w:r>
          <w:r>
            <w:rPr>
              <w:rFonts w:hint="eastAsia" w:ascii="宋体" w:hAnsi="宋体" w:eastAsia="宋体" w:cs="宋体"/>
              <w:sz w:val="22"/>
              <w:szCs w:val="22"/>
            </w:rPr>
            <w:fldChar w:fldCharType="separate"/>
          </w:r>
          <w:r>
            <w:rPr>
              <w:rFonts w:hint="eastAsia" w:ascii="宋体" w:hAnsi="宋体" w:eastAsia="宋体" w:cs="宋体"/>
              <w:sz w:val="22"/>
              <w:szCs w:val="22"/>
            </w:rPr>
            <w:t>11</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_Toc16842 </w:instrText>
          </w:r>
          <w:r>
            <w:rPr>
              <w:rFonts w:hint="eastAsia" w:ascii="宋体" w:hAnsi="宋体" w:eastAsia="宋体" w:cs="宋体"/>
              <w:sz w:val="22"/>
              <w:szCs w:val="22"/>
            </w:rPr>
            <w:fldChar w:fldCharType="separate"/>
          </w:r>
          <w:r>
            <w:rPr>
              <w:rFonts w:hint="eastAsia" w:ascii="宋体" w:hAnsi="宋体" w:eastAsia="宋体" w:cs="宋体"/>
              <w:sz w:val="22"/>
              <w:szCs w:val="22"/>
            </w:rPr>
            <w:t>（二）项目过程情况</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_Toc16842 \h </w:instrText>
          </w:r>
          <w:r>
            <w:rPr>
              <w:rFonts w:hint="eastAsia" w:ascii="宋体" w:hAnsi="宋体" w:eastAsia="宋体" w:cs="宋体"/>
              <w:sz w:val="22"/>
              <w:szCs w:val="22"/>
            </w:rPr>
            <w:fldChar w:fldCharType="separate"/>
          </w:r>
          <w:r>
            <w:rPr>
              <w:rFonts w:hint="eastAsia" w:ascii="宋体" w:hAnsi="宋体" w:eastAsia="宋体" w:cs="宋体"/>
              <w:sz w:val="22"/>
              <w:szCs w:val="22"/>
            </w:rPr>
            <w:t>14</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_Toc24721 </w:instrText>
          </w:r>
          <w:r>
            <w:rPr>
              <w:rFonts w:hint="eastAsia" w:ascii="宋体" w:hAnsi="宋体" w:eastAsia="宋体" w:cs="宋体"/>
              <w:sz w:val="22"/>
              <w:szCs w:val="22"/>
            </w:rPr>
            <w:fldChar w:fldCharType="separate"/>
          </w:r>
          <w:r>
            <w:rPr>
              <w:rFonts w:hint="eastAsia" w:ascii="宋体" w:hAnsi="宋体" w:eastAsia="宋体" w:cs="宋体"/>
              <w:sz w:val="22"/>
              <w:szCs w:val="22"/>
            </w:rPr>
            <w:t>（三）项目产出情况</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_Toc24721 \h </w:instrText>
          </w:r>
          <w:r>
            <w:rPr>
              <w:rFonts w:hint="eastAsia" w:ascii="宋体" w:hAnsi="宋体" w:eastAsia="宋体" w:cs="宋体"/>
              <w:sz w:val="22"/>
              <w:szCs w:val="22"/>
            </w:rPr>
            <w:fldChar w:fldCharType="separate"/>
          </w:r>
          <w:r>
            <w:rPr>
              <w:rFonts w:hint="eastAsia" w:ascii="宋体" w:hAnsi="宋体" w:eastAsia="宋体" w:cs="宋体"/>
              <w:sz w:val="22"/>
              <w:szCs w:val="22"/>
            </w:rPr>
            <w:t>15</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_Toc27898 </w:instrText>
          </w:r>
          <w:r>
            <w:rPr>
              <w:rFonts w:hint="eastAsia" w:ascii="宋体" w:hAnsi="宋体" w:eastAsia="宋体" w:cs="宋体"/>
              <w:sz w:val="22"/>
              <w:szCs w:val="22"/>
            </w:rPr>
            <w:fldChar w:fldCharType="separate"/>
          </w:r>
          <w:r>
            <w:rPr>
              <w:rFonts w:hint="eastAsia" w:ascii="宋体" w:hAnsi="宋体" w:eastAsia="宋体" w:cs="宋体"/>
              <w:sz w:val="22"/>
              <w:szCs w:val="22"/>
            </w:rPr>
            <w:t>（四）项目效益情况</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_Toc27898 \h </w:instrText>
          </w:r>
          <w:r>
            <w:rPr>
              <w:rFonts w:hint="eastAsia" w:ascii="宋体" w:hAnsi="宋体" w:eastAsia="宋体" w:cs="宋体"/>
              <w:sz w:val="22"/>
              <w:szCs w:val="22"/>
            </w:rPr>
            <w:fldChar w:fldCharType="separate"/>
          </w:r>
          <w:r>
            <w:rPr>
              <w:rFonts w:hint="eastAsia" w:ascii="宋体" w:hAnsi="宋体" w:eastAsia="宋体" w:cs="宋体"/>
              <w:sz w:val="22"/>
              <w:szCs w:val="22"/>
            </w:rPr>
            <w:t>17</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_Toc12787 </w:instrText>
          </w:r>
          <w:r>
            <w:rPr>
              <w:rFonts w:hint="eastAsia" w:ascii="宋体" w:hAnsi="宋体" w:eastAsia="宋体" w:cs="宋体"/>
              <w:sz w:val="22"/>
              <w:szCs w:val="22"/>
            </w:rPr>
            <w:fldChar w:fldCharType="separate"/>
          </w:r>
          <w:r>
            <w:rPr>
              <w:rFonts w:hint="eastAsia" w:ascii="宋体" w:hAnsi="宋体" w:eastAsia="宋体" w:cs="宋体"/>
              <w:sz w:val="22"/>
              <w:szCs w:val="22"/>
            </w:rPr>
            <w:t>六、主要经验及做法、存在的问题及原因分析</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_Toc12787 \h </w:instrText>
          </w:r>
          <w:r>
            <w:rPr>
              <w:rFonts w:hint="eastAsia" w:ascii="宋体" w:hAnsi="宋体" w:eastAsia="宋体" w:cs="宋体"/>
              <w:sz w:val="22"/>
              <w:szCs w:val="22"/>
            </w:rPr>
            <w:fldChar w:fldCharType="separate"/>
          </w:r>
          <w:r>
            <w:rPr>
              <w:rFonts w:hint="eastAsia" w:ascii="宋体" w:hAnsi="宋体" w:eastAsia="宋体" w:cs="宋体"/>
              <w:sz w:val="22"/>
              <w:szCs w:val="22"/>
            </w:rPr>
            <w:t>18</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_Toc30489 </w:instrText>
          </w:r>
          <w:r>
            <w:rPr>
              <w:rFonts w:hint="eastAsia" w:ascii="宋体" w:hAnsi="宋体" w:eastAsia="宋体" w:cs="宋体"/>
              <w:sz w:val="22"/>
              <w:szCs w:val="22"/>
            </w:rPr>
            <w:fldChar w:fldCharType="separate"/>
          </w:r>
          <w:r>
            <w:rPr>
              <w:rFonts w:hint="eastAsia" w:ascii="宋体" w:hAnsi="宋体" w:eastAsia="宋体" w:cs="宋体"/>
              <w:sz w:val="22"/>
              <w:szCs w:val="22"/>
            </w:rPr>
            <w:t>（一）主要经验及做法</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_Toc30489 \h </w:instrText>
          </w:r>
          <w:r>
            <w:rPr>
              <w:rFonts w:hint="eastAsia" w:ascii="宋体" w:hAnsi="宋体" w:eastAsia="宋体" w:cs="宋体"/>
              <w:sz w:val="22"/>
              <w:szCs w:val="22"/>
            </w:rPr>
            <w:fldChar w:fldCharType="separate"/>
          </w:r>
          <w:r>
            <w:rPr>
              <w:rFonts w:hint="eastAsia" w:ascii="宋体" w:hAnsi="宋体" w:eastAsia="宋体" w:cs="宋体"/>
              <w:sz w:val="22"/>
              <w:szCs w:val="22"/>
            </w:rPr>
            <w:t>18</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6"/>
            <w:pageBreakBefore w:val="0"/>
            <w:tabs>
              <w:tab w:val="right" w:leader="dot" w:pos="830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_Toc13155 </w:instrText>
          </w:r>
          <w:r>
            <w:rPr>
              <w:rFonts w:hint="eastAsia" w:ascii="宋体" w:hAnsi="宋体" w:eastAsia="宋体" w:cs="宋体"/>
              <w:sz w:val="22"/>
              <w:szCs w:val="22"/>
            </w:rPr>
            <w:fldChar w:fldCharType="separate"/>
          </w:r>
          <w:r>
            <w:rPr>
              <w:rFonts w:hint="eastAsia" w:ascii="宋体" w:hAnsi="宋体" w:eastAsia="宋体" w:cs="宋体"/>
              <w:sz w:val="22"/>
              <w:szCs w:val="22"/>
            </w:rPr>
            <w:t>（二）存在的问题</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_Toc13155 \h </w:instrText>
          </w:r>
          <w:r>
            <w:rPr>
              <w:rFonts w:hint="eastAsia" w:ascii="宋体" w:hAnsi="宋体" w:eastAsia="宋体" w:cs="宋体"/>
              <w:sz w:val="22"/>
              <w:szCs w:val="22"/>
            </w:rPr>
            <w:fldChar w:fldCharType="separate"/>
          </w:r>
          <w:r>
            <w:rPr>
              <w:rFonts w:hint="eastAsia" w:ascii="宋体" w:hAnsi="宋体" w:eastAsia="宋体" w:cs="宋体"/>
              <w:sz w:val="22"/>
              <w:szCs w:val="22"/>
            </w:rPr>
            <w:t>19</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_Toc17282 </w:instrText>
          </w:r>
          <w:r>
            <w:rPr>
              <w:rFonts w:hint="eastAsia" w:ascii="宋体" w:hAnsi="宋体" w:eastAsia="宋体" w:cs="宋体"/>
              <w:sz w:val="22"/>
              <w:szCs w:val="22"/>
            </w:rPr>
            <w:fldChar w:fldCharType="separate"/>
          </w:r>
          <w:r>
            <w:rPr>
              <w:rFonts w:hint="eastAsia" w:ascii="宋体" w:hAnsi="宋体" w:eastAsia="宋体" w:cs="宋体"/>
              <w:sz w:val="22"/>
              <w:szCs w:val="22"/>
            </w:rPr>
            <w:t>七、有关建议</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_Toc17282 \h </w:instrText>
          </w:r>
          <w:r>
            <w:rPr>
              <w:rFonts w:hint="eastAsia" w:ascii="宋体" w:hAnsi="宋体" w:eastAsia="宋体" w:cs="宋体"/>
              <w:sz w:val="22"/>
              <w:szCs w:val="22"/>
            </w:rPr>
            <w:fldChar w:fldCharType="separate"/>
          </w:r>
          <w:r>
            <w:rPr>
              <w:rFonts w:hint="eastAsia" w:ascii="宋体" w:hAnsi="宋体" w:eastAsia="宋体" w:cs="宋体"/>
              <w:sz w:val="22"/>
              <w:szCs w:val="22"/>
            </w:rPr>
            <w:t>19</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_Toc19364 </w:instrText>
          </w:r>
          <w:r>
            <w:rPr>
              <w:rFonts w:hint="eastAsia" w:ascii="宋体" w:hAnsi="宋体" w:eastAsia="宋体" w:cs="宋体"/>
              <w:sz w:val="22"/>
              <w:szCs w:val="22"/>
            </w:rPr>
            <w:fldChar w:fldCharType="separate"/>
          </w:r>
          <w:r>
            <w:rPr>
              <w:rFonts w:hint="eastAsia" w:ascii="宋体" w:hAnsi="宋体" w:eastAsia="宋体" w:cs="宋体"/>
              <w:sz w:val="22"/>
              <w:szCs w:val="22"/>
            </w:rPr>
            <w:t>八、其他需要说明的问题</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_Toc19364 \h </w:instrText>
          </w:r>
          <w:r>
            <w:rPr>
              <w:rFonts w:hint="eastAsia" w:ascii="宋体" w:hAnsi="宋体" w:eastAsia="宋体" w:cs="宋体"/>
              <w:sz w:val="22"/>
              <w:szCs w:val="22"/>
            </w:rPr>
            <w:fldChar w:fldCharType="separate"/>
          </w:r>
          <w:r>
            <w:rPr>
              <w:rFonts w:hint="eastAsia" w:ascii="宋体" w:hAnsi="宋体" w:eastAsia="宋体" w:cs="宋体"/>
              <w:sz w:val="22"/>
              <w:szCs w:val="22"/>
            </w:rPr>
            <w:t>20</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_Toc13169 </w:instrText>
          </w:r>
          <w:r>
            <w:rPr>
              <w:rFonts w:hint="eastAsia" w:ascii="宋体" w:hAnsi="宋体" w:eastAsia="宋体" w:cs="宋体"/>
              <w:sz w:val="22"/>
              <w:szCs w:val="22"/>
            </w:rPr>
            <w:fldChar w:fldCharType="separate"/>
          </w:r>
          <w:r>
            <w:rPr>
              <w:rFonts w:hint="eastAsia" w:ascii="宋体" w:hAnsi="宋体" w:eastAsia="宋体" w:cs="宋体"/>
              <w:sz w:val="22"/>
              <w:szCs w:val="22"/>
            </w:rPr>
            <w:t>九、绩效评价结果应用建议</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_Toc13169 \h </w:instrText>
          </w:r>
          <w:r>
            <w:rPr>
              <w:rFonts w:hint="eastAsia" w:ascii="宋体" w:hAnsi="宋体" w:eastAsia="宋体" w:cs="宋体"/>
              <w:sz w:val="22"/>
              <w:szCs w:val="22"/>
            </w:rPr>
            <w:fldChar w:fldCharType="separate"/>
          </w:r>
          <w:r>
            <w:rPr>
              <w:rFonts w:hint="eastAsia" w:ascii="宋体" w:hAnsi="宋体" w:eastAsia="宋体" w:cs="宋体"/>
              <w:sz w:val="22"/>
              <w:szCs w:val="22"/>
            </w:rPr>
            <w:t>20</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_Toc15965 </w:instrText>
          </w:r>
          <w:r>
            <w:rPr>
              <w:rFonts w:hint="eastAsia" w:ascii="宋体" w:hAnsi="宋体" w:eastAsia="宋体" w:cs="宋体"/>
              <w:sz w:val="22"/>
              <w:szCs w:val="22"/>
            </w:rPr>
            <w:fldChar w:fldCharType="separate"/>
          </w:r>
          <w:r>
            <w:rPr>
              <w:rFonts w:hint="eastAsia" w:ascii="宋体" w:hAnsi="宋体" w:eastAsia="宋体" w:cs="宋体"/>
              <w:sz w:val="22"/>
              <w:szCs w:val="22"/>
            </w:rPr>
            <w:t>附件1：绩效评价指标体系及综合评价表</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_Toc15965 \h </w:instrText>
          </w:r>
          <w:r>
            <w:rPr>
              <w:rFonts w:hint="eastAsia" w:ascii="宋体" w:hAnsi="宋体" w:eastAsia="宋体" w:cs="宋体"/>
              <w:sz w:val="22"/>
              <w:szCs w:val="22"/>
            </w:rPr>
            <w:fldChar w:fldCharType="separate"/>
          </w:r>
          <w:r>
            <w:rPr>
              <w:rFonts w:hint="eastAsia" w:ascii="宋体" w:hAnsi="宋体" w:eastAsia="宋体" w:cs="宋体"/>
              <w:sz w:val="22"/>
              <w:szCs w:val="22"/>
            </w:rPr>
            <w:t>21</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_Toc19918 </w:instrText>
          </w:r>
          <w:r>
            <w:rPr>
              <w:rFonts w:hint="eastAsia" w:ascii="宋体" w:hAnsi="宋体" w:eastAsia="宋体" w:cs="宋体"/>
              <w:sz w:val="22"/>
              <w:szCs w:val="22"/>
            </w:rPr>
            <w:fldChar w:fldCharType="separate"/>
          </w:r>
          <w:r>
            <w:rPr>
              <w:rFonts w:hint="eastAsia" w:ascii="宋体" w:hAnsi="宋体" w:eastAsia="宋体" w:cs="宋体"/>
              <w:sz w:val="22"/>
              <w:szCs w:val="22"/>
            </w:rPr>
            <w:t>附件2：基础表</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_Toc19918 \h </w:instrText>
          </w:r>
          <w:r>
            <w:rPr>
              <w:rFonts w:hint="eastAsia" w:ascii="宋体" w:hAnsi="宋体" w:eastAsia="宋体" w:cs="宋体"/>
              <w:sz w:val="22"/>
              <w:szCs w:val="22"/>
            </w:rPr>
            <w:fldChar w:fldCharType="separate"/>
          </w:r>
          <w:r>
            <w:rPr>
              <w:rFonts w:hint="eastAsia" w:ascii="宋体" w:hAnsi="宋体" w:eastAsia="宋体" w:cs="宋体"/>
              <w:sz w:val="22"/>
              <w:szCs w:val="22"/>
            </w:rPr>
            <w:t>27</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\l _Toc26958 </w:instrText>
          </w:r>
          <w:r>
            <w:rPr>
              <w:rFonts w:hint="eastAsia" w:ascii="宋体" w:hAnsi="宋体" w:eastAsia="宋体" w:cs="宋体"/>
              <w:sz w:val="22"/>
              <w:szCs w:val="22"/>
            </w:rPr>
            <w:fldChar w:fldCharType="separate"/>
          </w:r>
          <w:r>
            <w:rPr>
              <w:rFonts w:hint="eastAsia" w:ascii="宋体" w:hAnsi="宋体" w:eastAsia="宋体" w:cs="宋体"/>
              <w:sz w:val="22"/>
              <w:szCs w:val="22"/>
            </w:rPr>
            <w:t>附件3：问卷调查分析报告</w:t>
          </w:r>
          <w:r>
            <w:rPr>
              <w:rFonts w:hint="eastAsia" w:ascii="宋体" w:hAnsi="宋体" w:eastAsia="宋体" w:cs="宋体"/>
              <w:sz w:val="22"/>
              <w:szCs w:val="22"/>
            </w:rPr>
            <w:tab/>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PAGEREF _Toc26958 \h </w:instrText>
          </w:r>
          <w:r>
            <w:rPr>
              <w:rFonts w:hint="eastAsia" w:ascii="宋体" w:hAnsi="宋体" w:eastAsia="宋体" w:cs="宋体"/>
              <w:sz w:val="22"/>
              <w:szCs w:val="22"/>
            </w:rPr>
            <w:fldChar w:fldCharType="separate"/>
          </w:r>
          <w:r>
            <w:rPr>
              <w:rFonts w:hint="eastAsia" w:ascii="宋体" w:hAnsi="宋体" w:eastAsia="宋体" w:cs="宋体"/>
              <w:sz w:val="22"/>
              <w:szCs w:val="22"/>
            </w:rPr>
            <w:t>30</w:t>
          </w:r>
          <w:r>
            <w:rPr>
              <w:rFonts w:hint="eastAsia" w:ascii="宋体" w:hAnsi="宋体" w:eastAsia="宋体" w:cs="宋体"/>
              <w:sz w:val="22"/>
              <w:szCs w:val="22"/>
            </w:rPr>
            <w:fldChar w:fldCharType="end"/>
          </w:r>
          <w:r>
            <w:rPr>
              <w:rFonts w:hint="eastAsia" w:ascii="宋体" w:hAnsi="宋体" w:eastAsia="宋体" w:cs="宋体"/>
              <w:sz w:val="22"/>
              <w:szCs w:val="22"/>
            </w:rPr>
            <w:fldChar w:fldCharType="end"/>
          </w:r>
        </w:p>
        <w:p>
          <w:pPr>
            <w:pStyle w:val="15"/>
            <w:pageBreakBefore w:val="0"/>
            <w:tabs>
              <w:tab w:val="right" w:leader="dot" w:pos="8306"/>
              <w:tab w:val="clear" w:pos="9356"/>
            </w:tabs>
            <w:kinsoku/>
            <w:wordWrap/>
            <w:overflowPunct/>
            <w:topLinePunct w:val="0"/>
            <w:autoSpaceDE/>
            <w:autoSpaceDN/>
            <w:bidi w:val="0"/>
            <w:spacing w:line="360" w:lineRule="exact"/>
            <w:ind w:firstLine="0" w:firstLineChars="0"/>
            <w:jc w:val="center"/>
            <w:rPr>
              <w:rFonts w:eastAsia="宋体"/>
            </w:rPr>
          </w:pPr>
          <w:r>
            <w:rPr>
              <w:rFonts w:eastAsia="宋体"/>
              <w:b/>
            </w:rPr>
            <w:fldChar w:fldCharType="end"/>
          </w:r>
        </w:p>
      </w:sdtContent>
    </w:sdt>
    <w:p>
      <w:pPr>
        <w:pageBreakBefore w:val="0"/>
        <w:kinsoku/>
        <w:wordWrap/>
        <w:overflowPunct/>
        <w:topLinePunct w:val="0"/>
        <w:autoSpaceDE/>
        <w:autoSpaceDN/>
        <w:bidi w:val="0"/>
        <w:spacing w:line="360" w:lineRule="exact"/>
        <w:ind w:firstLine="0" w:firstLineChars="0"/>
        <w:rPr>
          <w:rFonts w:eastAsia="宋体"/>
        </w:rPr>
        <w:sectPr>
          <w:footerReference r:id="rId11" w:type="default"/>
          <w:pgSz w:w="11906" w:h="16838"/>
          <w:pgMar w:top="1440" w:right="1800" w:bottom="1440" w:left="1800" w:header="851" w:footer="907" w:gutter="0"/>
          <w:pgNumType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600" w:lineRule="exact"/>
        <w:ind w:left="-178" w:leftChars="-85" w:firstLine="0" w:firstLineChars="0"/>
        <w:jc w:val="center"/>
        <w:textAlignment w:val="auto"/>
        <w:outlineLvl w:val="0"/>
        <w:rPr>
          <w:rFonts w:eastAsia="楷体_GB2312"/>
          <w:b/>
          <w:sz w:val="48"/>
          <w:szCs w:val="48"/>
        </w:rPr>
      </w:pPr>
      <w:bookmarkStart w:id="36" w:name="_Toc9973"/>
      <w:bookmarkStart w:id="37" w:name="_Toc25378"/>
      <w:bookmarkStart w:id="38" w:name="_Toc16538"/>
      <w:bookmarkStart w:id="39" w:name="_Toc8655"/>
      <w:bookmarkStart w:id="40" w:name="_Toc27319"/>
      <w:bookmarkStart w:id="41" w:name="_Toc32239"/>
      <w:bookmarkStart w:id="42" w:name="_Toc17971"/>
      <w:bookmarkStart w:id="43" w:name="_Toc31132"/>
      <w:bookmarkStart w:id="44" w:name="_Toc5622"/>
      <w:bookmarkStart w:id="45" w:name="_Toc26455"/>
      <w:bookmarkStart w:id="46" w:name="_Toc7346"/>
      <w:r>
        <w:rPr>
          <w:rFonts w:eastAsia="仿宋_GB2312"/>
          <w:b/>
          <w:sz w:val="48"/>
          <w:szCs w:val="48"/>
        </w:rPr>
        <w:t>新疆驰远天合有限责任会计师事务所</w:t>
      </w:r>
      <w:bookmarkEnd w:id="36"/>
      <w:bookmarkEnd w:id="37"/>
      <w:bookmarkEnd w:id="38"/>
      <w:bookmarkEnd w:id="39"/>
      <w:bookmarkEnd w:id="40"/>
      <w:bookmarkEnd w:id="41"/>
      <w:bookmarkEnd w:id="42"/>
      <w:bookmarkEnd w:id="43"/>
      <w:bookmarkEnd w:id="44"/>
      <w:bookmarkEnd w:id="45"/>
      <w:bookmarkEnd w:id="46"/>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eastAsia="宋体"/>
          <w:sz w:val="24"/>
          <w:szCs w:val="24"/>
        </w:rPr>
      </w:pPr>
      <w:r>
        <w:rPr>
          <w:rFonts w:eastAsia="宋体"/>
          <w:sz w:val="24"/>
          <w:szCs w:val="24"/>
        </w:rPr>
        <w:t>Xinjiang Chiyuantianhe Certified Public Accountants Co.</w:t>
      </w:r>
      <w:r>
        <w:rPr>
          <w:rFonts w:hint="eastAsia" w:eastAsia="宋体"/>
          <w:sz w:val="24"/>
          <w:szCs w:val="24"/>
          <w:lang w:eastAsia="zh-CN"/>
        </w:rPr>
        <w:t>，</w:t>
      </w:r>
      <w:r>
        <w:rPr>
          <w:rFonts w:eastAsia="宋体"/>
          <w:sz w:val="24"/>
          <w:szCs w:val="24"/>
        </w:rPr>
        <w:t>Ltd.</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eastAsia="宋体"/>
        </w:rPr>
      </w:pPr>
      <w:bookmarkStart w:id="47" w:name="_Toc4767"/>
      <w:bookmarkStart w:id="48" w:name="_Toc23718"/>
      <w:bookmarkStart w:id="49" w:name="_Toc28623"/>
      <w:bookmarkStart w:id="50" w:name="_Toc4177"/>
      <w:bookmarkStart w:id="51" w:name="_Toc17368"/>
      <w:bookmarkStart w:id="52" w:name="_Toc28306"/>
      <w:bookmarkStart w:id="53" w:name="_Toc18434"/>
      <w:bookmarkStart w:id="54" w:name="_Toc21607"/>
      <w:bookmarkStart w:id="55" w:name="_Toc11722"/>
      <w:bookmarkStart w:id="56" w:name="_Toc28531"/>
      <w:bookmarkStart w:id="57" w:name="_Toc24890"/>
      <w:r>
        <w:rPr>
          <w:rFonts w:eastAsia="宋体"/>
          <w:b/>
          <w:spacing w:val="66"/>
          <w:kern w:val="0"/>
          <w:sz w:val="44"/>
          <w:szCs w:val="44"/>
          <w:fitText w:val="3300" w:id="1424759405"/>
        </w:rPr>
        <w:t>绩效评价报</w:t>
      </w:r>
      <w:r>
        <w:rPr>
          <w:rFonts w:eastAsia="宋体"/>
          <w:b/>
          <w:spacing w:val="0"/>
          <w:kern w:val="0"/>
          <w:sz w:val="44"/>
          <w:szCs w:val="44"/>
          <w:fitText w:val="3300" w:id="1424759405"/>
        </w:rPr>
        <w:t>告</w:t>
      </w:r>
      <w:bookmarkEnd w:id="47"/>
      <w:bookmarkEnd w:id="48"/>
      <w:bookmarkEnd w:id="49"/>
      <w:bookmarkEnd w:id="50"/>
      <w:bookmarkEnd w:id="51"/>
      <w:bookmarkEnd w:id="52"/>
      <w:bookmarkEnd w:id="53"/>
      <w:bookmarkEnd w:id="54"/>
      <w:bookmarkEnd w:id="55"/>
      <w:bookmarkEnd w:id="56"/>
      <w:bookmarkEnd w:id="57"/>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outlineLvl w:val="0"/>
        <w:rPr>
          <w:rFonts w:eastAsia="宋体"/>
        </w:rPr>
      </w:pPr>
      <w:bookmarkStart w:id="58" w:name="_Toc4207"/>
      <w:bookmarkStart w:id="59" w:name="_Toc12884"/>
      <w:bookmarkStart w:id="60" w:name="_Toc22944"/>
      <w:bookmarkStart w:id="61" w:name="_Toc2662"/>
      <w:bookmarkStart w:id="62" w:name="_Toc5195"/>
      <w:bookmarkStart w:id="63" w:name="_Toc3967"/>
      <w:bookmarkStart w:id="64" w:name="_Toc17184"/>
      <w:bookmarkStart w:id="65" w:name="_Toc29279"/>
      <w:bookmarkStart w:id="66" w:name="_Toc20831"/>
      <w:bookmarkStart w:id="67" w:name="_Toc22071"/>
      <w:bookmarkStart w:id="68" w:name="_Toc6156"/>
      <w:r>
        <w:rPr>
          <w:rFonts w:eastAsia="宋体"/>
        </w:rPr>
        <w:t>驰天会咨字</w:t>
      </w:r>
      <w:r>
        <w:rPr>
          <w:rFonts w:hint="eastAsia" w:eastAsia="宋体"/>
        </w:rPr>
        <w:t>〔2024〕</w:t>
      </w:r>
      <w:r>
        <w:rPr>
          <w:rFonts w:eastAsia="宋体"/>
        </w:rPr>
        <w:t>1-</w:t>
      </w:r>
      <w:r>
        <w:rPr>
          <w:rFonts w:hint="eastAsia" w:eastAsia="宋体"/>
        </w:rPr>
        <w:t>0146</w:t>
      </w:r>
      <w:r>
        <w:rPr>
          <w:rFonts w:eastAsia="宋体"/>
        </w:rPr>
        <w:t>号</w:t>
      </w:r>
      <w:bookmarkEnd w:id="58"/>
      <w:bookmarkEnd w:id="59"/>
      <w:bookmarkEnd w:id="60"/>
      <w:bookmarkEnd w:id="61"/>
      <w:bookmarkEnd w:id="62"/>
      <w:bookmarkEnd w:id="63"/>
      <w:bookmarkEnd w:id="64"/>
      <w:bookmarkEnd w:id="65"/>
      <w:bookmarkEnd w:id="66"/>
      <w:bookmarkEnd w:id="67"/>
      <w:bookmarkEnd w:id="68"/>
    </w:p>
    <w:p>
      <w:pPr>
        <w:pageBreakBefore w:val="0"/>
        <w:kinsoku/>
        <w:wordWrap/>
        <w:overflowPunct/>
        <w:topLinePunct w:val="0"/>
        <w:autoSpaceDE/>
        <w:autoSpaceDN/>
        <w:bidi w:val="0"/>
        <w:spacing w:line="360" w:lineRule="exact"/>
        <w:ind w:firstLine="0" w:firstLineChars="0"/>
        <w:rPr>
          <w:rFonts w:eastAsia="宋体"/>
        </w:rPr>
      </w:pPr>
      <w:r>
        <w:rPr>
          <w:rFonts w:eastAsia="宋体"/>
        </w:rPr>
        <w:t>巴楚县财政局：</w:t>
      </w:r>
    </w:p>
    <w:p>
      <w:pPr>
        <w:pageBreakBefore w:val="0"/>
        <w:kinsoku/>
        <w:wordWrap/>
        <w:overflowPunct/>
        <w:topLinePunct w:val="0"/>
        <w:autoSpaceDE/>
        <w:autoSpaceDN/>
        <w:bidi w:val="0"/>
        <w:spacing w:line="360" w:lineRule="exact"/>
        <w:ind w:firstLine="420"/>
        <w:rPr>
          <w:rFonts w:eastAsia="宋体"/>
        </w:rPr>
      </w:pPr>
      <w:r>
        <w:t>为贯彻落实全面推进预算绩效管理工作的要求，完善部门预算管理，强化预算支出责任，提高财政资金的使用效益，根据《中华人民共和国预算法》《中共中央国务院关于全面实施预算绩效管理的意见》（中发〔2018〕34号）、《项目支出绩效评价管理办法》（财预〔2020〕10号）、</w:t>
      </w:r>
      <w:r>
        <w:rPr>
          <w:bCs/>
        </w:rPr>
        <w:t>《关于进一步加强和规范第三方机构参与预算绩效管理的通知》（新财预〔2021〕49号）</w:t>
      </w:r>
      <w:r>
        <w:t>等系列文件的要求，受巴楚县财政局的委托，新疆驰远天合有限责任会计师事务所以第三方社会评价机构的身份，承担了</w:t>
      </w:r>
      <w:r>
        <w:rPr>
          <w:rFonts w:hint="eastAsia"/>
        </w:rPr>
        <w:t>巴楚县住房和城乡建设局</w:t>
      </w:r>
      <w:r>
        <w:t>2023年度城区环卫市场化项目的绩效评价工作并形成绩效评价报告，</w:t>
      </w:r>
      <w:r>
        <w:rPr>
          <w:rFonts w:eastAsia="宋体"/>
        </w:rPr>
        <w:t>巴楚县住房和城乡建设局负责提供与本次绩效评价相关的项目资料并保证项目资料的真实、合法、准确和完整，现将项目绩效评价情况报告如下</w:t>
      </w:r>
      <w:r>
        <w:rPr>
          <w:rFonts w:hint="eastAsia" w:eastAsia="宋体"/>
          <w:lang w:eastAsia="zh-CN"/>
        </w:rPr>
        <w:t>。</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69" w:name="_Toc26400"/>
      <w:bookmarkStart w:id="70" w:name="_Toc2000"/>
      <w:bookmarkStart w:id="71" w:name="_Toc68364657"/>
      <w:bookmarkStart w:id="72" w:name="_Toc18881"/>
      <w:bookmarkStart w:id="73" w:name="_Toc30534"/>
      <w:bookmarkStart w:id="74" w:name="_Toc12832"/>
      <w:bookmarkStart w:id="75" w:name="_Toc21996"/>
      <w:bookmarkStart w:id="76" w:name="_Toc7635"/>
      <w:r>
        <w:rPr>
          <w:rFonts w:hint="eastAsia" w:ascii="Times New Roman" w:hAnsi="Times New Roman" w:cs="Times New Roman" w:eastAsiaTheme="minorEastAsia"/>
          <w:b/>
          <w:bCs/>
          <w:kern w:val="2"/>
          <w:sz w:val="24"/>
          <w:szCs w:val="24"/>
          <w:lang w:val="en-US" w:eastAsia="zh-CN" w:bidi="ar-SA"/>
        </w:rPr>
        <w:t>一、项目基本情况</w:t>
      </w:r>
      <w:bookmarkEnd w:id="69"/>
      <w:bookmarkEnd w:id="70"/>
      <w:bookmarkEnd w:id="71"/>
      <w:bookmarkEnd w:id="72"/>
      <w:bookmarkEnd w:id="73"/>
      <w:bookmarkEnd w:id="74"/>
      <w:bookmarkEnd w:id="75"/>
      <w:bookmarkEnd w:id="76"/>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77" w:name="_Toc18560"/>
      <w:bookmarkStart w:id="78" w:name="_Toc3573"/>
      <w:bookmarkStart w:id="79" w:name="_Toc13711"/>
      <w:bookmarkStart w:id="80" w:name="_Toc11855"/>
      <w:bookmarkStart w:id="81" w:name="_Toc26823"/>
      <w:bookmarkStart w:id="82" w:name="_Toc2694"/>
      <w:bookmarkStart w:id="83" w:name="_Toc29640"/>
      <w:r>
        <w:rPr>
          <w:rFonts w:hint="eastAsia" w:ascii="Times New Roman" w:hAnsi="Times New Roman" w:cs="Times New Roman" w:eastAsiaTheme="minorEastAsia"/>
          <w:b/>
          <w:bCs/>
          <w:kern w:val="2"/>
          <w:sz w:val="24"/>
          <w:szCs w:val="24"/>
          <w:lang w:val="en-US" w:eastAsia="zh-CN" w:bidi="ar-SA"/>
        </w:rPr>
        <w:t>（一）项目背景及立项</w:t>
      </w:r>
      <w:bookmarkEnd w:id="77"/>
      <w:bookmarkEnd w:id="78"/>
      <w:bookmarkEnd w:id="79"/>
      <w:bookmarkEnd w:id="80"/>
      <w:bookmarkEnd w:id="81"/>
      <w:bookmarkEnd w:id="82"/>
      <w:bookmarkEnd w:id="83"/>
    </w:p>
    <w:p>
      <w:pPr>
        <w:pageBreakBefore w:val="0"/>
        <w:kinsoku/>
        <w:wordWrap/>
        <w:overflowPunct/>
        <w:topLinePunct w:val="0"/>
        <w:autoSpaceDE/>
        <w:autoSpaceDN/>
        <w:bidi w:val="0"/>
        <w:spacing w:line="360" w:lineRule="exact"/>
        <w:ind w:firstLine="420"/>
      </w:pPr>
      <w:r>
        <w:rPr>
          <w:rFonts w:hint="eastAsia"/>
        </w:rPr>
        <w:t>环境卫生管理工作是与人民生活息息相关的公共事业，是社会经济发展的基础和保障。为加强城市市容和环境卫生管理，创造清洁、优美的城市工作、生活环境，促进城市社会主义物质文明和精神文明建设，国家制定《城市市容和环境卫生管理条例》，提出环境卫生管理应当逐步实行社会化服务。</w:t>
      </w:r>
    </w:p>
    <w:p>
      <w:pPr>
        <w:pageBreakBefore w:val="0"/>
        <w:kinsoku/>
        <w:wordWrap/>
        <w:overflowPunct/>
        <w:topLinePunct w:val="0"/>
        <w:autoSpaceDE/>
        <w:autoSpaceDN/>
        <w:bidi w:val="0"/>
        <w:spacing w:line="360" w:lineRule="exact"/>
        <w:ind w:firstLine="420"/>
      </w:pPr>
      <w:r>
        <w:rPr>
          <w:rFonts w:hint="eastAsia"/>
        </w:rPr>
        <w:t>新疆维吾尔自治区住房和城乡建设厅印发《关于加强自治区城市精细化管理的通知》，提出将围绕法治建设、信息化建设、市容市貌管理、环境卫生、园林绿化管理等10个方面，通过城市精细化管理提升群众获得感和幸福感。在提升环境卫生水平方面，要全面落实生活垃圾分类和建筑垃圾资源化利用，提高环卫机械效能，大力推进城市道路清扫保洁工作市场化、专业化、标准化。</w:t>
      </w:r>
    </w:p>
    <w:p>
      <w:pPr>
        <w:pageBreakBefore w:val="0"/>
        <w:kinsoku/>
        <w:wordWrap/>
        <w:overflowPunct/>
        <w:topLinePunct w:val="0"/>
        <w:autoSpaceDE/>
        <w:autoSpaceDN/>
        <w:bidi w:val="0"/>
        <w:spacing w:line="360" w:lineRule="exact"/>
        <w:ind w:firstLine="420"/>
      </w:pPr>
      <w:r>
        <w:rPr>
          <w:rFonts w:hint="eastAsia"/>
        </w:rPr>
        <w:t>为进一步抓好巴楚县城市环境卫生，改善城市居民环境质量，推动巴楚县环卫管理事业向“作业专业化、经营企业化、服务社会化、管理规范化”的发展。巴楚县住房和城乡建设局通过政府购买服务方式公开招投标，引进一家有管理经验和实力的环卫公司，对县城道路、工业园区道路及广场等进行清扫保洁，对公共设施的维护管理，解决现行环卫作业效果不高，人员密度不够、考核标准不严、队伍活力不足等突出问题。</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84" w:name="_Toc12126"/>
      <w:bookmarkStart w:id="85" w:name="_Toc2239"/>
      <w:bookmarkStart w:id="86" w:name="_Toc9492"/>
      <w:bookmarkStart w:id="87" w:name="_Toc27766"/>
      <w:bookmarkStart w:id="88" w:name="_Toc14717"/>
      <w:bookmarkStart w:id="89" w:name="_Toc8257"/>
      <w:r>
        <w:rPr>
          <w:rFonts w:hint="eastAsia" w:ascii="Times New Roman" w:hAnsi="Times New Roman" w:cs="Times New Roman" w:eastAsiaTheme="minorEastAsia"/>
          <w:b/>
          <w:bCs/>
          <w:kern w:val="2"/>
          <w:sz w:val="24"/>
          <w:szCs w:val="24"/>
          <w:lang w:val="en-US" w:eastAsia="zh-CN" w:bidi="ar-SA"/>
        </w:rPr>
        <w:t>（二）项目组织管理及实施情况</w:t>
      </w:r>
      <w:bookmarkEnd w:id="84"/>
      <w:bookmarkEnd w:id="85"/>
      <w:bookmarkEnd w:id="86"/>
      <w:bookmarkEnd w:id="87"/>
      <w:bookmarkEnd w:id="88"/>
      <w:bookmarkEnd w:id="89"/>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1.项目概况</w:t>
      </w:r>
    </w:p>
    <w:p>
      <w:pPr>
        <w:pageBreakBefore w:val="0"/>
        <w:kinsoku/>
        <w:wordWrap/>
        <w:overflowPunct/>
        <w:topLinePunct w:val="0"/>
        <w:autoSpaceDE/>
        <w:autoSpaceDN/>
        <w:bidi w:val="0"/>
        <w:spacing w:line="360" w:lineRule="exact"/>
        <w:ind w:firstLine="420"/>
      </w:pPr>
      <w:r>
        <w:t>项目名称：</w:t>
      </w:r>
      <w:r>
        <w:rPr>
          <w:rFonts w:hint="eastAsia"/>
        </w:rPr>
        <w:t>巴楚县住房和城乡建设局</w:t>
      </w:r>
      <w:r>
        <w:t>2023年度城区环卫市场化项目（以下简称“该项目”或“项目”）</w:t>
      </w:r>
    </w:p>
    <w:p>
      <w:pPr>
        <w:pageBreakBefore w:val="0"/>
        <w:kinsoku/>
        <w:wordWrap/>
        <w:overflowPunct/>
        <w:topLinePunct w:val="0"/>
        <w:autoSpaceDE/>
        <w:autoSpaceDN/>
        <w:bidi w:val="0"/>
        <w:spacing w:line="360" w:lineRule="exact"/>
        <w:ind w:firstLine="420"/>
      </w:pPr>
      <w:r>
        <w:t>项目实施单位：</w:t>
      </w:r>
      <w:r>
        <w:rPr>
          <w:rFonts w:hint="eastAsia"/>
        </w:rPr>
        <w:t>巴楚县住房和城乡建设局</w:t>
      </w:r>
    </w:p>
    <w:p>
      <w:pPr>
        <w:pageBreakBefore w:val="0"/>
        <w:kinsoku/>
        <w:wordWrap/>
        <w:overflowPunct/>
        <w:topLinePunct w:val="0"/>
        <w:autoSpaceDE/>
        <w:autoSpaceDN/>
        <w:bidi w:val="0"/>
        <w:spacing w:line="360" w:lineRule="exact"/>
        <w:ind w:firstLine="420"/>
        <w:rPr>
          <w:lang w:eastAsia="zh-Hans"/>
        </w:rPr>
      </w:pPr>
      <w:r>
        <w:rPr>
          <w:lang w:eastAsia="zh-Hans"/>
        </w:rPr>
        <w:t>项目</w:t>
      </w:r>
      <w:r>
        <w:rPr>
          <w:rFonts w:hint="eastAsia"/>
        </w:rPr>
        <w:t>实施方式</w:t>
      </w:r>
      <w:r>
        <w:rPr>
          <w:lang w:eastAsia="zh-Hans"/>
        </w:rPr>
        <w:t>：</w:t>
      </w:r>
      <w:r>
        <w:rPr>
          <w:rFonts w:hint="eastAsia"/>
        </w:rPr>
        <w:t>该项目为延续性项目。2021年通过政府购买服务方式公开招标确定石河子市瑞祥居物业服务有限公司为巴楚县城区环卫市场化运营企业，签订《巴楚县城区环卫市场化购买服务项目合同》，中标合同金额778.72万元/年。服务期限为3+3年，自2021年4月22</w:t>
      </w:r>
      <w:r>
        <w:rPr>
          <w:rFonts w:hint="eastAsia"/>
          <w:lang w:eastAsia="zh-CN"/>
        </w:rPr>
        <w:t>日至</w:t>
      </w:r>
      <w:r>
        <w:rPr>
          <w:rFonts w:hint="eastAsia"/>
        </w:rPr>
        <w:t>2024年4月21日止（三年期满后考核合格，双方可续约3年，最多续约2次）。</w:t>
      </w:r>
    </w:p>
    <w:p>
      <w:pPr>
        <w:pageBreakBefore w:val="0"/>
        <w:kinsoku/>
        <w:wordWrap/>
        <w:overflowPunct/>
        <w:topLinePunct w:val="0"/>
        <w:autoSpaceDE/>
        <w:autoSpaceDN/>
        <w:bidi w:val="0"/>
        <w:spacing w:line="360" w:lineRule="exact"/>
        <w:ind w:firstLine="420"/>
      </w:pPr>
      <w:r>
        <w:rPr>
          <w:rFonts w:hint="eastAsia"/>
        </w:rPr>
        <w:t>服务范围：</w:t>
      </w:r>
    </w:p>
    <w:p>
      <w:pPr>
        <w:pageBreakBefore w:val="0"/>
        <w:kinsoku/>
        <w:wordWrap/>
        <w:overflowPunct/>
        <w:topLinePunct w:val="0"/>
        <w:autoSpaceDE/>
        <w:autoSpaceDN/>
        <w:bidi w:val="0"/>
        <w:spacing w:line="360" w:lineRule="exact"/>
        <w:ind w:firstLine="420"/>
      </w:pPr>
      <w:r>
        <w:rPr>
          <w:rFonts w:hint="eastAsia"/>
        </w:rPr>
        <w:t>①城区道路保洁：城区内23条道路及工业园区道路和5个广场274</w:t>
      </w:r>
      <w:r>
        <w:rPr>
          <w:rFonts w:hint="eastAsia"/>
          <w:lang w:eastAsia="zh-CN"/>
        </w:rPr>
        <w:t>.1</w:t>
      </w:r>
      <w:r>
        <w:rPr>
          <w:rFonts w:hint="eastAsia"/>
        </w:rPr>
        <w:t>万平方米。主要道路及5个广场按保洁等级分为一级、二级。保洁内容主要是城区道路和公共广场、公园、绿化带、人行道等公共区域内的清扫保洁、洒水降尘、护栏清洗、果皮箱内垃圾收集、清洁工作（不包含城乡结合部的背街小巷）。</w:t>
      </w:r>
    </w:p>
    <w:p>
      <w:pPr>
        <w:pageBreakBefore w:val="0"/>
        <w:kinsoku/>
        <w:wordWrap/>
        <w:overflowPunct/>
        <w:topLinePunct w:val="0"/>
        <w:autoSpaceDE/>
        <w:autoSpaceDN/>
        <w:bidi w:val="0"/>
        <w:spacing w:line="360" w:lineRule="exact"/>
        <w:ind w:firstLine="420"/>
      </w:pPr>
      <w:r>
        <w:rPr>
          <w:rFonts w:hint="eastAsia"/>
        </w:rPr>
        <w:t>②城区垃圾清运日常管理：清运覆盖县城区道路、公共区域、广场公园、绿化带等保洁产生的所有垃圾进行收集清运（不包</w:t>
      </w:r>
      <w:r>
        <w:rPr>
          <w:rFonts w:hint="eastAsia"/>
          <w:lang w:eastAsia="zh-CN"/>
        </w:rPr>
        <w:t>括</w:t>
      </w:r>
      <w:r>
        <w:rPr>
          <w:rFonts w:hint="eastAsia"/>
        </w:rPr>
        <w:t>住宅小区内的垃圾清运），收集的垃圾清运到中转站及填埋场（不交纳垃圾处置费用）。</w:t>
      </w:r>
    </w:p>
    <w:p>
      <w:pPr>
        <w:pageBreakBefore w:val="0"/>
        <w:kinsoku/>
        <w:wordWrap/>
        <w:overflowPunct/>
        <w:topLinePunct w:val="0"/>
        <w:autoSpaceDE/>
        <w:autoSpaceDN/>
        <w:bidi w:val="0"/>
        <w:spacing w:line="360" w:lineRule="exact"/>
        <w:ind w:firstLine="420"/>
      </w:pPr>
      <w:r>
        <w:rPr>
          <w:rFonts w:hint="eastAsia"/>
        </w:rPr>
        <w:t>付款方式约定：项目实施单位按月支付合同款项，每月为64.89万元，环卫公司提前提供相关票据、绩效考核表办理相关结算手续。若因政策变动，如环卫工人社保提高或税收提高等原因，造成运营企业成本增加，则成本增加的部分，经政府确认以后，予以追加，并及时拨付给项目公司。</w:t>
      </w:r>
    </w:p>
    <w:p>
      <w:pPr>
        <w:pageBreakBefore w:val="0"/>
        <w:kinsoku/>
        <w:wordWrap/>
        <w:overflowPunct/>
        <w:topLinePunct w:val="0"/>
        <w:autoSpaceDE/>
        <w:autoSpaceDN/>
        <w:bidi w:val="0"/>
        <w:spacing w:line="360" w:lineRule="exact"/>
        <w:ind w:firstLine="420"/>
      </w:pPr>
      <w:r>
        <w:rPr>
          <w:rFonts w:hint="eastAsia"/>
        </w:rPr>
        <w:t>项目实施地点：巴楚县</w:t>
      </w:r>
    </w:p>
    <w:p>
      <w:pPr>
        <w:pageBreakBefore w:val="0"/>
        <w:kinsoku/>
        <w:wordWrap/>
        <w:overflowPunct/>
        <w:topLinePunct w:val="0"/>
        <w:autoSpaceDE/>
        <w:autoSpaceDN/>
        <w:bidi w:val="0"/>
        <w:spacing w:line="360" w:lineRule="exact"/>
        <w:ind w:firstLine="420"/>
        <w:rPr>
          <w:rFonts w:eastAsia="宋体"/>
        </w:rPr>
      </w:pPr>
      <w:bookmarkStart w:id="90" w:name="_Toc13687"/>
      <w:r>
        <w:rPr>
          <w:rFonts w:hint="eastAsia" w:eastAsia="宋体"/>
        </w:rPr>
        <w:t>绩效评价</w:t>
      </w:r>
      <w:r>
        <w:rPr>
          <w:rFonts w:eastAsia="宋体"/>
        </w:rPr>
        <w:t>项目</w:t>
      </w:r>
      <w:r>
        <w:rPr>
          <w:rFonts w:hint="eastAsia" w:eastAsia="宋体"/>
        </w:rPr>
        <w:t>服务时间</w:t>
      </w:r>
      <w:r>
        <w:rPr>
          <w:rFonts w:eastAsia="宋体"/>
        </w:rPr>
        <w:t>：12个月，2023年1月</w:t>
      </w:r>
      <w:r>
        <w:rPr>
          <w:rFonts w:hint="eastAsia" w:eastAsia="宋体"/>
          <w:lang w:val="en-US" w:eastAsia="zh-CN"/>
        </w:rPr>
        <w:t>~</w:t>
      </w:r>
      <w:r>
        <w:rPr>
          <w:rFonts w:eastAsia="宋体"/>
        </w:rPr>
        <w:t>2023年12月</w:t>
      </w:r>
      <w:bookmarkEnd w:id="90"/>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91" w:name="_Toc3687"/>
      <w:r>
        <w:rPr>
          <w:rFonts w:hint="eastAsia" w:ascii="Times New Roman" w:hAnsi="Times New Roman" w:cs="Times New Roman" w:eastAsiaTheme="minorEastAsia"/>
          <w:b/>
          <w:bCs/>
          <w:kern w:val="2"/>
          <w:sz w:val="24"/>
          <w:szCs w:val="24"/>
          <w:lang w:val="en-US" w:eastAsia="zh-CN" w:bidi="ar-SA"/>
        </w:rPr>
        <w:t>2.项目组织机构及职责</w:t>
      </w:r>
    </w:p>
    <w:p>
      <w:pPr>
        <w:pageBreakBefore w:val="0"/>
        <w:kinsoku/>
        <w:wordWrap/>
        <w:overflowPunct/>
        <w:topLinePunct w:val="0"/>
        <w:autoSpaceDE/>
        <w:autoSpaceDN/>
        <w:bidi w:val="0"/>
        <w:spacing w:line="360" w:lineRule="exact"/>
        <w:ind w:firstLine="420"/>
      </w:pPr>
      <w:r>
        <w:rPr>
          <w:rFonts w:hint="eastAsia"/>
        </w:rPr>
        <w:t>项目主管单位：巴楚县住房和城乡建设局，</w:t>
      </w:r>
      <w:r>
        <w:rPr>
          <w:rFonts w:hint="eastAsia"/>
          <w:lang w:val="en-US" w:eastAsia="zh-CN"/>
        </w:rPr>
        <w:t>成立项目领导小组，由于浩</w:t>
      </w:r>
      <w:r>
        <w:rPr>
          <w:rFonts w:hint="eastAsia"/>
        </w:rPr>
        <w:t>负责项目</w:t>
      </w:r>
      <w:r>
        <w:rPr>
          <w:rFonts w:hint="eastAsia"/>
          <w:lang w:val="en-US" w:eastAsia="zh-CN"/>
        </w:rPr>
        <w:t>全面组织管理，哈丽旦·热合负项目</w:t>
      </w:r>
      <w:r>
        <w:rPr>
          <w:rFonts w:hint="eastAsia"/>
        </w:rPr>
        <w:t>监督</w:t>
      </w:r>
      <w:r>
        <w:rPr>
          <w:rFonts w:hint="eastAsia"/>
          <w:lang w:val="en-US" w:eastAsia="zh-CN"/>
        </w:rPr>
        <w:t>监管</w:t>
      </w:r>
      <w:r>
        <w:rPr>
          <w:rFonts w:hint="eastAsia"/>
        </w:rPr>
        <w:t>。</w:t>
      </w:r>
      <w:r>
        <w:rPr>
          <w:rFonts w:hint="eastAsia"/>
          <w:lang w:val="en-US" w:eastAsia="zh-CN"/>
        </w:rPr>
        <w:t>项目领导小组</w:t>
      </w:r>
      <w:r>
        <w:rPr>
          <w:rFonts w:hint="eastAsia"/>
        </w:rPr>
        <w:t>负责对环卫公司每月工作情况进行考核，作为经费核拨的依据，按照合同约定及时协助环卫公司做好运营服务费的拨付；监督环卫公司做好相关生产、生活、工作及人员招聘等相关事宜；协助环卫公司加强沿街门店</w:t>
      </w:r>
      <w:r>
        <w:rPr>
          <w:rFonts w:hint="eastAsia"/>
          <w:lang w:eastAsia="zh-CN"/>
        </w:rPr>
        <w:t>、</w:t>
      </w:r>
      <w:r>
        <w:rPr>
          <w:rFonts w:hint="eastAsia"/>
        </w:rPr>
        <w:t>公共区域的管理工作；协助提供固定的办公及车辆停放场所；协调洒水车、洗扫车等工程车免费用水等。</w:t>
      </w:r>
    </w:p>
    <w:p>
      <w:pPr>
        <w:pageBreakBefore w:val="0"/>
        <w:kinsoku/>
        <w:wordWrap/>
        <w:overflowPunct/>
        <w:topLinePunct w:val="0"/>
        <w:autoSpaceDE/>
        <w:autoSpaceDN/>
        <w:bidi w:val="0"/>
        <w:spacing w:line="360" w:lineRule="exact"/>
        <w:ind w:firstLine="420"/>
      </w:pPr>
      <w:r>
        <w:rPr>
          <w:rFonts w:hint="eastAsia"/>
        </w:rPr>
        <w:t>环卫公司：石河子市瑞祥居物业服务有限公司（</w:t>
      </w:r>
      <w:r>
        <w:rPr>
          <w:rFonts w:hint="eastAsia"/>
          <w:lang w:val="en-US" w:eastAsia="zh-CN"/>
        </w:rPr>
        <w:t>已更名为：</w:t>
      </w:r>
      <w:r>
        <w:rPr>
          <w:rFonts w:hint="eastAsia"/>
        </w:rPr>
        <w:t>新疆瑞祥居环保科技有限公司巴楚分公司）</w:t>
      </w:r>
      <w:r>
        <w:rPr>
          <w:rFonts w:hint="eastAsia"/>
          <w:lang w:eastAsia="zh-CN"/>
        </w:rPr>
        <w:t>，</w:t>
      </w:r>
      <w:r>
        <w:rPr>
          <w:rFonts w:hint="eastAsia"/>
          <w:lang w:val="en-US" w:eastAsia="zh-CN"/>
        </w:rPr>
        <w:t>位于</w:t>
      </w:r>
      <w:r>
        <w:rPr>
          <w:rFonts w:hint="eastAsia"/>
          <w:lang w:eastAsia="zh-CN"/>
        </w:rPr>
        <w:t>新疆喀什地区巴楚县世纪大道4号，2021年4月27日</w:t>
      </w:r>
      <w:r>
        <w:rPr>
          <w:rFonts w:hint="eastAsia"/>
          <w:lang w:val="en-US" w:eastAsia="zh-CN"/>
        </w:rPr>
        <w:t>注册成立，营业执照号码：91653130MA796XAQ76</w:t>
      </w:r>
      <w:r>
        <w:rPr>
          <w:rFonts w:hint="eastAsia"/>
          <w:lang w:eastAsia="zh-CN"/>
        </w:rPr>
        <w:t>。</w:t>
      </w:r>
      <w:r>
        <w:rPr>
          <w:rFonts w:hint="eastAsia"/>
        </w:rPr>
        <w:t>环卫公司</w:t>
      </w:r>
      <w:r>
        <w:rPr>
          <w:rFonts w:hint="eastAsia"/>
          <w:lang w:val="en-US" w:eastAsia="zh-CN"/>
        </w:rPr>
        <w:t>需</w:t>
      </w:r>
      <w:r>
        <w:rPr>
          <w:rFonts w:hint="eastAsia"/>
        </w:rPr>
        <w:t>根据合同约定按时按质完成巴楚县道路、广场清扫保洁工作及公共设施维护、垃圾清运等工作；自行采购相关机械，加大机械化清扫力度；按照要求完成152名环卫人员的工资、社保、保险、福利等发放；做好环卫人员上岗培训、用具发放、考核管理等工作；自觉接受项目主管单位的监管和日常检查，根据需要提供相关资料，积极参加项目主管单位通知环卫作业会议，通报作业情况，完善作业措施等。</w:t>
      </w:r>
    </w:p>
    <w:p>
      <w:pPr>
        <w:pageBreakBefore w:val="0"/>
        <w:kinsoku/>
        <w:wordWrap/>
        <w:overflowPunct/>
        <w:topLinePunct w:val="0"/>
        <w:autoSpaceDE/>
        <w:autoSpaceDN/>
        <w:bidi w:val="0"/>
        <w:spacing w:line="360" w:lineRule="exact"/>
        <w:ind w:firstLine="420"/>
      </w:pPr>
      <w:r>
        <w:rPr>
          <w:rFonts w:hint="eastAsia"/>
        </w:rPr>
        <w:t>项目资金监管单位：</w:t>
      </w:r>
      <w:r>
        <w:t>巴楚县财政局，负责资金的审核、审批与拨付</w:t>
      </w:r>
      <w:r>
        <w:rPr>
          <w:rFonts w:hint="eastAsia"/>
        </w:rPr>
        <w:t>。</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3.项目完成服务内容及绩效考核情况</w:t>
      </w:r>
    </w:p>
    <w:p>
      <w:pPr>
        <w:pageBreakBefore w:val="0"/>
        <w:kinsoku/>
        <w:wordWrap/>
        <w:overflowPunct/>
        <w:topLinePunct w:val="0"/>
        <w:autoSpaceDE/>
        <w:autoSpaceDN/>
        <w:bidi w:val="0"/>
        <w:spacing w:line="360" w:lineRule="exact"/>
        <w:ind w:firstLine="420"/>
      </w:pPr>
      <w:r>
        <w:rPr>
          <w:rFonts w:hint="eastAsia"/>
        </w:rPr>
        <w:t>根据</w:t>
      </w:r>
      <w:r>
        <w:rPr>
          <w:rFonts w:hint="eastAsia"/>
          <w:lang w:val="en-US" w:eastAsia="zh-CN"/>
        </w:rPr>
        <w:t>项目实施单位</w:t>
      </w:r>
      <w:r>
        <w:rPr>
          <w:rFonts w:hint="eastAsia"/>
        </w:rPr>
        <w:t>提供的</w:t>
      </w:r>
      <w:r>
        <w:rPr>
          <w:rFonts w:hint="eastAsia"/>
          <w:lang w:val="en-US" w:eastAsia="zh-CN"/>
        </w:rPr>
        <w:t>企业票据、作业考核资料及统计数据</w:t>
      </w:r>
      <w:r>
        <w:rPr>
          <w:rFonts w:hint="eastAsia"/>
        </w:rPr>
        <w:t>，2023年，环卫公司平均每月投入参与环卫服务工作人员146人，完成巴楚县23条道路及工业园区道路和6个公园的清扫保洁及公共设施的维护管理工作，平均日产清运垃圾18.83吨。其中，巴楚县2023年新建公园一个纳入清扫作业范围，双方协商未对项目运营费用进行调整。环卫公司于2021年投资342</w:t>
      </w:r>
      <w:r>
        <w:rPr>
          <w:rFonts w:hint="eastAsia"/>
          <w:lang w:eastAsia="zh-CN"/>
        </w:rPr>
        <w:t>.3</w:t>
      </w:r>
      <w:r>
        <w:rPr>
          <w:rFonts w:hint="eastAsia"/>
        </w:rPr>
        <w:t>万元，购置</w:t>
      </w:r>
      <w:r>
        <w:rPr>
          <w:rFonts w:hint="eastAsia"/>
          <w:lang w:val="en-US" w:eastAsia="zh-CN"/>
        </w:rPr>
        <w:t>240个垃圾桶、</w:t>
      </w:r>
      <w:r>
        <w:rPr>
          <w:rFonts w:hint="eastAsia"/>
        </w:rPr>
        <w:t>2辆洗扫车、3辆垃圾压缩车、1辆餐厨垃圾车、1辆多功能抑尘车、2辆洒水车，主要用于巴楚县一级道路、二级道路清扫。根据</w:t>
      </w:r>
      <w:r>
        <w:rPr>
          <w:rFonts w:hint="eastAsia"/>
          <w:lang w:eastAsia="zh-CN"/>
        </w:rPr>
        <w:t>巴楚县住房和城乡建设局</w:t>
      </w:r>
      <w:r>
        <w:rPr>
          <w:rFonts w:hint="eastAsia"/>
        </w:rPr>
        <w:t>提供统计数据，巴楚县机械化作业统计面积达到200万平方米，机械化清扫率达到85%。</w:t>
      </w:r>
    </w:p>
    <w:p>
      <w:pPr>
        <w:pageBreakBefore w:val="0"/>
        <w:kinsoku/>
        <w:wordWrap/>
        <w:overflowPunct/>
        <w:topLinePunct w:val="0"/>
        <w:autoSpaceDE/>
        <w:autoSpaceDN/>
        <w:bidi w:val="0"/>
        <w:spacing w:line="360" w:lineRule="exact"/>
        <w:ind w:firstLine="420"/>
        <w:rPr>
          <w:rFonts w:hint="eastAsia"/>
          <w:lang w:val="en-US" w:eastAsia="zh-CN"/>
        </w:rPr>
      </w:pPr>
      <w:r>
        <w:rPr>
          <w:rFonts w:hint="eastAsia"/>
        </w:rPr>
        <w:t>巴楚县住房和城乡建设局成立了项目领导小组，每月底由项目负责人随机抽查作业区域开展作业质量</w:t>
      </w:r>
      <w:r>
        <w:rPr>
          <w:rFonts w:hint="eastAsia"/>
          <w:lang w:val="en-US" w:eastAsia="zh-CN"/>
        </w:rPr>
        <w:t>绩效</w:t>
      </w:r>
      <w:r>
        <w:rPr>
          <w:rFonts w:hint="eastAsia"/>
        </w:rPr>
        <w:t>考核</w:t>
      </w:r>
      <w:r>
        <w:rPr>
          <w:rFonts w:hint="eastAsia"/>
          <w:lang w:eastAsia="zh-CN"/>
        </w:rPr>
        <w:t>，</w:t>
      </w:r>
      <w:r>
        <w:rPr>
          <w:rFonts w:hint="eastAsia"/>
          <w:lang w:val="en-US" w:eastAsia="zh-CN"/>
        </w:rPr>
        <w:t>绩效考核结果作为经费核拨的依据，考核连续三次不达标的情况下，可单方面解除合同，并且不对环卫公司承担任何责任，所造成的损失由环卫公司承担。</w:t>
      </w:r>
    </w:p>
    <w:p>
      <w:pPr>
        <w:pageBreakBefore w:val="0"/>
        <w:kinsoku/>
        <w:wordWrap/>
        <w:overflowPunct/>
        <w:topLinePunct w:val="0"/>
        <w:autoSpaceDE/>
        <w:autoSpaceDN/>
        <w:bidi w:val="0"/>
        <w:spacing w:line="360" w:lineRule="exact"/>
        <w:ind w:firstLine="420"/>
        <w:rPr>
          <w:rFonts w:hint="eastAsia"/>
          <w:lang w:eastAsia="zh-CN"/>
        </w:rPr>
      </w:pPr>
      <w:r>
        <w:rPr>
          <w:rFonts w:hint="eastAsia"/>
          <w:lang w:val="en-US" w:eastAsia="zh-CN"/>
        </w:rPr>
        <w:t>根据合同约定作业内容，结合</w:t>
      </w:r>
      <w:r>
        <w:rPr>
          <w:rFonts w:hint="eastAsia"/>
        </w:rPr>
        <w:t>《巴楚县城区保洁作业标准及考核标准》和《巴楚县环境卫生作业质量标准》</w:t>
      </w:r>
      <w:r>
        <w:rPr>
          <w:rFonts w:hint="eastAsia"/>
          <w:lang w:val="en-US" w:eastAsia="zh-CN"/>
        </w:rPr>
        <w:t>，</w:t>
      </w:r>
      <w:r>
        <w:rPr>
          <w:rFonts w:hint="eastAsia"/>
        </w:rPr>
        <w:t>巴楚县住房和城乡建设局</w:t>
      </w:r>
      <w:r>
        <w:rPr>
          <w:rFonts w:hint="eastAsia"/>
          <w:lang w:val="en-US" w:eastAsia="zh-CN"/>
        </w:rPr>
        <w:t>针对作业现场机械及人员落实情况、是否统一着装、道路干净程度、垃圾是否及时收集及清运、垃圾箱清掏及周围卫生是否达标、沿街广告是否及时清理、群众是否投诉等方面进行全面考核（具体绩效考核标准及内容见：基础表2：“城区道路清扫保洁及垃圾清运项目考核表”），</w:t>
      </w:r>
      <w:r>
        <w:rPr>
          <w:rFonts w:hint="eastAsia"/>
        </w:rPr>
        <w:t>现场审核打分出具《城区道路清扫保洁及垃圾清运项目考核表》</w:t>
      </w:r>
      <w:r>
        <w:rPr>
          <w:rFonts w:hint="eastAsia"/>
          <w:lang w:eastAsia="zh-CN"/>
        </w:rPr>
        <w:t>。</w:t>
      </w:r>
    </w:p>
    <w:p>
      <w:pPr>
        <w:pageBreakBefore w:val="0"/>
        <w:kinsoku/>
        <w:wordWrap/>
        <w:overflowPunct/>
        <w:topLinePunct w:val="0"/>
        <w:autoSpaceDE/>
        <w:autoSpaceDN/>
        <w:bidi w:val="0"/>
        <w:spacing w:line="360" w:lineRule="exact"/>
        <w:ind w:firstLine="420"/>
        <w:rPr>
          <w:rFonts w:hint="eastAsia"/>
        </w:rPr>
      </w:pPr>
      <w:r>
        <w:rPr>
          <w:rFonts w:hint="eastAsia"/>
          <w:lang w:val="en-US" w:eastAsia="zh-CN"/>
        </w:rPr>
        <w:t>合同约定：从每月拨款额中抽取1%作为考核奖金，月平均分数大于等于90分为优秀，全部返还奖惩金；月平均分数在80~90分（含80分）为合格，拨付当月奖惩金的80%；月平均分数在80分以下为不合格，扣除当月奖惩金。经核查环卫公司2023年1~12月《城区道路清扫保洁及垃圾清运项目考核表》，</w:t>
      </w:r>
      <w:r>
        <w:rPr>
          <w:rFonts w:hint="eastAsia"/>
        </w:rPr>
        <w:t>2023年度城区日常月度工作考核成绩均在90分以上</w:t>
      </w:r>
      <w:r>
        <w:rPr>
          <w:rFonts w:hint="eastAsia"/>
          <w:lang w:eastAsia="zh-CN"/>
        </w:rPr>
        <w:t>，</w:t>
      </w:r>
      <w:r>
        <w:rPr>
          <w:rFonts w:hint="eastAsia"/>
          <w:lang w:val="en-US" w:eastAsia="zh-CN"/>
        </w:rPr>
        <w:t>均为优秀</w:t>
      </w:r>
      <w:r>
        <w:rPr>
          <w:rFonts w:hint="eastAsia"/>
        </w:rPr>
        <w:t>。巴楚县住房和城乡建设局按照</w:t>
      </w:r>
      <w:r>
        <w:rPr>
          <w:rFonts w:hint="eastAsia"/>
          <w:lang w:val="en-US" w:eastAsia="zh-CN"/>
        </w:rPr>
        <w:t>绩效</w:t>
      </w:r>
      <w:r>
        <w:rPr>
          <w:rFonts w:hint="eastAsia"/>
        </w:rPr>
        <w:t>考核结果向环卫公司</w:t>
      </w:r>
      <w:r>
        <w:rPr>
          <w:rFonts w:hint="eastAsia"/>
          <w:lang w:val="en-US" w:eastAsia="zh-CN"/>
        </w:rPr>
        <w:t>足额拨付月均运营经费，</w:t>
      </w:r>
      <w:r>
        <w:rPr>
          <w:rFonts w:hint="eastAsia"/>
        </w:rPr>
        <w:t>每2个月支付一次服务费用。</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92" w:name="_Toc27439"/>
      <w:bookmarkStart w:id="93" w:name="_Toc5354"/>
      <w:bookmarkStart w:id="94" w:name="_Toc9551"/>
      <w:bookmarkStart w:id="95" w:name="_Toc13840"/>
      <w:bookmarkStart w:id="96" w:name="_Toc18365"/>
      <w:bookmarkStart w:id="97" w:name="_Toc26433"/>
      <w:r>
        <w:rPr>
          <w:rFonts w:hint="eastAsia" w:ascii="Times New Roman" w:hAnsi="Times New Roman" w:cs="Times New Roman" w:eastAsiaTheme="minorEastAsia"/>
          <w:b/>
          <w:bCs/>
          <w:kern w:val="2"/>
          <w:sz w:val="24"/>
          <w:szCs w:val="24"/>
          <w:lang w:val="en-US" w:eastAsia="zh-CN" w:bidi="ar-SA"/>
        </w:rPr>
        <w:t>（三）资金投入和使用情况</w:t>
      </w:r>
      <w:bookmarkEnd w:id="91"/>
      <w:bookmarkEnd w:id="92"/>
      <w:bookmarkEnd w:id="93"/>
      <w:bookmarkEnd w:id="94"/>
      <w:bookmarkEnd w:id="95"/>
      <w:bookmarkEnd w:id="96"/>
      <w:bookmarkEnd w:id="97"/>
    </w:p>
    <w:p>
      <w:pPr>
        <w:pageBreakBefore w:val="0"/>
        <w:kinsoku/>
        <w:wordWrap/>
        <w:overflowPunct/>
        <w:topLinePunct w:val="0"/>
        <w:autoSpaceDE/>
        <w:autoSpaceDN/>
        <w:bidi w:val="0"/>
        <w:spacing w:line="360" w:lineRule="exact"/>
        <w:ind w:firstLine="420"/>
      </w:pPr>
      <w:r>
        <w:rPr>
          <w:rFonts w:hint="eastAsia"/>
        </w:rPr>
        <w:t>2023年度项目服务费用预算</w:t>
      </w:r>
      <w:r>
        <w:rPr>
          <w:rFonts w:eastAsia="宋体"/>
          <w:kern w:val="0"/>
          <w:lang w:bidi="ar"/>
        </w:rPr>
        <w:t>778.72</w:t>
      </w:r>
      <w:r>
        <w:t>万元</w:t>
      </w:r>
      <w:r>
        <w:rPr>
          <w:rFonts w:hint="eastAsia"/>
        </w:rPr>
        <w:t>，资金来源为县级财政资金</w:t>
      </w:r>
      <w:r>
        <w:t>。</w:t>
      </w:r>
      <w:r>
        <w:rPr>
          <w:rFonts w:hint="eastAsia"/>
        </w:rPr>
        <w:t>项目2023年度</w:t>
      </w:r>
      <w:r>
        <w:t>实际到位资金</w:t>
      </w:r>
      <w:r>
        <w:rPr>
          <w:rFonts w:eastAsia="宋体"/>
          <w:kern w:val="0"/>
          <w:lang w:bidi="ar"/>
        </w:rPr>
        <w:t>778.72</w:t>
      </w:r>
      <w:r>
        <w:t>万元，资金到位率为100%</w:t>
      </w:r>
      <w:r>
        <w:rPr>
          <w:rFonts w:hint="eastAsia"/>
        </w:rPr>
        <w:t>；</w:t>
      </w:r>
      <w:r>
        <w:t>项目实际支出资金总额为</w:t>
      </w:r>
      <w:r>
        <w:rPr>
          <w:rFonts w:eastAsia="宋体"/>
          <w:kern w:val="0"/>
          <w:lang w:bidi="ar"/>
        </w:rPr>
        <w:t>778.72</w:t>
      </w:r>
      <w:r>
        <w:t>万元，预算资金执行率为</w:t>
      </w:r>
      <w:r>
        <w:rPr>
          <w:rFonts w:hint="eastAsia"/>
        </w:rPr>
        <w:t>100</w:t>
      </w:r>
      <w:r>
        <w:t>%。项目资金主要用于支付</w:t>
      </w:r>
      <w:r>
        <w:rPr>
          <w:rFonts w:hint="eastAsia"/>
        </w:rPr>
        <w:t>环卫市场化项目2023年1</w:t>
      </w:r>
      <w:r>
        <w:rPr>
          <w:rFonts w:hint="eastAsia"/>
          <w:lang w:val="en-US" w:eastAsia="zh-CN"/>
        </w:rPr>
        <w:t>~</w:t>
      </w:r>
      <w:r>
        <w:rPr>
          <w:rFonts w:hint="eastAsia"/>
        </w:rPr>
        <w:t>12月运营费用，</w:t>
      </w:r>
      <w:r>
        <w:t>详细资金支出明细见</w:t>
      </w:r>
      <w:r>
        <w:rPr>
          <w:rFonts w:hint="eastAsia"/>
        </w:rPr>
        <w:t>下表</w:t>
      </w:r>
      <w:r>
        <w:rPr>
          <w:rFonts w:hint="eastAsia"/>
          <w:lang w:eastAsia="zh-CN"/>
        </w:rPr>
        <w:t>。</w:t>
      </w:r>
    </w:p>
    <w:p>
      <w:pPr>
        <w:pStyle w:val="7"/>
        <w:pageBreakBefore w:val="0"/>
        <w:kinsoku/>
        <w:wordWrap/>
        <w:overflowPunct/>
        <w:topLinePunct w:val="0"/>
        <w:autoSpaceDE/>
        <w:autoSpaceDN/>
        <w:bidi w:val="0"/>
        <w:spacing w:line="360" w:lineRule="exact"/>
        <w:ind w:firstLine="422"/>
        <w:jc w:val="center"/>
        <w:rPr>
          <w:rFonts w:ascii="宋体" w:hAnsi="宋体" w:eastAsia="宋体" w:cs="宋体"/>
          <w:b/>
          <w:bCs/>
          <w:sz w:val="21"/>
          <w:szCs w:val="22"/>
        </w:rPr>
      </w:pPr>
      <w:r>
        <w:rPr>
          <w:rFonts w:hint="eastAsia" w:ascii="宋体" w:hAnsi="宋体" w:eastAsia="宋体" w:cs="宋体"/>
          <w:b/>
          <w:bCs/>
          <w:sz w:val="21"/>
          <w:szCs w:val="22"/>
        </w:rPr>
        <w:t>表</w:t>
      </w:r>
      <w:r>
        <w:rPr>
          <w:rFonts w:hint="eastAsia" w:ascii="宋体" w:hAnsi="宋体" w:eastAsia="宋体" w:cs="宋体"/>
          <w:b/>
          <w:bCs/>
          <w:sz w:val="21"/>
          <w:szCs w:val="22"/>
        </w:rPr>
        <w:fldChar w:fldCharType="begin"/>
      </w:r>
      <w:r>
        <w:rPr>
          <w:rFonts w:hint="eastAsia" w:ascii="宋体" w:hAnsi="宋体" w:eastAsia="宋体" w:cs="宋体"/>
          <w:b/>
          <w:bCs/>
          <w:sz w:val="21"/>
          <w:szCs w:val="22"/>
        </w:rPr>
        <w:instrText xml:space="preserve"> SEQ 表 \* ARABIC </w:instrText>
      </w:r>
      <w:r>
        <w:rPr>
          <w:rFonts w:hint="eastAsia" w:ascii="宋体" w:hAnsi="宋体" w:eastAsia="宋体" w:cs="宋体"/>
          <w:b/>
          <w:bCs/>
          <w:sz w:val="21"/>
          <w:szCs w:val="22"/>
        </w:rPr>
        <w:fldChar w:fldCharType="separate"/>
      </w:r>
      <w:r>
        <w:rPr>
          <w:rFonts w:hint="eastAsia" w:ascii="宋体" w:hAnsi="宋体" w:eastAsia="宋体" w:cs="宋体"/>
          <w:b/>
          <w:bCs/>
          <w:sz w:val="21"/>
          <w:szCs w:val="22"/>
        </w:rPr>
        <w:t>2</w:t>
      </w:r>
      <w:r>
        <w:rPr>
          <w:rFonts w:hint="eastAsia" w:ascii="宋体" w:hAnsi="宋体" w:eastAsia="宋体" w:cs="宋体"/>
          <w:b/>
          <w:bCs/>
          <w:sz w:val="21"/>
          <w:szCs w:val="22"/>
        </w:rPr>
        <w:fldChar w:fldCharType="end"/>
      </w:r>
      <w:r>
        <w:rPr>
          <w:rFonts w:hint="eastAsia" w:ascii="宋体" w:hAnsi="宋体" w:eastAsia="宋体" w:cs="宋体"/>
          <w:b/>
          <w:bCs/>
          <w:sz w:val="21"/>
          <w:szCs w:val="22"/>
        </w:rPr>
        <w:t>-1：巴楚县住房和城乡建设局2023年度城区环卫市场化项目资金支付明细表</w:t>
      </w:r>
    </w:p>
    <w:p>
      <w:pPr>
        <w:pageBreakBefore w:val="0"/>
        <w:kinsoku/>
        <w:wordWrap/>
        <w:overflowPunct/>
        <w:topLinePunct w:val="0"/>
        <w:autoSpaceDE/>
        <w:autoSpaceDN/>
        <w:bidi w:val="0"/>
        <w:spacing w:line="360" w:lineRule="exact"/>
        <w:ind w:firstLine="420"/>
        <w:jc w:val="right"/>
      </w:pPr>
      <w:r>
        <w:rPr>
          <w:rFonts w:hint="eastAsia"/>
        </w:rPr>
        <w:t>单位：万元</w:t>
      </w:r>
    </w:p>
    <w:tbl>
      <w:tblPr>
        <w:tblStyle w:val="19"/>
        <w:tblW w:w="8460" w:type="dxa"/>
        <w:tblInd w:w="96" w:type="dxa"/>
        <w:tblLayout w:type="fixed"/>
        <w:tblCellMar>
          <w:top w:w="0" w:type="dxa"/>
          <w:left w:w="108" w:type="dxa"/>
          <w:bottom w:w="0" w:type="dxa"/>
          <w:right w:w="108" w:type="dxa"/>
        </w:tblCellMar>
      </w:tblPr>
      <w:tblGrid>
        <w:gridCol w:w="863"/>
        <w:gridCol w:w="1157"/>
        <w:gridCol w:w="1144"/>
        <w:gridCol w:w="2000"/>
        <w:gridCol w:w="1022"/>
        <w:gridCol w:w="1063"/>
        <w:gridCol w:w="1211"/>
      </w:tblGrid>
      <w:tr>
        <w:tblPrEx>
          <w:tblCellMar>
            <w:top w:w="0" w:type="dxa"/>
            <w:left w:w="108" w:type="dxa"/>
            <w:bottom w:w="0" w:type="dxa"/>
            <w:right w:w="108" w:type="dxa"/>
          </w:tblCellMar>
        </w:tblPrEx>
        <w:trPr>
          <w:trHeight w:val="340" w:hRule="atLeast"/>
          <w:tblHeader/>
        </w:trPr>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作业月份</w:t>
            </w: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环卫人数（人）</w:t>
            </w:r>
          </w:p>
        </w:tc>
        <w:tc>
          <w:tcPr>
            <w:tcW w:w="114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质量考核分数</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绩效考核时间</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计划支付资金</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实际支付资金</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资金支付时间</w:t>
            </w:r>
          </w:p>
        </w:tc>
      </w:tr>
      <w:tr>
        <w:tblPrEx>
          <w:tblCellMar>
            <w:top w:w="0" w:type="dxa"/>
            <w:left w:w="108" w:type="dxa"/>
            <w:bottom w:w="0" w:type="dxa"/>
            <w:right w:w="108" w:type="dxa"/>
          </w:tblCellMar>
        </w:tblPrEx>
        <w:trPr>
          <w:trHeight w:val="340" w:hRule="atLeast"/>
        </w:trPr>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1月</w:t>
            </w: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146</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91</w:t>
            </w:r>
            <w:r>
              <w:rPr>
                <w:rFonts w:hint="eastAsia" w:eastAsia="宋体" w:cs="Times New Roman"/>
                <w:kern w:val="0"/>
                <w:lang w:eastAsia="zh-CN" w:bidi="ar"/>
              </w:rPr>
              <w:t>.7</w:t>
            </w:r>
            <w:r>
              <w:rPr>
                <w:rFonts w:hint="default" w:ascii="Times New Roman" w:hAnsi="Times New Roman" w:eastAsia="宋体" w:cs="Times New Roman"/>
                <w:kern w:val="0"/>
                <w:lang w:bidi="ar"/>
              </w:rPr>
              <w:t xml:space="preserve"> </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2023年1月30日</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2023年3月17日</w:t>
            </w:r>
          </w:p>
        </w:tc>
      </w:tr>
      <w:tr>
        <w:tblPrEx>
          <w:tblCellMar>
            <w:top w:w="0" w:type="dxa"/>
            <w:left w:w="108" w:type="dxa"/>
            <w:bottom w:w="0" w:type="dxa"/>
            <w:right w:w="108" w:type="dxa"/>
          </w:tblCellMar>
        </w:tblPrEx>
        <w:trPr>
          <w:trHeight w:val="340" w:hRule="atLeast"/>
        </w:trPr>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2月</w:t>
            </w: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149</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91</w:t>
            </w:r>
            <w:r>
              <w:rPr>
                <w:rFonts w:hint="eastAsia" w:eastAsia="宋体" w:cs="Times New Roman"/>
                <w:kern w:val="0"/>
                <w:lang w:eastAsia="zh-CN" w:bidi="ar"/>
              </w:rPr>
              <w:t>.7</w:t>
            </w:r>
            <w:r>
              <w:rPr>
                <w:rFonts w:hint="default" w:ascii="Times New Roman" w:hAnsi="Times New Roman" w:eastAsia="宋体" w:cs="Times New Roman"/>
                <w:kern w:val="0"/>
                <w:lang w:bidi="ar"/>
              </w:rPr>
              <w:t xml:space="preserve"> </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2023年2月27日</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spacing w:line="360" w:lineRule="exact"/>
              <w:ind w:firstLine="420"/>
              <w:jc w:val="center"/>
              <w:rPr>
                <w:rFonts w:ascii="Times New Roman" w:hAnsi="Times New Roman" w:eastAsia="宋体" w:cs="Times New Roman"/>
              </w:rPr>
            </w:pPr>
          </w:p>
        </w:tc>
      </w:tr>
      <w:tr>
        <w:tblPrEx>
          <w:tblCellMar>
            <w:top w:w="0" w:type="dxa"/>
            <w:left w:w="108" w:type="dxa"/>
            <w:bottom w:w="0" w:type="dxa"/>
            <w:right w:w="108" w:type="dxa"/>
          </w:tblCellMar>
        </w:tblPrEx>
        <w:trPr>
          <w:trHeight w:val="340" w:hRule="atLeast"/>
        </w:trPr>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3月</w:t>
            </w: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155</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91</w:t>
            </w:r>
            <w:r>
              <w:rPr>
                <w:rFonts w:hint="eastAsia" w:eastAsia="宋体" w:cs="Times New Roman"/>
                <w:kern w:val="0"/>
                <w:lang w:eastAsia="zh-CN" w:bidi="ar"/>
              </w:rPr>
              <w:t>.2</w:t>
            </w:r>
            <w:r>
              <w:rPr>
                <w:rFonts w:hint="default" w:ascii="Times New Roman" w:hAnsi="Times New Roman" w:eastAsia="宋体" w:cs="Times New Roman"/>
                <w:kern w:val="0"/>
                <w:lang w:bidi="ar"/>
              </w:rPr>
              <w:t xml:space="preserve"> </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2023年3月22日</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2023年5月10日</w:t>
            </w:r>
          </w:p>
        </w:tc>
      </w:tr>
      <w:tr>
        <w:tblPrEx>
          <w:tblCellMar>
            <w:top w:w="0" w:type="dxa"/>
            <w:left w:w="108" w:type="dxa"/>
            <w:bottom w:w="0" w:type="dxa"/>
            <w:right w:w="108" w:type="dxa"/>
          </w:tblCellMar>
        </w:tblPrEx>
        <w:trPr>
          <w:trHeight w:val="340" w:hRule="atLeast"/>
        </w:trPr>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4月</w:t>
            </w: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149</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90</w:t>
            </w:r>
            <w:r>
              <w:rPr>
                <w:rFonts w:hint="eastAsia" w:eastAsia="宋体" w:cs="Times New Roman"/>
                <w:kern w:val="0"/>
                <w:lang w:eastAsia="zh-CN" w:bidi="ar"/>
              </w:rPr>
              <w:t>.6</w:t>
            </w:r>
            <w:r>
              <w:rPr>
                <w:rFonts w:hint="default" w:ascii="Times New Roman" w:hAnsi="Times New Roman" w:eastAsia="宋体" w:cs="Times New Roman"/>
                <w:kern w:val="0"/>
                <w:lang w:bidi="ar"/>
              </w:rPr>
              <w:t xml:space="preserve"> </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2023年4月22日</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spacing w:line="360" w:lineRule="exact"/>
              <w:ind w:firstLine="420"/>
              <w:jc w:val="center"/>
              <w:rPr>
                <w:rFonts w:ascii="Times New Roman" w:hAnsi="Times New Roman" w:eastAsia="宋体" w:cs="Times New Roman"/>
              </w:rPr>
            </w:pPr>
          </w:p>
        </w:tc>
      </w:tr>
      <w:tr>
        <w:tblPrEx>
          <w:tblCellMar>
            <w:top w:w="0" w:type="dxa"/>
            <w:left w:w="108" w:type="dxa"/>
            <w:bottom w:w="0" w:type="dxa"/>
            <w:right w:w="108" w:type="dxa"/>
          </w:tblCellMar>
        </w:tblPrEx>
        <w:trPr>
          <w:trHeight w:val="340" w:hRule="atLeast"/>
        </w:trPr>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5月</w:t>
            </w: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150</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90</w:t>
            </w:r>
            <w:r>
              <w:rPr>
                <w:rFonts w:hint="eastAsia" w:eastAsia="宋体" w:cs="Times New Roman"/>
                <w:kern w:val="0"/>
                <w:lang w:eastAsia="zh-CN" w:bidi="ar"/>
              </w:rPr>
              <w:t>.6</w:t>
            </w:r>
            <w:r>
              <w:rPr>
                <w:rFonts w:hint="default" w:ascii="Times New Roman" w:hAnsi="Times New Roman" w:eastAsia="宋体" w:cs="Times New Roman"/>
                <w:kern w:val="0"/>
                <w:lang w:bidi="ar"/>
              </w:rPr>
              <w:t xml:space="preserve"> </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2023年5月25日</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2023年6月12日</w:t>
            </w:r>
          </w:p>
        </w:tc>
      </w:tr>
      <w:tr>
        <w:tblPrEx>
          <w:tblCellMar>
            <w:top w:w="0" w:type="dxa"/>
            <w:left w:w="108" w:type="dxa"/>
            <w:bottom w:w="0" w:type="dxa"/>
            <w:right w:w="108" w:type="dxa"/>
          </w:tblCellMar>
        </w:tblPrEx>
        <w:trPr>
          <w:trHeight w:val="340" w:hRule="atLeast"/>
        </w:trPr>
        <w:tc>
          <w:tcPr>
            <w:tcW w:w="8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6月</w:t>
            </w:r>
          </w:p>
        </w:tc>
        <w:tc>
          <w:tcPr>
            <w:tcW w:w="115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149</w:t>
            </w:r>
          </w:p>
        </w:tc>
        <w:tc>
          <w:tcPr>
            <w:tcW w:w="114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90</w:t>
            </w:r>
            <w:r>
              <w:rPr>
                <w:rFonts w:hint="eastAsia" w:eastAsia="宋体" w:cs="Times New Roman"/>
                <w:kern w:val="0"/>
                <w:lang w:eastAsia="zh-CN" w:bidi="ar"/>
              </w:rPr>
              <w:t>.9</w:t>
            </w:r>
            <w:r>
              <w:rPr>
                <w:rFonts w:hint="default" w:ascii="Times New Roman" w:hAnsi="Times New Roman" w:eastAsia="宋体" w:cs="Times New Roman"/>
                <w:kern w:val="0"/>
                <w:lang w:bidi="ar"/>
              </w:rPr>
              <w:t xml:space="preserve"> </w:t>
            </w:r>
          </w:p>
        </w:tc>
        <w:tc>
          <w:tcPr>
            <w:tcW w:w="200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2023年6月22日</w:t>
            </w:r>
          </w:p>
        </w:tc>
        <w:tc>
          <w:tcPr>
            <w:tcW w:w="102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spacing w:line="360" w:lineRule="exact"/>
              <w:ind w:firstLine="420"/>
              <w:jc w:val="center"/>
              <w:rPr>
                <w:rFonts w:ascii="Times New Roman" w:hAnsi="Times New Roman" w:eastAsia="宋体" w:cs="Times New Roman"/>
              </w:rPr>
            </w:pPr>
          </w:p>
        </w:tc>
      </w:tr>
      <w:tr>
        <w:tblPrEx>
          <w:tblCellMar>
            <w:top w:w="0" w:type="dxa"/>
            <w:left w:w="108" w:type="dxa"/>
            <w:bottom w:w="0" w:type="dxa"/>
            <w:right w:w="108" w:type="dxa"/>
          </w:tblCellMar>
        </w:tblPrEx>
        <w:trPr>
          <w:trHeight w:val="340" w:hRule="atLeast"/>
        </w:trPr>
        <w:tc>
          <w:tcPr>
            <w:tcW w:w="8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7月</w:t>
            </w:r>
          </w:p>
        </w:tc>
        <w:tc>
          <w:tcPr>
            <w:tcW w:w="115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151</w:t>
            </w:r>
          </w:p>
        </w:tc>
        <w:tc>
          <w:tcPr>
            <w:tcW w:w="114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91</w:t>
            </w:r>
            <w:r>
              <w:rPr>
                <w:rFonts w:hint="eastAsia" w:eastAsia="宋体" w:cs="Times New Roman"/>
                <w:kern w:val="0"/>
                <w:lang w:eastAsia="zh-CN" w:bidi="ar"/>
              </w:rPr>
              <w:t>.7</w:t>
            </w:r>
            <w:r>
              <w:rPr>
                <w:rFonts w:hint="default" w:ascii="Times New Roman" w:hAnsi="Times New Roman" w:eastAsia="宋体" w:cs="Times New Roman"/>
                <w:kern w:val="0"/>
                <w:lang w:bidi="ar"/>
              </w:rPr>
              <w:t xml:space="preserve"> </w:t>
            </w:r>
          </w:p>
        </w:tc>
        <w:tc>
          <w:tcPr>
            <w:tcW w:w="200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2023年7月28日</w:t>
            </w:r>
          </w:p>
        </w:tc>
        <w:tc>
          <w:tcPr>
            <w:tcW w:w="102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2023年11月7日</w:t>
            </w:r>
          </w:p>
        </w:tc>
      </w:tr>
      <w:tr>
        <w:tblPrEx>
          <w:tblCellMar>
            <w:top w:w="0" w:type="dxa"/>
            <w:left w:w="108" w:type="dxa"/>
            <w:bottom w:w="0" w:type="dxa"/>
            <w:right w:w="108" w:type="dxa"/>
          </w:tblCellMar>
        </w:tblPrEx>
        <w:trPr>
          <w:trHeight w:val="340" w:hRule="atLeast"/>
        </w:trPr>
        <w:tc>
          <w:tcPr>
            <w:tcW w:w="8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8月</w:t>
            </w:r>
          </w:p>
        </w:tc>
        <w:tc>
          <w:tcPr>
            <w:tcW w:w="115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148</w:t>
            </w:r>
          </w:p>
        </w:tc>
        <w:tc>
          <w:tcPr>
            <w:tcW w:w="114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91</w:t>
            </w:r>
            <w:r>
              <w:rPr>
                <w:rFonts w:hint="eastAsia" w:eastAsia="宋体" w:cs="Times New Roman"/>
                <w:kern w:val="0"/>
                <w:lang w:eastAsia="zh-CN" w:bidi="ar"/>
              </w:rPr>
              <w:t>.7</w:t>
            </w:r>
            <w:r>
              <w:rPr>
                <w:rFonts w:hint="default" w:ascii="Times New Roman" w:hAnsi="Times New Roman" w:eastAsia="宋体" w:cs="Times New Roman"/>
                <w:kern w:val="0"/>
                <w:lang w:bidi="ar"/>
              </w:rPr>
              <w:t xml:space="preserve"> </w:t>
            </w:r>
          </w:p>
        </w:tc>
        <w:tc>
          <w:tcPr>
            <w:tcW w:w="200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2023年8月28日</w:t>
            </w:r>
          </w:p>
        </w:tc>
        <w:tc>
          <w:tcPr>
            <w:tcW w:w="102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spacing w:line="360" w:lineRule="exact"/>
              <w:ind w:firstLine="420"/>
              <w:jc w:val="center"/>
              <w:rPr>
                <w:rFonts w:ascii="Times New Roman" w:hAnsi="Times New Roman" w:eastAsia="宋体" w:cs="Times New Roman"/>
              </w:rPr>
            </w:pPr>
          </w:p>
        </w:tc>
      </w:tr>
      <w:tr>
        <w:tblPrEx>
          <w:tblCellMar>
            <w:top w:w="0" w:type="dxa"/>
            <w:left w:w="108" w:type="dxa"/>
            <w:bottom w:w="0" w:type="dxa"/>
            <w:right w:w="108" w:type="dxa"/>
          </w:tblCellMar>
        </w:tblPrEx>
        <w:trPr>
          <w:trHeight w:val="340" w:hRule="atLeast"/>
        </w:trPr>
        <w:tc>
          <w:tcPr>
            <w:tcW w:w="8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9月</w:t>
            </w:r>
          </w:p>
        </w:tc>
        <w:tc>
          <w:tcPr>
            <w:tcW w:w="115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147</w:t>
            </w:r>
          </w:p>
        </w:tc>
        <w:tc>
          <w:tcPr>
            <w:tcW w:w="114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91</w:t>
            </w:r>
            <w:r>
              <w:rPr>
                <w:rFonts w:hint="eastAsia" w:eastAsia="宋体" w:cs="Times New Roman"/>
                <w:kern w:val="0"/>
                <w:lang w:eastAsia="zh-CN" w:bidi="ar"/>
              </w:rPr>
              <w:t>.7</w:t>
            </w:r>
            <w:r>
              <w:rPr>
                <w:rFonts w:hint="default" w:ascii="Times New Roman" w:hAnsi="Times New Roman" w:eastAsia="宋体" w:cs="Times New Roman"/>
                <w:kern w:val="0"/>
                <w:lang w:bidi="ar"/>
              </w:rPr>
              <w:t xml:space="preserve"> </w:t>
            </w:r>
          </w:p>
        </w:tc>
        <w:tc>
          <w:tcPr>
            <w:tcW w:w="200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2023年9月27日</w:t>
            </w:r>
          </w:p>
        </w:tc>
        <w:tc>
          <w:tcPr>
            <w:tcW w:w="102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2023年11月8日</w:t>
            </w:r>
          </w:p>
        </w:tc>
      </w:tr>
      <w:tr>
        <w:tblPrEx>
          <w:tblCellMar>
            <w:top w:w="0" w:type="dxa"/>
            <w:left w:w="108" w:type="dxa"/>
            <w:bottom w:w="0" w:type="dxa"/>
            <w:right w:w="108" w:type="dxa"/>
          </w:tblCellMar>
        </w:tblPrEx>
        <w:trPr>
          <w:trHeight w:val="340" w:hRule="atLeast"/>
        </w:trPr>
        <w:tc>
          <w:tcPr>
            <w:tcW w:w="8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10月</w:t>
            </w:r>
          </w:p>
        </w:tc>
        <w:tc>
          <w:tcPr>
            <w:tcW w:w="115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140</w:t>
            </w:r>
          </w:p>
        </w:tc>
        <w:tc>
          <w:tcPr>
            <w:tcW w:w="114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90</w:t>
            </w:r>
            <w:r>
              <w:rPr>
                <w:rFonts w:hint="eastAsia" w:eastAsia="宋体" w:cs="Times New Roman"/>
                <w:kern w:val="0"/>
                <w:lang w:eastAsia="zh-CN" w:bidi="ar"/>
              </w:rPr>
              <w:t>.6</w:t>
            </w:r>
            <w:r>
              <w:rPr>
                <w:rFonts w:hint="default" w:ascii="Times New Roman" w:hAnsi="Times New Roman" w:eastAsia="宋体" w:cs="Times New Roman"/>
                <w:kern w:val="0"/>
                <w:lang w:bidi="ar"/>
              </w:rPr>
              <w:t xml:space="preserve"> </w:t>
            </w:r>
          </w:p>
        </w:tc>
        <w:tc>
          <w:tcPr>
            <w:tcW w:w="200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2023年10月29日</w:t>
            </w:r>
          </w:p>
        </w:tc>
        <w:tc>
          <w:tcPr>
            <w:tcW w:w="102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spacing w:line="360" w:lineRule="exact"/>
              <w:ind w:firstLine="420"/>
              <w:jc w:val="center"/>
              <w:rPr>
                <w:rFonts w:ascii="Times New Roman" w:hAnsi="Times New Roman" w:eastAsia="宋体" w:cs="Times New Roman"/>
              </w:rPr>
            </w:pPr>
          </w:p>
        </w:tc>
      </w:tr>
      <w:tr>
        <w:tblPrEx>
          <w:tblCellMar>
            <w:top w:w="0" w:type="dxa"/>
            <w:left w:w="108" w:type="dxa"/>
            <w:bottom w:w="0" w:type="dxa"/>
            <w:right w:w="108" w:type="dxa"/>
          </w:tblCellMar>
        </w:tblPrEx>
        <w:trPr>
          <w:trHeight w:val="340" w:hRule="atLeast"/>
        </w:trPr>
        <w:tc>
          <w:tcPr>
            <w:tcW w:w="863"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11月</w:t>
            </w:r>
          </w:p>
        </w:tc>
        <w:tc>
          <w:tcPr>
            <w:tcW w:w="1157"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136</w:t>
            </w:r>
          </w:p>
        </w:tc>
        <w:tc>
          <w:tcPr>
            <w:tcW w:w="1144"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90</w:t>
            </w:r>
            <w:r>
              <w:rPr>
                <w:rFonts w:hint="eastAsia" w:eastAsia="宋体" w:cs="Times New Roman"/>
                <w:kern w:val="0"/>
                <w:lang w:eastAsia="zh-CN" w:bidi="ar"/>
              </w:rPr>
              <w:t>.6</w:t>
            </w:r>
            <w:r>
              <w:rPr>
                <w:rFonts w:hint="default" w:ascii="Times New Roman" w:hAnsi="Times New Roman" w:eastAsia="宋体" w:cs="Times New Roman"/>
                <w:kern w:val="0"/>
                <w:lang w:bidi="ar"/>
              </w:rPr>
              <w:t xml:space="preserve"> </w:t>
            </w:r>
          </w:p>
        </w:tc>
        <w:tc>
          <w:tcPr>
            <w:tcW w:w="200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2023年11月29日</w:t>
            </w:r>
          </w:p>
        </w:tc>
        <w:tc>
          <w:tcPr>
            <w:tcW w:w="1022"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21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2024年1月6日</w:t>
            </w:r>
          </w:p>
        </w:tc>
      </w:tr>
      <w:tr>
        <w:tblPrEx>
          <w:tblCellMar>
            <w:top w:w="0" w:type="dxa"/>
            <w:left w:w="108" w:type="dxa"/>
            <w:bottom w:w="0" w:type="dxa"/>
            <w:right w:w="108" w:type="dxa"/>
          </w:tblCellMar>
        </w:tblPrEx>
        <w:trPr>
          <w:trHeight w:val="340" w:hRule="atLeast"/>
        </w:trPr>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12月</w:t>
            </w:r>
          </w:p>
        </w:tc>
        <w:tc>
          <w:tcPr>
            <w:tcW w:w="1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140</w:t>
            </w:r>
          </w:p>
        </w:tc>
        <w:tc>
          <w:tcPr>
            <w:tcW w:w="11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91</w:t>
            </w:r>
            <w:r>
              <w:rPr>
                <w:rFonts w:hint="eastAsia" w:eastAsia="宋体" w:cs="Times New Roman"/>
                <w:kern w:val="0"/>
                <w:lang w:eastAsia="zh-CN" w:bidi="ar"/>
              </w:rPr>
              <w:t>.7</w:t>
            </w:r>
            <w:r>
              <w:rPr>
                <w:rFonts w:hint="default" w:ascii="Times New Roman" w:hAnsi="Times New Roman" w:eastAsia="宋体" w:cs="Times New Roman"/>
                <w:kern w:val="0"/>
                <w:lang w:bidi="ar"/>
              </w:rPr>
              <w:t xml:space="preserve"> </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2023年12月29日</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121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spacing w:line="360" w:lineRule="exact"/>
              <w:ind w:firstLine="420"/>
              <w:jc w:val="center"/>
              <w:rPr>
                <w:rFonts w:ascii="Times New Roman" w:hAnsi="Times New Roman" w:eastAsia="宋体" w:cs="Times New Roman"/>
              </w:rPr>
            </w:pPr>
          </w:p>
        </w:tc>
      </w:tr>
      <w:tr>
        <w:tblPrEx>
          <w:tblCellMar>
            <w:top w:w="0" w:type="dxa"/>
            <w:left w:w="108" w:type="dxa"/>
            <w:bottom w:w="0" w:type="dxa"/>
            <w:right w:w="108" w:type="dxa"/>
          </w:tblCellMar>
        </w:tblPrEx>
        <w:trPr>
          <w:trHeight w:val="340" w:hRule="atLeast"/>
        </w:trPr>
        <w:tc>
          <w:tcPr>
            <w:tcW w:w="316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b/>
                <w:bCs/>
                <w:kern w:val="0"/>
                <w:lang w:bidi="ar"/>
              </w:rPr>
              <w:t>合计</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ind w:firstLine="420"/>
              <w:rPr>
                <w:rFonts w:ascii="Times New Roman" w:hAnsi="Times New Roman" w:eastAsia="宋体" w:cs="Times New Roman"/>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778.72 </w:t>
            </w:r>
          </w:p>
        </w:tc>
        <w:tc>
          <w:tcPr>
            <w:tcW w:w="10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778.72 </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kinsoku/>
              <w:wordWrap/>
              <w:overflowPunct/>
              <w:topLinePunct w:val="0"/>
              <w:autoSpaceDE/>
              <w:autoSpaceDN/>
              <w:bidi w:val="0"/>
              <w:spacing w:line="360" w:lineRule="exact"/>
              <w:ind w:firstLine="420"/>
              <w:rPr>
                <w:rFonts w:ascii="Times New Roman" w:hAnsi="Times New Roman" w:eastAsia="宋体" w:cs="Times New Roman"/>
              </w:rPr>
            </w:pPr>
          </w:p>
        </w:tc>
      </w:tr>
    </w:tbl>
    <w:p>
      <w:pPr>
        <w:pageBreakBefore w:val="0"/>
        <w:kinsoku/>
        <w:wordWrap/>
        <w:overflowPunct/>
        <w:topLinePunct w:val="0"/>
        <w:autoSpaceDE/>
        <w:autoSpaceDN/>
        <w:bidi w:val="0"/>
        <w:spacing w:line="360" w:lineRule="exact"/>
        <w:ind w:firstLine="420"/>
      </w:pP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98" w:name="_Toc10388"/>
      <w:bookmarkStart w:id="99" w:name="_Toc68364659"/>
      <w:bookmarkStart w:id="100" w:name="_Toc19151"/>
      <w:bookmarkStart w:id="101" w:name="_Toc12042"/>
      <w:bookmarkStart w:id="102" w:name="_Toc7530"/>
      <w:bookmarkStart w:id="103" w:name="_Toc10004"/>
      <w:bookmarkStart w:id="104" w:name="_Toc4750"/>
      <w:bookmarkStart w:id="105" w:name="_Toc22432"/>
      <w:r>
        <w:rPr>
          <w:rFonts w:hint="eastAsia" w:ascii="Times New Roman" w:hAnsi="Times New Roman" w:cs="Times New Roman" w:eastAsiaTheme="minorEastAsia"/>
          <w:b/>
          <w:bCs/>
          <w:kern w:val="2"/>
          <w:sz w:val="24"/>
          <w:szCs w:val="24"/>
          <w:lang w:val="en-US" w:eastAsia="zh-CN" w:bidi="ar-SA"/>
        </w:rPr>
        <w:t>二、项目绩效目标</w:t>
      </w:r>
      <w:bookmarkEnd w:id="98"/>
      <w:bookmarkEnd w:id="99"/>
      <w:bookmarkEnd w:id="100"/>
      <w:bookmarkEnd w:id="101"/>
      <w:bookmarkEnd w:id="102"/>
      <w:bookmarkEnd w:id="103"/>
      <w:bookmarkEnd w:id="104"/>
      <w:bookmarkEnd w:id="105"/>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（一）项目绩效总目标</w:t>
      </w:r>
    </w:p>
    <w:p>
      <w:pPr>
        <w:pageBreakBefore w:val="0"/>
        <w:kinsoku/>
        <w:wordWrap/>
        <w:overflowPunct/>
        <w:topLinePunct w:val="0"/>
        <w:autoSpaceDE/>
        <w:autoSpaceDN/>
        <w:bidi w:val="0"/>
        <w:spacing w:line="360" w:lineRule="exact"/>
        <w:ind w:firstLine="420"/>
      </w:pPr>
      <w:r>
        <w:rPr>
          <w:rFonts w:hint="eastAsia"/>
        </w:rPr>
        <w:t>巴楚县住房和城乡建设局通过政府购买服务，引进有管理经验和实力的环卫公司，开展县域内道路清扫及公共设施维护等工作，抓好巴楚县城市环境卫生，改善城市居民环境质量，推动巴楚县环卫管理事业向“作业专业化、经营企业化、服务社会化、管理规范化”的发展。</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（二）年度绩效目标</w:t>
      </w:r>
    </w:p>
    <w:p>
      <w:pPr>
        <w:pageBreakBefore w:val="0"/>
        <w:kinsoku/>
        <w:wordWrap/>
        <w:overflowPunct/>
        <w:topLinePunct w:val="0"/>
        <w:autoSpaceDE/>
        <w:autoSpaceDN/>
        <w:bidi w:val="0"/>
        <w:spacing w:line="360" w:lineRule="exact"/>
        <w:ind w:firstLine="420"/>
      </w:pPr>
      <w:r>
        <w:t>根据《项目支出绩效评价管理办法》（财预〔2020〕10号）的规定，</w:t>
      </w:r>
      <w:r>
        <w:rPr>
          <w:rFonts w:hint="eastAsia"/>
        </w:rPr>
        <w:t>绩效评价小组结合项目实际情况，对巴楚县住房和城乡建设局2023年度城区环卫市场化项目绩效目标进行梳理、细化和补充完善，</w:t>
      </w:r>
      <w:r>
        <w:t>经</w:t>
      </w:r>
      <w:r>
        <w:rPr>
          <w:rFonts w:hint="eastAsia"/>
        </w:rPr>
        <w:t>报委托方审核</w:t>
      </w:r>
      <w:r>
        <w:t>，最终确定该项目</w:t>
      </w:r>
      <w:r>
        <w:rPr>
          <w:rFonts w:hint="eastAsia"/>
        </w:rPr>
        <w:t>年度</w:t>
      </w:r>
      <w:r>
        <w:t>目标</w:t>
      </w:r>
      <w:r>
        <w:rPr>
          <w:rFonts w:hint="eastAsia"/>
        </w:rPr>
        <w:t>为</w:t>
      </w:r>
      <w:r>
        <w:t>：</w:t>
      </w:r>
      <w:r>
        <w:rPr>
          <w:rFonts w:hint="eastAsia"/>
        </w:rPr>
        <w:t>项目通过政府购买环卫服务，计划保障</w:t>
      </w:r>
      <w:r>
        <w:t>参与环卫服务工作人员</w:t>
      </w:r>
      <w:r>
        <w:rPr>
          <w:rFonts w:hint="eastAsia"/>
        </w:rPr>
        <w:t>152人，完成对巴楚县23条县城道路及工业园区道路、5个公园广场清扫保洁以及对公共设施的维护管理，日产清运垃圾量23吨，服务期限12个月。通过项目实施，</w:t>
      </w:r>
      <w:r>
        <w:t>提高环卫工人生活水平</w:t>
      </w:r>
      <w:r>
        <w:rPr>
          <w:rFonts w:hint="eastAsia"/>
        </w:rPr>
        <w:t>和积极性，</w:t>
      </w:r>
      <w:r>
        <w:t>优化城区公共区域卫生环境，提高环卫服务水平</w:t>
      </w:r>
      <w:r>
        <w:rPr>
          <w:rFonts w:hint="eastAsia"/>
        </w:rPr>
        <w:t>，改善城市居民环境质量。</w:t>
      </w:r>
      <w:r>
        <w:t>该项目个性目标</w:t>
      </w:r>
      <w:r>
        <w:rPr>
          <w:rFonts w:hint="eastAsia"/>
        </w:rPr>
        <w:t>设置具体</w:t>
      </w:r>
      <w:r>
        <w:t>如下：</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1.项目产出目标</w:t>
      </w:r>
    </w:p>
    <w:p>
      <w:pPr>
        <w:pageBreakBefore w:val="0"/>
        <w:kinsoku/>
        <w:wordWrap/>
        <w:overflowPunct/>
        <w:topLinePunct w:val="0"/>
        <w:autoSpaceDE/>
        <w:autoSpaceDN/>
        <w:bidi w:val="0"/>
        <w:spacing w:line="360" w:lineRule="exact"/>
        <w:ind w:firstLine="420"/>
      </w:pPr>
      <w:r>
        <w:t>（1）数量指标</w:t>
      </w:r>
    </w:p>
    <w:p>
      <w:pPr>
        <w:pageBreakBefore w:val="0"/>
        <w:kinsoku/>
        <w:wordWrap/>
        <w:overflowPunct/>
        <w:topLinePunct w:val="0"/>
        <w:autoSpaceDE/>
        <w:autoSpaceDN/>
        <w:bidi w:val="0"/>
        <w:spacing w:line="360" w:lineRule="exact"/>
        <w:ind w:firstLine="420"/>
      </w:pPr>
      <w:r>
        <w:t>“C11参与环卫服务工作人员数量”指标，预期指标值为大于等于</w:t>
      </w:r>
      <w:r>
        <w:rPr>
          <w:rFonts w:eastAsia="宋体"/>
        </w:rPr>
        <w:t>152人。</w:t>
      </w:r>
    </w:p>
    <w:p>
      <w:pPr>
        <w:pageBreakBefore w:val="0"/>
        <w:kinsoku/>
        <w:wordWrap/>
        <w:overflowPunct/>
        <w:topLinePunct w:val="0"/>
        <w:autoSpaceDE/>
        <w:autoSpaceDN/>
        <w:bidi w:val="0"/>
        <w:spacing w:line="360" w:lineRule="exact"/>
        <w:ind w:firstLine="420"/>
      </w:pPr>
      <w:r>
        <w:t>“C12保障城区道路清洁数量”指标，预期指标值为大于等于</w:t>
      </w:r>
      <w:r>
        <w:rPr>
          <w:rFonts w:eastAsia="宋体"/>
        </w:rPr>
        <w:t>23条。</w:t>
      </w:r>
    </w:p>
    <w:p>
      <w:pPr>
        <w:pageBreakBefore w:val="0"/>
        <w:kinsoku/>
        <w:wordWrap/>
        <w:overflowPunct/>
        <w:topLinePunct w:val="0"/>
        <w:autoSpaceDE/>
        <w:autoSpaceDN/>
        <w:bidi w:val="0"/>
        <w:spacing w:line="360" w:lineRule="exact"/>
        <w:ind w:firstLine="420"/>
        <w:rPr>
          <w:rFonts w:eastAsia="宋体"/>
        </w:rPr>
      </w:pPr>
      <w:r>
        <w:t>“C13保障广场公园清洁数量”指标，预期指标值为大于等于</w:t>
      </w:r>
      <w:r>
        <w:rPr>
          <w:rFonts w:eastAsia="宋体"/>
        </w:rPr>
        <w:t>5个。</w:t>
      </w:r>
    </w:p>
    <w:p>
      <w:pPr>
        <w:pageBreakBefore w:val="0"/>
        <w:kinsoku/>
        <w:wordWrap/>
        <w:overflowPunct/>
        <w:topLinePunct w:val="0"/>
        <w:autoSpaceDE/>
        <w:autoSpaceDN/>
        <w:bidi w:val="0"/>
        <w:spacing w:line="360" w:lineRule="exact"/>
        <w:ind w:firstLine="420"/>
      </w:pPr>
      <w:r>
        <w:t>“</w:t>
      </w:r>
      <w:r>
        <w:rPr>
          <w:rFonts w:hint="eastAsia"/>
        </w:rPr>
        <w:t>C14日产清运垃圾量</w:t>
      </w:r>
      <w:r>
        <w:t>”指标，预期指标值为大于等于</w:t>
      </w:r>
      <w:r>
        <w:rPr>
          <w:rFonts w:hint="eastAsia"/>
        </w:rPr>
        <w:t>23吨。</w:t>
      </w:r>
    </w:p>
    <w:p>
      <w:pPr>
        <w:pageBreakBefore w:val="0"/>
        <w:kinsoku/>
        <w:wordWrap/>
        <w:overflowPunct/>
        <w:topLinePunct w:val="0"/>
        <w:autoSpaceDE/>
        <w:autoSpaceDN/>
        <w:bidi w:val="0"/>
        <w:spacing w:line="360" w:lineRule="exact"/>
        <w:ind w:firstLine="420"/>
      </w:pPr>
      <w:r>
        <w:t>（2）质量指标</w:t>
      </w:r>
    </w:p>
    <w:p>
      <w:pPr>
        <w:pageBreakBefore w:val="0"/>
        <w:kinsoku/>
        <w:wordWrap/>
        <w:overflowPunct/>
        <w:topLinePunct w:val="0"/>
        <w:autoSpaceDE/>
        <w:autoSpaceDN/>
        <w:bidi w:val="0"/>
        <w:spacing w:line="360" w:lineRule="exact"/>
        <w:ind w:firstLine="420"/>
        <w:rPr>
          <w:rFonts w:eastAsia="宋体"/>
        </w:rPr>
      </w:pPr>
      <w:r>
        <w:t>“C2</w:t>
      </w:r>
      <w:r>
        <w:rPr>
          <w:rFonts w:hint="eastAsia"/>
        </w:rPr>
        <w:t>1</w:t>
      </w:r>
      <w:r>
        <w:t>月度工作考核合格率”指标，预期指标值为</w:t>
      </w:r>
      <w:r>
        <w:rPr>
          <w:rFonts w:eastAsia="宋体"/>
        </w:rPr>
        <w:t>100%。</w:t>
      </w:r>
    </w:p>
    <w:p>
      <w:pPr>
        <w:pageBreakBefore w:val="0"/>
        <w:kinsoku/>
        <w:wordWrap/>
        <w:overflowPunct/>
        <w:topLinePunct w:val="0"/>
        <w:autoSpaceDE/>
        <w:autoSpaceDN/>
        <w:bidi w:val="0"/>
        <w:spacing w:line="360" w:lineRule="exact"/>
        <w:ind w:firstLine="420"/>
        <w:rPr>
          <w:rFonts w:eastAsia="宋体"/>
        </w:rPr>
      </w:pPr>
      <w:r>
        <w:t>“C2</w:t>
      </w:r>
      <w:r>
        <w:rPr>
          <w:rFonts w:hint="eastAsia"/>
          <w:lang w:val="en-US" w:eastAsia="zh-CN"/>
        </w:rPr>
        <w:t>2作业绩效</w:t>
      </w:r>
      <w:r>
        <w:t>考核</w:t>
      </w:r>
      <w:r>
        <w:rPr>
          <w:rFonts w:hint="eastAsia"/>
          <w:lang w:val="en-US" w:eastAsia="zh-CN"/>
        </w:rPr>
        <w:t>完整性</w:t>
      </w:r>
      <w:r>
        <w:t>”指标，预期指标值为</w:t>
      </w:r>
      <w:r>
        <w:rPr>
          <w:rFonts w:eastAsia="宋体"/>
        </w:rPr>
        <w:t>100%。</w:t>
      </w:r>
    </w:p>
    <w:p>
      <w:pPr>
        <w:pageBreakBefore w:val="0"/>
        <w:kinsoku/>
        <w:wordWrap/>
        <w:overflowPunct/>
        <w:topLinePunct w:val="0"/>
        <w:autoSpaceDE/>
        <w:autoSpaceDN/>
        <w:bidi w:val="0"/>
        <w:spacing w:line="360" w:lineRule="exact"/>
        <w:ind w:firstLine="420"/>
      </w:pPr>
      <w:r>
        <w:t>（3）时效指标</w:t>
      </w:r>
    </w:p>
    <w:p>
      <w:pPr>
        <w:pageBreakBefore w:val="0"/>
        <w:kinsoku/>
        <w:wordWrap/>
        <w:overflowPunct/>
        <w:topLinePunct w:val="0"/>
        <w:autoSpaceDE/>
        <w:autoSpaceDN/>
        <w:bidi w:val="0"/>
        <w:spacing w:line="360" w:lineRule="exact"/>
        <w:ind w:firstLine="420"/>
        <w:rPr>
          <w:rFonts w:eastAsia="宋体"/>
        </w:rPr>
      </w:pPr>
      <w:r>
        <w:t>“C31服务时长”指标，预期指标值为</w:t>
      </w:r>
      <w:r>
        <w:rPr>
          <w:rFonts w:eastAsia="宋体"/>
        </w:rPr>
        <w:t>12个月。</w:t>
      </w:r>
    </w:p>
    <w:p>
      <w:pPr>
        <w:pageBreakBefore w:val="0"/>
        <w:kinsoku/>
        <w:wordWrap/>
        <w:overflowPunct/>
        <w:topLinePunct w:val="0"/>
        <w:autoSpaceDE/>
        <w:autoSpaceDN/>
        <w:bidi w:val="0"/>
        <w:spacing w:line="360" w:lineRule="exact"/>
        <w:ind w:firstLine="420"/>
        <w:rPr>
          <w:rFonts w:eastAsia="宋体"/>
        </w:rPr>
      </w:pPr>
      <w:r>
        <w:t>“C32绩效考核及时率”指标，预期指标值为</w:t>
      </w:r>
      <w:r>
        <w:rPr>
          <w:rFonts w:hint="eastAsia" w:eastAsia="宋体"/>
        </w:rPr>
        <w:t>100%</w:t>
      </w:r>
      <w:r>
        <w:rPr>
          <w:rFonts w:eastAsia="宋体"/>
        </w:rPr>
        <w:t>。</w:t>
      </w:r>
    </w:p>
    <w:p>
      <w:pPr>
        <w:pageBreakBefore w:val="0"/>
        <w:kinsoku/>
        <w:wordWrap/>
        <w:overflowPunct/>
        <w:topLinePunct w:val="0"/>
        <w:autoSpaceDE/>
        <w:autoSpaceDN/>
        <w:bidi w:val="0"/>
        <w:spacing w:line="360" w:lineRule="exact"/>
        <w:ind w:firstLine="420"/>
      </w:pPr>
      <w:r>
        <w:t>（4）成本指标</w:t>
      </w:r>
    </w:p>
    <w:p>
      <w:pPr>
        <w:pageBreakBefore w:val="0"/>
        <w:kinsoku/>
        <w:wordWrap/>
        <w:overflowPunct/>
        <w:topLinePunct w:val="0"/>
        <w:autoSpaceDE/>
        <w:autoSpaceDN/>
        <w:bidi w:val="0"/>
        <w:spacing w:line="360" w:lineRule="exact"/>
        <w:ind w:firstLine="420"/>
      </w:pPr>
      <w:r>
        <w:t>“C41月度服务费用”指标，预期指标值为</w:t>
      </w:r>
      <w:r>
        <w:rPr>
          <w:rFonts w:eastAsia="宋体"/>
        </w:rPr>
        <w:t>64.89万元/月。</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2.项目效益目标</w:t>
      </w:r>
    </w:p>
    <w:p>
      <w:pPr>
        <w:pageBreakBefore w:val="0"/>
        <w:kinsoku/>
        <w:wordWrap/>
        <w:overflowPunct/>
        <w:topLinePunct w:val="0"/>
        <w:autoSpaceDE/>
        <w:autoSpaceDN/>
        <w:bidi w:val="0"/>
        <w:spacing w:line="360" w:lineRule="exact"/>
        <w:ind w:firstLine="420"/>
      </w:pPr>
      <w:r>
        <w:t>（1）社会效益指标</w:t>
      </w:r>
    </w:p>
    <w:p>
      <w:pPr>
        <w:pageBreakBefore w:val="0"/>
        <w:kinsoku/>
        <w:wordWrap/>
        <w:overflowPunct/>
        <w:topLinePunct w:val="0"/>
        <w:autoSpaceDE/>
        <w:autoSpaceDN/>
        <w:bidi w:val="0"/>
        <w:spacing w:line="360" w:lineRule="exact"/>
        <w:ind w:firstLine="420"/>
      </w:pPr>
      <w:r>
        <w:t>“D11优化城区公共区域卫生环境，提高环卫服务水平”指标，预期指标值为</w:t>
      </w:r>
      <w:r>
        <w:rPr>
          <w:rFonts w:eastAsia="宋体"/>
        </w:rPr>
        <w:t>有效优化。</w:t>
      </w:r>
    </w:p>
    <w:p>
      <w:pPr>
        <w:pageBreakBefore w:val="0"/>
        <w:kinsoku/>
        <w:wordWrap/>
        <w:overflowPunct/>
        <w:topLinePunct w:val="0"/>
        <w:autoSpaceDE/>
        <w:autoSpaceDN/>
        <w:bidi w:val="0"/>
        <w:spacing w:line="360" w:lineRule="exact"/>
        <w:ind w:firstLine="420"/>
      </w:pPr>
      <w:r>
        <w:t>“D12提高环卫工人生活水平”指标，预期指标值为</w:t>
      </w:r>
      <w:r>
        <w:rPr>
          <w:rFonts w:eastAsia="宋体"/>
        </w:rPr>
        <w:t>有效提高。</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3.</w:t>
      </w:r>
      <w:r>
        <w:rPr>
          <w:rFonts w:hint="eastAsia" w:ascii="Times New Roman" w:hAnsi="Times New Roman" w:cs="Times New Roman" w:eastAsiaTheme="minorEastAsia"/>
          <w:b/>
          <w:bCs/>
          <w:kern w:val="2"/>
          <w:sz w:val="24"/>
          <w:szCs w:val="24"/>
          <w:lang w:val="en-US" w:eastAsia="zh-Hans" w:bidi="ar-SA"/>
        </w:rPr>
        <w:t>满意度目标</w:t>
      </w:r>
    </w:p>
    <w:p>
      <w:pPr>
        <w:pageBreakBefore w:val="0"/>
        <w:kinsoku/>
        <w:wordWrap/>
        <w:overflowPunct/>
        <w:topLinePunct w:val="0"/>
        <w:autoSpaceDE/>
        <w:autoSpaceDN/>
        <w:bidi w:val="0"/>
        <w:spacing w:line="360" w:lineRule="exact"/>
        <w:ind w:firstLine="420"/>
      </w:pPr>
      <w:r>
        <w:t>（1）满意度指标</w:t>
      </w:r>
    </w:p>
    <w:p>
      <w:pPr>
        <w:pageBreakBefore w:val="0"/>
        <w:kinsoku/>
        <w:wordWrap/>
        <w:overflowPunct/>
        <w:topLinePunct w:val="0"/>
        <w:autoSpaceDE/>
        <w:autoSpaceDN/>
        <w:bidi w:val="0"/>
        <w:spacing w:line="360" w:lineRule="exact"/>
        <w:ind w:firstLine="420"/>
      </w:pPr>
      <w:r>
        <w:t>“D21社会公众满意度”指标，预期指标值为大于等于90%。</w:t>
      </w:r>
    </w:p>
    <w:p>
      <w:pPr>
        <w:pageBreakBefore w:val="0"/>
        <w:kinsoku/>
        <w:wordWrap/>
        <w:overflowPunct/>
        <w:topLinePunct w:val="0"/>
        <w:autoSpaceDE/>
        <w:autoSpaceDN/>
        <w:bidi w:val="0"/>
        <w:spacing w:line="360" w:lineRule="exact"/>
        <w:ind w:firstLine="420"/>
      </w:pPr>
      <w:r>
        <w:t>“D22环卫工人满意度”指标，预期指标值为大于等于90%。</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06" w:name="_Toc16936"/>
      <w:bookmarkStart w:id="107" w:name="_Toc21122"/>
      <w:bookmarkStart w:id="108" w:name="_Toc29760"/>
      <w:bookmarkStart w:id="109" w:name="_Toc28798"/>
      <w:bookmarkStart w:id="110" w:name="_Toc68364660"/>
      <w:bookmarkStart w:id="111" w:name="_Toc11029"/>
      <w:bookmarkStart w:id="112" w:name="_Toc18508"/>
      <w:bookmarkStart w:id="113" w:name="_Toc10918"/>
      <w:r>
        <w:rPr>
          <w:rFonts w:hint="eastAsia" w:ascii="Times New Roman" w:hAnsi="Times New Roman" w:cs="Times New Roman" w:eastAsiaTheme="minorEastAsia"/>
          <w:b/>
          <w:bCs/>
          <w:kern w:val="2"/>
          <w:sz w:val="24"/>
          <w:szCs w:val="24"/>
          <w:lang w:val="en-US" w:eastAsia="zh-CN" w:bidi="ar-SA"/>
        </w:rPr>
        <w:t>三、绩效评价工作开展情况</w:t>
      </w:r>
      <w:bookmarkEnd w:id="106"/>
      <w:bookmarkEnd w:id="107"/>
      <w:bookmarkEnd w:id="108"/>
      <w:bookmarkEnd w:id="109"/>
      <w:bookmarkEnd w:id="110"/>
      <w:bookmarkEnd w:id="111"/>
      <w:bookmarkEnd w:id="112"/>
      <w:bookmarkEnd w:id="113"/>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14" w:name="_Toc27940"/>
      <w:bookmarkStart w:id="115" w:name="_Toc3783"/>
      <w:bookmarkStart w:id="116" w:name="_Toc26697"/>
      <w:bookmarkStart w:id="117" w:name="_Toc3226"/>
      <w:bookmarkStart w:id="118" w:name="_Toc18566"/>
      <w:bookmarkStart w:id="119" w:name="_Toc8963"/>
      <w:bookmarkStart w:id="120" w:name="_Toc2416"/>
      <w:bookmarkStart w:id="121" w:name="_Toc6320"/>
      <w:bookmarkStart w:id="122" w:name="_Toc68364661"/>
      <w:r>
        <w:rPr>
          <w:rFonts w:hint="eastAsia" w:ascii="Times New Roman" w:hAnsi="Times New Roman" w:cs="Times New Roman" w:eastAsiaTheme="minorEastAsia"/>
          <w:b/>
          <w:bCs/>
          <w:kern w:val="2"/>
          <w:sz w:val="24"/>
          <w:szCs w:val="24"/>
          <w:lang w:val="en-US" w:eastAsia="zh-CN" w:bidi="ar-SA"/>
        </w:rPr>
        <w:t>（一）绩效评价依据</w:t>
      </w:r>
      <w:bookmarkEnd w:id="114"/>
      <w:bookmarkEnd w:id="115"/>
      <w:bookmarkEnd w:id="116"/>
      <w:bookmarkEnd w:id="117"/>
      <w:bookmarkEnd w:id="118"/>
      <w:bookmarkEnd w:id="119"/>
      <w:bookmarkEnd w:id="120"/>
      <w:bookmarkEnd w:id="121"/>
    </w:p>
    <w:p>
      <w:pPr>
        <w:pageBreakBefore w:val="0"/>
        <w:numPr>
          <w:ilvl w:val="0"/>
          <w:numId w:val="1"/>
        </w:numPr>
        <w:kinsoku/>
        <w:wordWrap/>
        <w:overflowPunct/>
        <w:topLinePunct w:val="0"/>
        <w:autoSpaceDE/>
        <w:autoSpaceDN/>
        <w:bidi w:val="0"/>
        <w:spacing w:line="360" w:lineRule="exact"/>
        <w:ind w:firstLine="420" w:firstLineChars="200"/>
      </w:pPr>
      <w:r>
        <w:t>《中华人民共和国预算法》</w:t>
      </w:r>
    </w:p>
    <w:p>
      <w:pPr>
        <w:pageBreakBefore w:val="0"/>
        <w:numPr>
          <w:ilvl w:val="0"/>
          <w:numId w:val="1"/>
        </w:numPr>
        <w:kinsoku/>
        <w:wordWrap/>
        <w:overflowPunct/>
        <w:topLinePunct w:val="0"/>
        <w:autoSpaceDE/>
        <w:autoSpaceDN/>
        <w:bidi w:val="0"/>
        <w:spacing w:line="360" w:lineRule="exact"/>
        <w:ind w:firstLine="420" w:firstLineChars="200"/>
      </w:pPr>
      <w:r>
        <w:t>《中共中央国务院关于全面实施预算绩效管理的意见》（中发〔2018〕34号）</w:t>
      </w:r>
    </w:p>
    <w:p>
      <w:pPr>
        <w:pageBreakBefore w:val="0"/>
        <w:numPr>
          <w:ilvl w:val="0"/>
          <w:numId w:val="1"/>
        </w:numPr>
        <w:kinsoku/>
        <w:wordWrap/>
        <w:overflowPunct/>
        <w:topLinePunct w:val="0"/>
        <w:autoSpaceDE/>
        <w:autoSpaceDN/>
        <w:bidi w:val="0"/>
        <w:spacing w:line="360" w:lineRule="exact"/>
        <w:ind w:firstLine="420" w:firstLineChars="200"/>
      </w:pPr>
      <w:r>
        <w:t>《项目支出绩效评价管理办法》（财预〔2020〕10号）</w:t>
      </w:r>
    </w:p>
    <w:p>
      <w:pPr>
        <w:pageBreakBefore w:val="0"/>
        <w:numPr>
          <w:ilvl w:val="0"/>
          <w:numId w:val="1"/>
        </w:numPr>
        <w:kinsoku/>
        <w:wordWrap/>
        <w:overflowPunct/>
        <w:topLinePunct w:val="0"/>
        <w:autoSpaceDE/>
        <w:autoSpaceDN/>
        <w:bidi w:val="0"/>
        <w:spacing w:line="360" w:lineRule="exact"/>
        <w:ind w:firstLine="420" w:firstLineChars="200"/>
      </w:pPr>
      <w:r>
        <w:t>《财政部关于印发〈第三方机构预算绩效评价业务监督管理暂行办法〉的通知》（财监〔2021〕4号）</w:t>
      </w:r>
    </w:p>
    <w:p>
      <w:pPr>
        <w:pageBreakBefore w:val="0"/>
        <w:numPr>
          <w:ilvl w:val="0"/>
          <w:numId w:val="1"/>
        </w:numPr>
        <w:kinsoku/>
        <w:wordWrap/>
        <w:overflowPunct/>
        <w:topLinePunct w:val="0"/>
        <w:autoSpaceDE/>
        <w:autoSpaceDN/>
        <w:bidi w:val="0"/>
        <w:spacing w:line="360" w:lineRule="exact"/>
        <w:ind w:firstLine="420" w:firstLineChars="200"/>
      </w:pPr>
      <w:r>
        <w:t>《关于进一步加强和规范第三方机构参与预算绩效管理的通知》（新财预〔2021〕49号）</w:t>
      </w:r>
    </w:p>
    <w:p>
      <w:pPr>
        <w:pageBreakBefore w:val="0"/>
        <w:numPr>
          <w:ilvl w:val="0"/>
          <w:numId w:val="1"/>
        </w:numPr>
        <w:kinsoku/>
        <w:wordWrap/>
        <w:overflowPunct/>
        <w:topLinePunct w:val="0"/>
        <w:autoSpaceDE/>
        <w:autoSpaceDN/>
        <w:bidi w:val="0"/>
        <w:spacing w:line="360" w:lineRule="exact"/>
        <w:ind w:firstLine="420" w:firstLineChars="200"/>
      </w:pPr>
      <w:r>
        <w:t>《城市市容和环境卫生管理条例》</w:t>
      </w:r>
    </w:p>
    <w:p>
      <w:pPr>
        <w:pageBreakBefore w:val="0"/>
        <w:numPr>
          <w:ilvl w:val="0"/>
          <w:numId w:val="1"/>
        </w:numPr>
        <w:kinsoku/>
        <w:wordWrap/>
        <w:overflowPunct/>
        <w:topLinePunct w:val="0"/>
        <w:autoSpaceDE/>
        <w:autoSpaceDN/>
        <w:bidi w:val="0"/>
        <w:spacing w:line="360" w:lineRule="exact"/>
        <w:ind w:firstLine="420" w:firstLineChars="200"/>
      </w:pPr>
      <w:r>
        <w:t>《关于加强自治区城市精细化管理的通知》</w:t>
      </w:r>
    </w:p>
    <w:p>
      <w:pPr>
        <w:pageBreakBefore w:val="0"/>
        <w:numPr>
          <w:ilvl w:val="0"/>
          <w:numId w:val="1"/>
        </w:numPr>
        <w:kinsoku/>
        <w:wordWrap/>
        <w:overflowPunct/>
        <w:topLinePunct w:val="0"/>
        <w:autoSpaceDE/>
        <w:autoSpaceDN/>
        <w:bidi w:val="0"/>
        <w:spacing w:line="360" w:lineRule="exact"/>
        <w:ind w:firstLine="420" w:firstLineChars="200"/>
      </w:pPr>
      <w:r>
        <w:t>《关于印发&lt;巴楚县住房和城乡建设局职能配置、内设机构和人员编制规定&gt;的通知》（巴党办〔2019〕56号）</w:t>
      </w:r>
    </w:p>
    <w:p>
      <w:pPr>
        <w:pageBreakBefore w:val="0"/>
        <w:numPr>
          <w:ilvl w:val="0"/>
          <w:numId w:val="1"/>
        </w:numPr>
        <w:kinsoku/>
        <w:wordWrap/>
        <w:overflowPunct/>
        <w:topLinePunct w:val="0"/>
        <w:autoSpaceDE/>
        <w:autoSpaceDN/>
        <w:bidi w:val="0"/>
        <w:spacing w:line="360" w:lineRule="exact"/>
        <w:ind w:firstLine="420" w:firstLineChars="200"/>
      </w:pPr>
      <w:r>
        <w:t>《</w:t>
      </w:r>
      <w:r>
        <w:rPr>
          <w:rFonts w:hint="eastAsia"/>
        </w:rPr>
        <w:t>巴楚县住房和城乡建设局</w:t>
      </w:r>
      <w:r>
        <w:t>2023年度城区环卫市场化项目工作计划》</w:t>
      </w:r>
    </w:p>
    <w:p>
      <w:pPr>
        <w:pageBreakBefore w:val="0"/>
        <w:numPr>
          <w:ilvl w:val="0"/>
          <w:numId w:val="1"/>
        </w:numPr>
        <w:kinsoku/>
        <w:wordWrap/>
        <w:overflowPunct/>
        <w:topLinePunct w:val="0"/>
        <w:autoSpaceDE/>
        <w:autoSpaceDN/>
        <w:bidi w:val="0"/>
        <w:spacing w:line="360" w:lineRule="exact"/>
        <w:ind w:firstLine="420" w:firstLineChars="200"/>
      </w:pPr>
      <w:r>
        <w:t>《</w:t>
      </w:r>
      <w:r>
        <w:rPr>
          <w:rFonts w:hint="eastAsia"/>
        </w:rPr>
        <w:t>巴楚县住房和城乡建设局</w:t>
      </w:r>
      <w:r>
        <w:t>2023年度城区环卫市场化项目实施方案》</w:t>
      </w:r>
    </w:p>
    <w:p>
      <w:pPr>
        <w:pageBreakBefore w:val="0"/>
        <w:numPr>
          <w:ilvl w:val="0"/>
          <w:numId w:val="1"/>
        </w:numPr>
        <w:kinsoku/>
        <w:wordWrap/>
        <w:overflowPunct/>
        <w:topLinePunct w:val="0"/>
        <w:autoSpaceDE/>
        <w:autoSpaceDN/>
        <w:bidi w:val="0"/>
        <w:spacing w:line="360" w:lineRule="exact"/>
        <w:ind w:firstLine="420" w:firstLineChars="200"/>
      </w:pPr>
      <w:r>
        <w:t>《巴楚县城区环卫市场化购买服务项目合同》</w:t>
      </w:r>
    </w:p>
    <w:p>
      <w:pPr>
        <w:pageBreakBefore w:val="0"/>
        <w:numPr>
          <w:ilvl w:val="0"/>
          <w:numId w:val="1"/>
        </w:numPr>
        <w:kinsoku/>
        <w:wordWrap/>
        <w:overflowPunct/>
        <w:topLinePunct w:val="0"/>
        <w:autoSpaceDE/>
        <w:autoSpaceDN/>
        <w:bidi w:val="0"/>
        <w:spacing w:line="360" w:lineRule="exact"/>
        <w:ind w:firstLine="420" w:firstLineChars="200"/>
      </w:pPr>
      <w:r>
        <w:t>《城区道路清扫保洁及垃圾清运项目考核表》</w:t>
      </w:r>
      <w:r>
        <w:rPr>
          <w:rFonts w:hint="eastAsia"/>
        </w:rPr>
        <w:t>等其他项目资料</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23" w:name="_Toc25666"/>
      <w:bookmarkStart w:id="124" w:name="_Toc20490"/>
      <w:bookmarkStart w:id="125" w:name="_Toc13083"/>
      <w:bookmarkStart w:id="126" w:name="_Toc3907"/>
      <w:bookmarkStart w:id="127" w:name="_Toc15617"/>
      <w:bookmarkStart w:id="128" w:name="_Toc30464"/>
      <w:bookmarkStart w:id="129" w:name="_Toc16211"/>
      <w:r>
        <w:rPr>
          <w:rFonts w:hint="eastAsia" w:ascii="Times New Roman" w:hAnsi="Times New Roman" w:cs="Times New Roman" w:eastAsiaTheme="minorEastAsia"/>
          <w:b/>
          <w:bCs/>
          <w:kern w:val="2"/>
          <w:sz w:val="24"/>
          <w:szCs w:val="24"/>
          <w:lang w:val="en-US" w:eastAsia="zh-CN" w:bidi="ar-SA"/>
        </w:rPr>
        <w:t>（二）绩效评价目的、对象和范围</w:t>
      </w:r>
      <w:bookmarkEnd w:id="122"/>
      <w:bookmarkEnd w:id="123"/>
      <w:bookmarkEnd w:id="124"/>
      <w:bookmarkEnd w:id="125"/>
      <w:bookmarkEnd w:id="126"/>
      <w:bookmarkEnd w:id="127"/>
      <w:bookmarkEnd w:id="128"/>
      <w:bookmarkEnd w:id="129"/>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30" w:name="_Toc68364662"/>
      <w:r>
        <w:rPr>
          <w:rFonts w:hint="eastAsia" w:ascii="Times New Roman" w:hAnsi="Times New Roman" w:cs="Times New Roman" w:eastAsiaTheme="minorEastAsia"/>
          <w:b/>
          <w:bCs/>
          <w:kern w:val="2"/>
          <w:sz w:val="24"/>
          <w:szCs w:val="24"/>
          <w:lang w:val="en-US" w:eastAsia="zh-CN" w:bidi="ar-SA"/>
        </w:rPr>
        <w:t>1.绩效评价目的</w:t>
      </w:r>
    </w:p>
    <w:p>
      <w:pPr>
        <w:pageBreakBefore w:val="0"/>
        <w:kinsoku/>
        <w:wordWrap/>
        <w:overflowPunct/>
        <w:topLinePunct w:val="0"/>
        <w:autoSpaceDE/>
        <w:autoSpaceDN/>
        <w:bidi w:val="0"/>
        <w:spacing w:line="360" w:lineRule="exact"/>
        <w:ind w:firstLine="420"/>
      </w:pPr>
      <w:r>
        <w:t>本次绩效评价遵循财政部《项目支出绩效评价管理办法》（财预〔2020〕10号）和自治区财政厅《自治区财政支出绩效评价管理暂行办法》（新财预〔2018〕189号）等相关政策文件与规定，旨在评价财政项目实施前期、过程及效果，对财政项目支出的经济性、效率性、效益性和公平性进行客观、公正的测量、分析和评判。</w:t>
      </w:r>
    </w:p>
    <w:p>
      <w:pPr>
        <w:pageBreakBefore w:val="0"/>
        <w:kinsoku/>
        <w:wordWrap/>
        <w:overflowPunct/>
        <w:topLinePunct w:val="0"/>
        <w:autoSpaceDE/>
        <w:autoSpaceDN/>
        <w:bidi w:val="0"/>
        <w:spacing w:line="360" w:lineRule="exact"/>
        <w:ind w:firstLine="420"/>
      </w:pPr>
      <w:r>
        <w:t>绩效评价的目的是为全面了解该项目预算编制合理性、资金使用合规性、项目管理的规范性、项目目标的实现情况、服务对象的满意度等，通过本次项目绩效评价来总结</w:t>
      </w:r>
      <w:r>
        <w:rPr>
          <w:rFonts w:hint="eastAsia"/>
        </w:rPr>
        <w:t>项目</w:t>
      </w:r>
      <w:r>
        <w:t>经验，促进项目成果转化和应用，为今后类似项目的长效管理，提供可行性参考建议。</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2.绩效评价对象及范围</w:t>
      </w:r>
    </w:p>
    <w:p>
      <w:pPr>
        <w:pageBreakBefore w:val="0"/>
        <w:kinsoku/>
        <w:wordWrap/>
        <w:overflowPunct/>
        <w:topLinePunct w:val="0"/>
        <w:autoSpaceDE/>
        <w:autoSpaceDN/>
        <w:bidi w:val="0"/>
        <w:spacing w:line="360" w:lineRule="exact"/>
        <w:ind w:firstLine="420"/>
      </w:pPr>
      <w:r>
        <w:t>本次绩效评价的对象为</w:t>
      </w:r>
      <w:r>
        <w:rPr>
          <w:rFonts w:hint="eastAsia"/>
        </w:rPr>
        <w:t>巴楚县住房和城乡建设局2023年度城区环卫市场化项目</w:t>
      </w:r>
      <w:r>
        <w:t>，主要评价该项目的投入、产出及效益。本次绩效评价范围主要围绕项目决策情况、资金管理和使用情况、</w:t>
      </w:r>
      <w:r>
        <w:rPr>
          <w:rFonts w:hint="eastAsia"/>
        </w:rPr>
        <w:t>政府购买服务的规范性</w:t>
      </w:r>
      <w:r>
        <w:t>、实现的产出情况</w:t>
      </w:r>
      <w:r>
        <w:rPr>
          <w:rFonts w:hint="eastAsia"/>
        </w:rPr>
        <w:t>、购买服务质量</w:t>
      </w:r>
      <w:r>
        <w:t>、取得的效益情况以及其他相关内容。</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3.绩效评价时段</w:t>
      </w:r>
    </w:p>
    <w:p>
      <w:pPr>
        <w:pageBreakBefore w:val="0"/>
        <w:kinsoku/>
        <w:wordWrap/>
        <w:overflowPunct/>
        <w:topLinePunct w:val="0"/>
        <w:autoSpaceDE/>
        <w:autoSpaceDN/>
        <w:bidi w:val="0"/>
        <w:spacing w:line="360" w:lineRule="exact"/>
        <w:ind w:firstLine="420"/>
      </w:pPr>
      <w:r>
        <w:t>本次绩效评价工作的评价时段为：2023年1月至2023年12月</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31" w:name="_Toc7449"/>
      <w:bookmarkStart w:id="132" w:name="_Toc18496"/>
      <w:bookmarkStart w:id="133" w:name="_Toc22682"/>
      <w:bookmarkStart w:id="134" w:name="_Toc1892"/>
      <w:bookmarkStart w:id="135" w:name="_Toc24514"/>
      <w:bookmarkStart w:id="136" w:name="_Toc11418"/>
      <w:bookmarkStart w:id="137" w:name="_Toc29715"/>
      <w:r>
        <w:rPr>
          <w:rFonts w:hint="eastAsia" w:ascii="Times New Roman" w:hAnsi="Times New Roman" w:cs="Times New Roman" w:eastAsiaTheme="minorEastAsia"/>
          <w:b/>
          <w:bCs/>
          <w:kern w:val="2"/>
          <w:sz w:val="24"/>
          <w:szCs w:val="24"/>
          <w:lang w:val="en-US" w:eastAsia="zh-CN" w:bidi="ar-SA"/>
        </w:rPr>
        <w:t>（三）绩效评价原则</w:t>
      </w:r>
      <w:bookmarkEnd w:id="130"/>
      <w:bookmarkEnd w:id="131"/>
      <w:bookmarkEnd w:id="132"/>
      <w:bookmarkEnd w:id="133"/>
      <w:bookmarkEnd w:id="134"/>
      <w:bookmarkEnd w:id="135"/>
      <w:bookmarkEnd w:id="136"/>
      <w:bookmarkEnd w:id="137"/>
    </w:p>
    <w:p>
      <w:pPr>
        <w:pageBreakBefore w:val="0"/>
        <w:kinsoku/>
        <w:wordWrap/>
        <w:overflowPunct/>
        <w:topLinePunct w:val="0"/>
        <w:autoSpaceDE/>
        <w:autoSpaceDN/>
        <w:bidi w:val="0"/>
        <w:spacing w:line="360" w:lineRule="exact"/>
        <w:ind w:firstLine="420"/>
      </w:pPr>
      <w:r>
        <w:t>本次绩效评价遵循的原则包括：</w:t>
      </w:r>
    </w:p>
    <w:p>
      <w:pPr>
        <w:pageBreakBefore w:val="0"/>
        <w:kinsoku/>
        <w:wordWrap/>
        <w:overflowPunct/>
        <w:topLinePunct w:val="0"/>
        <w:autoSpaceDE/>
        <w:autoSpaceDN/>
        <w:bidi w:val="0"/>
        <w:spacing w:line="360" w:lineRule="exact"/>
        <w:ind w:firstLine="420"/>
      </w:pPr>
      <w:r>
        <w:rPr>
          <w:rFonts w:hint="eastAsia"/>
        </w:rPr>
        <w:t>（1）独立性原则：</w:t>
      </w:r>
      <w:r>
        <w:t>在评价工作中保持充分的第三方独立性</w:t>
      </w:r>
      <w:r>
        <w:rPr>
          <w:rFonts w:hint="eastAsia"/>
        </w:rPr>
        <w:t>，不受其他第三方不当干预。</w:t>
      </w:r>
    </w:p>
    <w:p>
      <w:pPr>
        <w:pageBreakBefore w:val="0"/>
        <w:kinsoku/>
        <w:wordWrap/>
        <w:overflowPunct/>
        <w:topLinePunct w:val="0"/>
        <w:autoSpaceDE/>
        <w:autoSpaceDN/>
        <w:bidi w:val="0"/>
        <w:spacing w:line="360" w:lineRule="exact"/>
        <w:ind w:firstLine="420"/>
      </w:pPr>
      <w:r>
        <w:rPr>
          <w:rFonts w:hint="eastAsia"/>
        </w:rPr>
        <w:t>（2）</w:t>
      </w:r>
      <w:r>
        <w:t>客观性原则</w:t>
      </w:r>
      <w:r>
        <w:rPr>
          <w:rFonts w:hint="eastAsia"/>
        </w:rPr>
        <w:t>：第三方机构应当按照协议（合同）约定事项开展绩效评价，实事求是地向委托方提供服务，</w:t>
      </w:r>
      <w:r>
        <w:t>以客观事实为依据，</w:t>
      </w:r>
      <w:r>
        <w:rPr>
          <w:rFonts w:hint="eastAsia"/>
        </w:rPr>
        <w:t>确保</w:t>
      </w:r>
      <w:r>
        <w:t>内容真实、数字准确和资料可靠。</w:t>
      </w:r>
    </w:p>
    <w:p>
      <w:pPr>
        <w:pageBreakBefore w:val="0"/>
        <w:kinsoku/>
        <w:wordWrap/>
        <w:overflowPunct/>
        <w:topLinePunct w:val="0"/>
        <w:autoSpaceDE/>
        <w:autoSpaceDN/>
        <w:bidi w:val="0"/>
        <w:spacing w:line="360" w:lineRule="exact"/>
        <w:ind w:firstLine="420"/>
      </w:pPr>
      <w:r>
        <w:rPr>
          <w:rFonts w:hint="eastAsia"/>
        </w:rPr>
        <w:t>（3）科学性原则</w:t>
      </w:r>
      <w:r>
        <w:rPr>
          <w:rFonts w:hint="eastAsia"/>
          <w:lang w:eastAsia="zh-CN"/>
        </w:rPr>
        <w:t>：</w:t>
      </w:r>
      <w:r>
        <w:rPr>
          <w:rFonts w:hint="eastAsia"/>
        </w:rPr>
        <w:t>第三方机构应当履行必要评价程序，对原始资料进行核查验证，选择一种或多种方法进行对比分析，形成结论并出具评价报告。</w:t>
      </w:r>
    </w:p>
    <w:p>
      <w:pPr>
        <w:pageBreakBefore w:val="0"/>
        <w:kinsoku/>
        <w:wordWrap/>
        <w:overflowPunct/>
        <w:topLinePunct w:val="0"/>
        <w:autoSpaceDE/>
        <w:autoSpaceDN/>
        <w:bidi w:val="0"/>
        <w:spacing w:line="360" w:lineRule="exact"/>
        <w:ind w:firstLine="420"/>
      </w:pPr>
      <w:r>
        <w:rPr>
          <w:rFonts w:hint="eastAsia"/>
        </w:rPr>
        <w:t>（4）</w:t>
      </w:r>
      <w:r>
        <w:t>公正性原则</w:t>
      </w:r>
      <w:r>
        <w:rPr>
          <w:rFonts w:hint="eastAsia"/>
        </w:rPr>
        <w:t>：</w:t>
      </w:r>
      <w:r>
        <w:t>在评价过程中坚持公正、客观地反映实际情况，不隐瞒、弄虚作假。</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38" w:name="_Toc18948"/>
      <w:bookmarkStart w:id="139" w:name="_Toc1135"/>
      <w:bookmarkStart w:id="140" w:name="_Toc20344"/>
      <w:bookmarkStart w:id="141" w:name="_Toc571"/>
      <w:bookmarkStart w:id="142" w:name="_Toc1762"/>
      <w:bookmarkStart w:id="143" w:name="_Toc16757"/>
      <w:bookmarkStart w:id="144" w:name="_Toc11811"/>
      <w:r>
        <w:rPr>
          <w:rFonts w:hint="eastAsia" w:ascii="Times New Roman" w:hAnsi="Times New Roman" w:cs="Times New Roman" w:eastAsiaTheme="minorEastAsia"/>
          <w:b/>
          <w:bCs/>
          <w:kern w:val="2"/>
          <w:sz w:val="24"/>
          <w:szCs w:val="24"/>
          <w:lang w:val="en-US" w:eastAsia="zh-CN" w:bidi="ar-SA"/>
        </w:rPr>
        <w:t>（四）绩效评价指标体系设计</w:t>
      </w:r>
      <w:bookmarkEnd w:id="138"/>
      <w:bookmarkEnd w:id="139"/>
      <w:bookmarkEnd w:id="140"/>
      <w:bookmarkEnd w:id="141"/>
      <w:bookmarkEnd w:id="142"/>
      <w:bookmarkEnd w:id="143"/>
      <w:bookmarkEnd w:id="144"/>
    </w:p>
    <w:p>
      <w:pPr>
        <w:pageBreakBefore w:val="0"/>
        <w:kinsoku/>
        <w:wordWrap/>
        <w:overflowPunct/>
        <w:topLinePunct w:val="0"/>
        <w:autoSpaceDE/>
        <w:autoSpaceDN/>
        <w:bidi w:val="0"/>
        <w:spacing w:line="360" w:lineRule="exact"/>
        <w:ind w:firstLine="420"/>
        <w:rPr>
          <w:lang w:val="zh-TW" w:eastAsia="zh-TW"/>
        </w:rPr>
      </w:pPr>
      <w:bookmarkStart w:id="145" w:name="_Toc68364663"/>
      <w:r>
        <w:rPr>
          <w:lang w:val="zh-TW" w:eastAsia="zh-TW"/>
        </w:rPr>
        <w:t>按照《项目支出绩效评价管理办法》（财预〔2020〕10号）文件要求，绩效评价指标的确定应当与评价对象密切相关，全面反映项目决策、项目和资金管理、产出和效益；优先选取最具代表性、最能直接反映产出和效益的核心指标，精简实用；指标内涵应当明确、具体、可衡量，数据及佐证资料应当可采集、可获得；同类项目绩效评价指标和标准应具有一致性，便于评价结果相互比较。</w:t>
      </w:r>
    </w:p>
    <w:p>
      <w:pPr>
        <w:pageBreakBefore w:val="0"/>
        <w:kinsoku/>
        <w:wordWrap/>
        <w:overflowPunct/>
        <w:topLinePunct w:val="0"/>
        <w:autoSpaceDE/>
        <w:autoSpaceDN/>
        <w:bidi w:val="0"/>
        <w:spacing w:line="360" w:lineRule="exact"/>
        <w:ind w:firstLine="420"/>
        <w:rPr>
          <w:rFonts w:hint="eastAsia" w:eastAsiaTheme="minorEastAsia"/>
          <w:lang w:eastAsia="zh-CN"/>
        </w:rPr>
      </w:pPr>
      <w:r>
        <w:t>绩效评价小组结合项目的实际情况，综合考虑相关性、重要性、可衡量性、可操作性和可实现性，按照逻辑分析法设计本次绩效评价指标体系，绩效评价指标的权重设计突出建设期项目管理，设置一级指标共4个，包括决策指标（10%）、过程指标（25%）、产出指标（</w:t>
      </w:r>
      <w:r>
        <w:rPr>
          <w:rFonts w:hint="eastAsia"/>
        </w:rPr>
        <w:t>35</w:t>
      </w:r>
      <w:r>
        <w:t>%）、效益指标（</w:t>
      </w:r>
      <w:r>
        <w:rPr>
          <w:rFonts w:hint="eastAsia"/>
        </w:rPr>
        <w:t>30</w:t>
      </w:r>
      <w:r>
        <w:t>%）四类指标；主要围绕资金使用、项目管理、资源配置等方面，客观分析项目的产出和效果，从而考察项目预算定额标准的合理性，进而提出完善意见。整个评价框架构成体现从投入、过程到产出、效果和影响的绩效逻辑路径。具体指标分类如下</w:t>
      </w:r>
      <w:r>
        <w:rPr>
          <w:lang w:val="zh-TW"/>
        </w:rPr>
        <w:t>。</w:t>
      </w:r>
      <w:r>
        <w:t>具体指标分类如下</w:t>
      </w:r>
      <w:r>
        <w:rPr>
          <w:rFonts w:hint="eastAsia"/>
          <w:lang w:eastAsia="zh-CN"/>
        </w:rPr>
        <w:t>。</w:t>
      </w:r>
    </w:p>
    <w:p>
      <w:pPr>
        <w:pageBreakBefore w:val="0"/>
        <w:kinsoku/>
        <w:wordWrap/>
        <w:overflowPunct/>
        <w:topLinePunct w:val="0"/>
        <w:autoSpaceDE/>
        <w:autoSpaceDN/>
        <w:bidi w:val="0"/>
        <w:spacing w:line="360" w:lineRule="exact"/>
        <w:ind w:firstLine="420"/>
        <w:rPr>
          <w:bCs/>
        </w:rPr>
      </w:pPr>
      <w:r>
        <w:rPr>
          <w:bCs/>
        </w:rPr>
        <w:t>（1）决策指标：从</w:t>
      </w:r>
      <w:r>
        <w:t>项目立项、绩效目标、资金投入</w:t>
      </w:r>
      <w:r>
        <w:rPr>
          <w:bCs/>
        </w:rPr>
        <w:t>三个方面对项目决策情况进行评价，设置了包括：</w:t>
      </w:r>
      <w:r>
        <w:t>立项依据</w:t>
      </w:r>
      <w:r>
        <w:rPr>
          <w:rFonts w:hint="eastAsia"/>
        </w:rPr>
        <w:t>合理</w:t>
      </w:r>
      <w:r>
        <w:t>性、立项程序规范性、绩效目标合理性、绩效指标明确性、预算编制科学性、资金分配合理性</w:t>
      </w:r>
      <w:r>
        <w:rPr>
          <w:bCs/>
        </w:rPr>
        <w:t>等6个三级指标。</w:t>
      </w:r>
    </w:p>
    <w:p>
      <w:pPr>
        <w:pageBreakBefore w:val="0"/>
        <w:kinsoku/>
        <w:wordWrap/>
        <w:overflowPunct/>
        <w:topLinePunct w:val="0"/>
        <w:autoSpaceDE/>
        <w:autoSpaceDN/>
        <w:bidi w:val="0"/>
        <w:spacing w:line="360" w:lineRule="exact"/>
        <w:ind w:firstLine="420"/>
        <w:rPr>
          <w:bCs/>
        </w:rPr>
      </w:pPr>
      <w:r>
        <w:rPr>
          <w:bCs/>
        </w:rPr>
        <w:t>（2）过程指标：从</w:t>
      </w:r>
      <w:r>
        <w:t>资金管理、组织实施</w:t>
      </w:r>
      <w:r>
        <w:rPr>
          <w:bCs/>
        </w:rPr>
        <w:t>两个方面评价项目实施过程情况，包括</w:t>
      </w:r>
      <w:r>
        <w:t>资金到位率、预算执行率、资金使用合规性、管理制度健全性、制度执行有效性</w:t>
      </w:r>
      <w:r>
        <w:rPr>
          <w:bCs/>
        </w:rPr>
        <w:t>等5个三级指标。</w:t>
      </w:r>
    </w:p>
    <w:p>
      <w:pPr>
        <w:pageBreakBefore w:val="0"/>
        <w:kinsoku/>
        <w:wordWrap/>
        <w:overflowPunct/>
        <w:topLinePunct w:val="0"/>
        <w:autoSpaceDE/>
        <w:autoSpaceDN/>
        <w:bidi w:val="0"/>
        <w:spacing w:line="360" w:lineRule="exact"/>
        <w:ind w:firstLine="420"/>
        <w:rPr>
          <w:bCs/>
        </w:rPr>
      </w:pPr>
      <w:r>
        <w:rPr>
          <w:bCs/>
        </w:rPr>
        <w:t>（3）产出指标：从数量、质量、时效、成本等四方面评价项目产出情况，包括参与环卫服务工作人员数量</w:t>
      </w:r>
      <w:r>
        <w:rPr>
          <w:rFonts w:hint="eastAsia"/>
          <w:bCs/>
        </w:rPr>
        <w:t>、</w:t>
      </w:r>
      <w:r>
        <w:rPr>
          <w:bCs/>
        </w:rPr>
        <w:t>保障城区道路清洁数量</w:t>
      </w:r>
      <w:r>
        <w:rPr>
          <w:rFonts w:hint="eastAsia"/>
          <w:bCs/>
        </w:rPr>
        <w:t>、</w:t>
      </w:r>
      <w:r>
        <w:rPr>
          <w:bCs/>
        </w:rPr>
        <w:t>保障广场公园清洁数量</w:t>
      </w:r>
      <w:r>
        <w:rPr>
          <w:rFonts w:hint="eastAsia"/>
          <w:bCs/>
        </w:rPr>
        <w:t>、日产清运垃圾量、</w:t>
      </w:r>
      <w:r>
        <w:rPr>
          <w:bCs/>
        </w:rPr>
        <w:t>月度工作考核合格率</w:t>
      </w:r>
      <w:r>
        <w:rPr>
          <w:rFonts w:hint="eastAsia"/>
          <w:bCs/>
          <w:lang w:eastAsia="zh-CN"/>
        </w:rPr>
        <w:t>、作业绩效考核完整性</w:t>
      </w:r>
      <w:r>
        <w:rPr>
          <w:rFonts w:hint="eastAsia"/>
          <w:bCs/>
        </w:rPr>
        <w:t>、</w:t>
      </w:r>
      <w:r>
        <w:rPr>
          <w:bCs/>
        </w:rPr>
        <w:t>服务时长</w:t>
      </w:r>
      <w:r>
        <w:rPr>
          <w:rFonts w:hint="eastAsia"/>
          <w:bCs/>
        </w:rPr>
        <w:t>、绩效考核及时率、</w:t>
      </w:r>
      <w:r>
        <w:rPr>
          <w:bCs/>
        </w:rPr>
        <w:t>月度服务费用</w:t>
      </w:r>
      <w:r>
        <w:rPr>
          <w:rFonts w:hint="eastAsia"/>
          <w:bCs/>
          <w:lang w:val="en-US" w:eastAsia="zh-CN"/>
        </w:rPr>
        <w:t>9</w:t>
      </w:r>
      <w:r>
        <w:rPr>
          <w:bCs/>
        </w:rPr>
        <w:t>个三级指标。</w:t>
      </w:r>
    </w:p>
    <w:p>
      <w:pPr>
        <w:pageBreakBefore w:val="0"/>
        <w:kinsoku/>
        <w:wordWrap/>
        <w:overflowPunct/>
        <w:topLinePunct w:val="0"/>
        <w:autoSpaceDE/>
        <w:autoSpaceDN/>
        <w:bidi w:val="0"/>
        <w:spacing w:line="360" w:lineRule="exact"/>
        <w:ind w:firstLine="420"/>
      </w:pPr>
      <w:r>
        <w:rPr>
          <w:bCs/>
        </w:rPr>
        <w:t>（4）效果指标：从社会效益、服务对象满意度等2个方面评价项目效益情况，包括优化城区公共区域卫生环境</w:t>
      </w:r>
      <w:r>
        <w:rPr>
          <w:rFonts w:hint="eastAsia"/>
          <w:bCs/>
        </w:rPr>
        <w:t>、</w:t>
      </w:r>
      <w:r>
        <w:rPr>
          <w:bCs/>
        </w:rPr>
        <w:t>提高环卫服务水平</w:t>
      </w:r>
      <w:r>
        <w:rPr>
          <w:rFonts w:hint="eastAsia"/>
          <w:bCs/>
        </w:rPr>
        <w:t>，</w:t>
      </w:r>
      <w:r>
        <w:rPr>
          <w:bCs/>
        </w:rPr>
        <w:t>提高环卫工人生活水平</w:t>
      </w:r>
      <w:r>
        <w:rPr>
          <w:rFonts w:hint="eastAsia"/>
          <w:bCs/>
        </w:rPr>
        <w:t>，</w:t>
      </w:r>
      <w:r>
        <w:rPr>
          <w:bCs/>
        </w:rPr>
        <w:t>社会公众满意度</w:t>
      </w:r>
      <w:r>
        <w:rPr>
          <w:rFonts w:hint="eastAsia"/>
          <w:bCs/>
        </w:rPr>
        <w:t>和</w:t>
      </w:r>
      <w:r>
        <w:rPr>
          <w:bCs/>
        </w:rPr>
        <w:t>环卫工人满意度4个三级指标</w:t>
      </w:r>
      <w:r>
        <w:t>。</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46" w:name="_Toc14661"/>
      <w:bookmarkStart w:id="147" w:name="_Toc24724"/>
      <w:bookmarkStart w:id="148" w:name="_Toc20169"/>
      <w:bookmarkStart w:id="149" w:name="_Toc2828"/>
      <w:bookmarkStart w:id="150" w:name="_Toc8122"/>
      <w:bookmarkStart w:id="151" w:name="_Toc8802"/>
      <w:bookmarkStart w:id="152" w:name="_Toc31104"/>
      <w:bookmarkStart w:id="153" w:name="_Toc16630"/>
      <w:r>
        <w:rPr>
          <w:rFonts w:hint="eastAsia" w:ascii="Times New Roman" w:hAnsi="Times New Roman" w:cs="Times New Roman" w:eastAsiaTheme="minorEastAsia"/>
          <w:b/>
          <w:bCs/>
          <w:kern w:val="2"/>
          <w:sz w:val="24"/>
          <w:szCs w:val="24"/>
          <w:lang w:val="en-US" w:eastAsia="zh-CN" w:bidi="ar-SA"/>
        </w:rPr>
        <w:t>（五）绩效评价方法</w:t>
      </w:r>
      <w:bookmarkEnd w:id="146"/>
      <w:bookmarkEnd w:id="147"/>
      <w:bookmarkEnd w:id="148"/>
      <w:bookmarkEnd w:id="149"/>
      <w:bookmarkEnd w:id="150"/>
      <w:bookmarkEnd w:id="151"/>
      <w:bookmarkEnd w:id="152"/>
      <w:bookmarkEnd w:id="153"/>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（1）项目决策类指标评价方法</w:t>
      </w:r>
    </w:p>
    <w:p>
      <w:pPr>
        <w:pageBreakBefore w:val="0"/>
        <w:kinsoku/>
        <w:wordWrap/>
        <w:overflowPunct/>
        <w:topLinePunct w:val="0"/>
        <w:autoSpaceDE/>
        <w:autoSpaceDN/>
        <w:bidi w:val="0"/>
        <w:spacing w:line="360" w:lineRule="exact"/>
        <w:ind w:firstLine="420"/>
      </w:pPr>
      <w:r>
        <w:t>立项依据充分性：比较法和文献法，查找法律法规政策以及规划，对比实际执行内容和政策支持内容是否匹配，分析立项依据充分性。</w:t>
      </w:r>
    </w:p>
    <w:p>
      <w:pPr>
        <w:pageBreakBefore w:val="0"/>
        <w:kinsoku/>
        <w:wordWrap/>
        <w:overflowPunct/>
        <w:topLinePunct w:val="0"/>
        <w:autoSpaceDE/>
        <w:autoSpaceDN/>
        <w:bidi w:val="0"/>
        <w:spacing w:line="360" w:lineRule="exact"/>
        <w:ind w:firstLine="420"/>
      </w:pPr>
      <w:r>
        <w:t>立项程序规范性：比较法和文献法，查找相关项目设立的政策和文件要求，对比分析实际执行程序是否按照政策及文件要求执行，分析立项程序的规范性。</w:t>
      </w:r>
    </w:p>
    <w:p>
      <w:pPr>
        <w:pageBreakBefore w:val="0"/>
        <w:kinsoku/>
        <w:wordWrap/>
        <w:overflowPunct/>
        <w:topLinePunct w:val="0"/>
        <w:autoSpaceDE/>
        <w:autoSpaceDN/>
        <w:bidi w:val="0"/>
        <w:spacing w:line="360" w:lineRule="exact"/>
        <w:ind w:firstLine="420"/>
      </w:pPr>
      <w:r>
        <w:t>绩效目标合理性：文献法和因素分析法，对比分析年初编制项目支出绩效目标表与项目内容的相关性、资金的匹配性等。</w:t>
      </w:r>
    </w:p>
    <w:p>
      <w:pPr>
        <w:pageBreakBefore w:val="0"/>
        <w:kinsoku/>
        <w:wordWrap/>
        <w:overflowPunct/>
        <w:topLinePunct w:val="0"/>
        <w:autoSpaceDE/>
        <w:autoSpaceDN/>
        <w:bidi w:val="0"/>
        <w:spacing w:line="360" w:lineRule="exact"/>
        <w:ind w:firstLine="420"/>
      </w:pPr>
      <w:r>
        <w:t>绩效指标明确性：文献法和因素分析法，比较分析年初编制项目支出绩效目标表是否符合双七原则，是否可衡量。</w:t>
      </w:r>
    </w:p>
    <w:p>
      <w:pPr>
        <w:pageBreakBefore w:val="0"/>
        <w:kinsoku/>
        <w:wordWrap/>
        <w:overflowPunct/>
        <w:topLinePunct w:val="0"/>
        <w:autoSpaceDE/>
        <w:autoSpaceDN/>
        <w:bidi w:val="0"/>
        <w:spacing w:line="360" w:lineRule="exact"/>
        <w:ind w:firstLine="420"/>
      </w:pPr>
      <w:r>
        <w:t>预算编制科学性：比较法和因素分析法，项目预算编制是否经过科学论证、有明确标准，资金额度与年度目标是否相适应，用以反映和考核项目预算编制的科学性、合理性情况。</w:t>
      </w:r>
    </w:p>
    <w:p>
      <w:pPr>
        <w:pageBreakBefore w:val="0"/>
        <w:kinsoku/>
        <w:wordWrap/>
        <w:overflowPunct/>
        <w:topLinePunct w:val="0"/>
        <w:autoSpaceDE/>
        <w:autoSpaceDN/>
        <w:bidi w:val="0"/>
        <w:spacing w:line="360" w:lineRule="exact"/>
        <w:ind w:firstLine="420"/>
        <w:rPr>
          <w:rFonts w:eastAsia="宋体"/>
        </w:rPr>
      </w:pPr>
      <w:r>
        <w:t>资金分配合理性：因素分析法，综合分析资金的分配依据是否充分，分配金额是否与项目实施单位需求金额一致。</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（2）项目过程类指标评价方法</w:t>
      </w:r>
    </w:p>
    <w:p>
      <w:pPr>
        <w:pageBreakBefore w:val="0"/>
        <w:kinsoku/>
        <w:wordWrap/>
        <w:overflowPunct/>
        <w:topLinePunct w:val="0"/>
        <w:autoSpaceDE/>
        <w:autoSpaceDN/>
        <w:bidi w:val="0"/>
        <w:spacing w:line="360" w:lineRule="exact"/>
        <w:ind w:firstLine="420"/>
      </w:pPr>
      <w:r>
        <w:t>资金到位率：比较法和因素分析法，项目完成且资金到位数满足年度预算规模需求，得3分；项目尚未完成，资金到位</w:t>
      </w:r>
      <w:r>
        <w:rPr>
          <w:rFonts w:eastAsia="宋体"/>
        </w:rPr>
        <w:t>率小于100%且大于等于80%的得2分，资金到位率小于80%且大于等于60%的得1</w:t>
      </w:r>
      <w:r>
        <w:rPr>
          <w:rFonts w:hint="eastAsia" w:eastAsia="宋体"/>
          <w:lang w:eastAsia="zh-CN"/>
        </w:rPr>
        <w:t>.5</w:t>
      </w:r>
      <w:r>
        <w:rPr>
          <w:rFonts w:eastAsia="宋体"/>
        </w:rPr>
        <w:t>分，资金到位率小于60%的不得分，并分</w:t>
      </w:r>
      <w:r>
        <w:t>析实际完成值和预期指标值之间的差距和原因。</w:t>
      </w:r>
    </w:p>
    <w:p>
      <w:pPr>
        <w:pageBreakBefore w:val="0"/>
        <w:kinsoku/>
        <w:wordWrap/>
        <w:overflowPunct/>
        <w:topLinePunct w:val="0"/>
        <w:autoSpaceDE/>
        <w:autoSpaceDN/>
        <w:bidi w:val="0"/>
        <w:spacing w:line="360" w:lineRule="exact"/>
        <w:ind w:firstLine="420"/>
      </w:pPr>
      <w:r>
        <w:rPr>
          <w:rFonts w:eastAsia="宋体"/>
        </w:rPr>
        <w:t>预算执行率：比较法和因素分析法，项目完成且执行数控制在年度预算规模之内的，得5分；项目尚未完成，预算执行率小于100%且大于等于80%的得3分，预算执行率小于80%且大于等于60%的得2分，预算执行率小于60%的不得分，并分析</w:t>
      </w:r>
      <w:r>
        <w:t>实际完成值和预期指标值之间的差距和原因。</w:t>
      </w:r>
    </w:p>
    <w:p>
      <w:pPr>
        <w:pageBreakBefore w:val="0"/>
        <w:kinsoku/>
        <w:wordWrap/>
        <w:overflowPunct/>
        <w:topLinePunct w:val="0"/>
        <w:autoSpaceDE/>
        <w:autoSpaceDN/>
        <w:bidi w:val="0"/>
        <w:spacing w:line="360" w:lineRule="exact"/>
        <w:ind w:firstLine="420"/>
      </w:pPr>
      <w:r>
        <w:t>资金使用合规性：比较法、文献法和因素分析法等，通过实地</w:t>
      </w:r>
      <w:r>
        <w:rPr>
          <w:szCs w:val="28"/>
          <w:lang w:val="zh-TW"/>
        </w:rPr>
        <w:t>调研</w:t>
      </w:r>
      <w:r>
        <w:t>，检查</w:t>
      </w:r>
      <w:r>
        <w:rPr>
          <w:szCs w:val="28"/>
          <w:lang w:val="zh-TW"/>
        </w:rPr>
        <w:t>项目资金使用情况，</w:t>
      </w:r>
      <w:r>
        <w:t>对比专项资金管理办法要求，</w:t>
      </w:r>
      <w:r>
        <w:rPr>
          <w:szCs w:val="28"/>
        </w:rPr>
        <w:t>分析</w:t>
      </w:r>
      <w:r>
        <w:t>资金使用合规性。</w:t>
      </w:r>
    </w:p>
    <w:p>
      <w:pPr>
        <w:pageBreakBefore w:val="0"/>
        <w:kinsoku/>
        <w:wordWrap/>
        <w:overflowPunct/>
        <w:topLinePunct w:val="0"/>
        <w:autoSpaceDE/>
        <w:autoSpaceDN/>
        <w:bidi w:val="0"/>
        <w:spacing w:line="360" w:lineRule="exact"/>
        <w:ind w:firstLine="420"/>
      </w:pPr>
      <w:r>
        <w:t>管理制度健全性：文献法、比较法和因素分析法等，通过查阅项目实施单位提供的财务和业务管理制度，将已建立的制度与现行的法律法规和政策要求进行对比，分析项目制度的合法性、合规性、完整性。</w:t>
      </w:r>
    </w:p>
    <w:p>
      <w:pPr>
        <w:pageBreakBefore w:val="0"/>
        <w:kinsoku/>
        <w:wordWrap/>
        <w:overflowPunct/>
        <w:topLinePunct w:val="0"/>
        <w:autoSpaceDE/>
        <w:autoSpaceDN/>
        <w:bidi w:val="0"/>
        <w:spacing w:line="360" w:lineRule="exact"/>
        <w:ind w:firstLine="420"/>
      </w:pPr>
      <w:r>
        <w:t>制度执行有效性：文献法和因素分析法，结合项目实际实施过程性文件，根据已建设的财务管理制度和项目管理制度综合分析制度执行的有效性。</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（3）项目产出类指标评价方法</w:t>
      </w:r>
    </w:p>
    <w:p>
      <w:pPr>
        <w:pageBreakBefore w:val="0"/>
        <w:kinsoku/>
        <w:wordWrap/>
        <w:overflowPunct/>
        <w:topLinePunct w:val="0"/>
        <w:autoSpaceDE/>
        <w:autoSpaceDN/>
        <w:bidi w:val="0"/>
        <w:spacing w:line="360" w:lineRule="exact"/>
        <w:ind w:firstLine="420"/>
      </w:pPr>
      <w:r>
        <w:t>一般量化统计类等定量指标：通过对比实际完成值和预期指标值和历史值对比分析，达成预期指标值的，记该指标所赋全部分值；对完成值高于指标值较多的，要分析原因，如果是由于年初指标值设定明显偏低造成的，要按照偏离度适度调减分值；未完成指标值的，</w:t>
      </w:r>
      <w:r>
        <w:rPr>
          <w:rFonts w:eastAsia="宋体"/>
        </w:rPr>
        <w:t>按照完成值与指标值的</w:t>
      </w:r>
      <w:r>
        <w:rPr>
          <w:lang w:eastAsia="zh-Hans"/>
        </w:rPr>
        <w:t>比值计算分值</w:t>
      </w:r>
      <w:r>
        <w:t>。</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（4）项目效益类指标评价方法</w:t>
      </w:r>
    </w:p>
    <w:p>
      <w:pPr>
        <w:pageBreakBefore w:val="0"/>
        <w:kinsoku/>
        <w:wordWrap/>
        <w:overflowPunct/>
        <w:topLinePunct w:val="0"/>
        <w:autoSpaceDE/>
        <w:autoSpaceDN/>
        <w:bidi w:val="0"/>
        <w:spacing w:line="360" w:lineRule="exact"/>
        <w:ind w:firstLine="420"/>
      </w:pPr>
      <w:r>
        <w:t>项目效益类指标主要采用公众评判法，辅以文献法、比较法和因素分析法，通过问卷及抽样调查等方式评价该项目实施后社会公众对于其实施效果的满意程度。</w:t>
      </w:r>
    </w:p>
    <w:p>
      <w:pPr>
        <w:pageBreakBefore w:val="0"/>
        <w:kinsoku/>
        <w:wordWrap/>
        <w:overflowPunct/>
        <w:topLinePunct w:val="0"/>
        <w:autoSpaceDE/>
        <w:autoSpaceDN/>
        <w:bidi w:val="0"/>
        <w:spacing w:line="360" w:lineRule="exact"/>
        <w:ind w:firstLine="420"/>
      </w:pPr>
      <w:r>
        <w:fldChar w:fldCharType="begin"/>
      </w:r>
      <w:r>
        <w:instrText xml:space="preserve"> = 1 \* GB3 </w:instrText>
      </w:r>
      <w:r>
        <w:fldChar w:fldCharType="separate"/>
      </w:r>
      <w:r>
        <w:t>①</w:t>
      </w:r>
      <w:r>
        <w:fldChar w:fldCharType="end"/>
      </w:r>
      <w:r>
        <w:t>文献研究法：对项目实施内容、预算执行管理要求、活动完成情况及预期效果实现情况等相关资料进行研究、比较、分析，提取重要信息。</w:t>
      </w:r>
    </w:p>
    <w:p>
      <w:pPr>
        <w:pageBreakBefore w:val="0"/>
        <w:kinsoku/>
        <w:wordWrap/>
        <w:overflowPunct/>
        <w:topLinePunct w:val="0"/>
        <w:autoSpaceDE/>
        <w:autoSpaceDN/>
        <w:bidi w:val="0"/>
        <w:spacing w:line="360" w:lineRule="exact"/>
        <w:ind w:firstLine="420"/>
      </w:pPr>
      <w:r>
        <w:fldChar w:fldCharType="begin"/>
      </w:r>
      <w:r>
        <w:instrText xml:space="preserve"> = 2 \* GB3 </w:instrText>
      </w:r>
      <w:r>
        <w:fldChar w:fldCharType="separate"/>
      </w:r>
      <w:r>
        <w:t>②</w:t>
      </w:r>
      <w:r>
        <w:fldChar w:fldCharType="end"/>
      </w:r>
      <w:r>
        <w:t>公众评判法：利益相关方</w:t>
      </w:r>
      <w:r>
        <w:rPr>
          <w:rFonts w:hint="eastAsia"/>
        </w:rPr>
        <w:t>对</w:t>
      </w:r>
      <w:r>
        <w:t>实施效果的反馈对本次评价工作具有重要意义，评价过程中采用个别访谈或调查问卷等方式开展相关工作。调研结果参照《关于印发&lt;自治区项目支出绩效目标设置指引&gt;的通知）（新财预〔2022〕42号）文件，分为基本达成目标、部分实现目标、实现目标程度较低三档，分别按照该指标对应分值区间100%</w:t>
      </w:r>
      <w:r>
        <w:rPr>
          <w:rFonts w:hint="eastAsia"/>
          <w:lang w:val="en-US" w:eastAsia="zh-CN"/>
        </w:rPr>
        <w:t>~</w:t>
      </w:r>
      <w:r>
        <w:t>80%（含）、80%</w:t>
      </w:r>
      <w:r>
        <w:rPr>
          <w:rFonts w:hint="eastAsia"/>
          <w:lang w:val="en-US" w:eastAsia="zh-CN"/>
        </w:rPr>
        <w:t>~</w:t>
      </w:r>
      <w:r>
        <w:t>60%（含）、60%</w:t>
      </w:r>
      <w:r>
        <w:rPr>
          <w:rFonts w:hint="eastAsia"/>
          <w:lang w:val="en-US" w:eastAsia="zh-CN"/>
        </w:rPr>
        <w:t>~</w:t>
      </w:r>
      <w:r>
        <w:t>0%合理确定分值。</w:t>
      </w:r>
    </w:p>
    <w:p>
      <w:pPr>
        <w:pageBreakBefore w:val="0"/>
        <w:kinsoku/>
        <w:wordWrap/>
        <w:overflowPunct/>
        <w:topLinePunct w:val="0"/>
        <w:autoSpaceDE/>
        <w:autoSpaceDN/>
        <w:bidi w:val="0"/>
        <w:spacing w:line="360" w:lineRule="exact"/>
        <w:ind w:firstLine="420"/>
      </w:pPr>
      <w:r>
        <w:fldChar w:fldCharType="begin"/>
      </w:r>
      <w:r>
        <w:instrText xml:space="preserve"> = 3 \* GB3 </w:instrText>
      </w:r>
      <w:r>
        <w:fldChar w:fldCharType="separate"/>
      </w:r>
      <w:r>
        <w:t>③</w:t>
      </w:r>
      <w:r>
        <w:fldChar w:fldCharType="end"/>
      </w:r>
      <w:r>
        <w:t>比较法：在分析实际发挥效果程度时，通过对工作任务、目标与实施完成情况、实施效果的比较，综合分析年度目标任务的实现程度。</w:t>
      </w:r>
    </w:p>
    <w:p>
      <w:pPr>
        <w:pageBreakBefore w:val="0"/>
        <w:kinsoku/>
        <w:wordWrap/>
        <w:overflowPunct/>
        <w:topLinePunct w:val="0"/>
        <w:autoSpaceDE/>
        <w:autoSpaceDN/>
        <w:bidi w:val="0"/>
        <w:spacing w:line="360" w:lineRule="exact"/>
        <w:ind w:firstLine="420"/>
      </w:pPr>
      <w:r>
        <w:fldChar w:fldCharType="begin"/>
      </w:r>
      <w:r>
        <w:instrText xml:space="preserve"> = 4 \* GB3 </w:instrText>
      </w:r>
      <w:r>
        <w:fldChar w:fldCharType="separate"/>
      </w:r>
      <w:r>
        <w:t>④</w:t>
      </w:r>
      <w:r>
        <w:fldChar w:fldCharType="end"/>
      </w:r>
      <w:r>
        <w:t>因素分析法：通过综合分析影响项目年度任务实现及实施效果的内外因素，评价其实现程度。</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54" w:name="_Toc4661"/>
      <w:bookmarkStart w:id="155" w:name="_Toc24266"/>
      <w:bookmarkStart w:id="156" w:name="_Toc9833"/>
      <w:r>
        <w:rPr>
          <w:rFonts w:hint="eastAsia" w:ascii="Times New Roman" w:hAnsi="Times New Roman" w:cs="Times New Roman" w:eastAsiaTheme="minorEastAsia"/>
          <w:b/>
          <w:bCs/>
          <w:kern w:val="2"/>
          <w:sz w:val="24"/>
          <w:szCs w:val="24"/>
          <w:lang w:val="en-US" w:eastAsia="zh-CN" w:bidi="ar-SA"/>
        </w:rPr>
        <w:t>（六）绩效评价标准</w:t>
      </w:r>
      <w:bookmarkEnd w:id="154"/>
      <w:bookmarkEnd w:id="155"/>
      <w:bookmarkEnd w:id="156"/>
    </w:p>
    <w:p>
      <w:pPr>
        <w:pageBreakBefore w:val="0"/>
        <w:numPr>
          <w:ilvl w:val="0"/>
          <w:numId w:val="0"/>
        </w:numPr>
        <w:kinsoku/>
        <w:wordWrap/>
        <w:overflowPunct/>
        <w:topLinePunct w:val="0"/>
        <w:autoSpaceDE/>
        <w:autoSpaceDN/>
        <w:bidi w:val="0"/>
        <w:spacing w:line="360" w:lineRule="exact"/>
        <w:ind w:firstLine="420"/>
      </w:pPr>
      <w:r>
        <w:rPr>
          <w:rFonts w:hint="eastAsia" w:ascii="Times New Roman" w:hAnsi="Times New Roman" w:cs="Times New Roman" w:eastAsiaTheme="minorEastAsia"/>
          <w:sz w:val="21"/>
          <w:szCs w:val="21"/>
        </w:rPr>
        <w:t>绩效评价标准通常包括计划标准、行业标准、历史标准等。本次绩效评价采用计划标准，以预先制定的目标、计划、预算、定额等作为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57" w:name="_Toc14087"/>
      <w:bookmarkStart w:id="158" w:name="_Toc9358"/>
      <w:bookmarkStart w:id="159" w:name="_Toc32617"/>
      <w:bookmarkStart w:id="160" w:name="_Toc11146"/>
      <w:bookmarkStart w:id="161" w:name="_Toc31052"/>
      <w:bookmarkStart w:id="162" w:name="_Toc15848"/>
      <w:bookmarkStart w:id="163" w:name="_Toc21103"/>
      <w:r>
        <w:rPr>
          <w:rFonts w:hint="eastAsia" w:ascii="Times New Roman" w:hAnsi="Times New Roman" w:cs="Times New Roman" w:eastAsiaTheme="minorEastAsia"/>
          <w:b/>
          <w:bCs/>
          <w:kern w:val="2"/>
          <w:sz w:val="24"/>
          <w:szCs w:val="24"/>
          <w:lang w:val="en-US" w:eastAsia="zh-CN" w:bidi="ar-SA"/>
        </w:rPr>
        <w:t>（七）绩效评价工作过程</w:t>
      </w:r>
      <w:bookmarkEnd w:id="145"/>
      <w:bookmarkEnd w:id="157"/>
      <w:bookmarkEnd w:id="158"/>
      <w:bookmarkEnd w:id="159"/>
      <w:bookmarkEnd w:id="160"/>
      <w:bookmarkEnd w:id="161"/>
      <w:bookmarkEnd w:id="162"/>
      <w:bookmarkEnd w:id="163"/>
    </w:p>
    <w:p>
      <w:pPr>
        <w:pageBreakBefore w:val="0"/>
        <w:kinsoku/>
        <w:wordWrap/>
        <w:overflowPunct/>
        <w:topLinePunct w:val="0"/>
        <w:autoSpaceDE/>
        <w:autoSpaceDN/>
        <w:bidi w:val="0"/>
        <w:spacing w:line="360" w:lineRule="exact"/>
        <w:ind w:firstLine="420"/>
      </w:pPr>
      <w:r>
        <w:rPr>
          <w:rFonts w:hint="eastAsia"/>
        </w:rPr>
        <w:t>我们接受委托，</w:t>
      </w:r>
      <w:r>
        <w:t>按规定开展</w:t>
      </w:r>
      <w:r>
        <w:rPr>
          <w:rFonts w:hint="eastAsia"/>
        </w:rPr>
        <w:t>了</w:t>
      </w:r>
      <w:r>
        <w:t>前期准备、制定绩效评价工作方案、组织实施、报告撰写等</w:t>
      </w:r>
      <w:r>
        <w:rPr>
          <w:rFonts w:hint="eastAsia"/>
        </w:rPr>
        <w:t>绩效评价工作程序</w:t>
      </w:r>
      <w:r>
        <w:t>。绩效评价从202</w:t>
      </w:r>
      <w:r>
        <w:rPr>
          <w:rFonts w:hint="eastAsia"/>
        </w:rPr>
        <w:t>4</w:t>
      </w:r>
      <w:r>
        <w:t>年</w:t>
      </w:r>
      <w:r>
        <w:rPr>
          <w:rFonts w:hint="eastAsia"/>
          <w:lang w:val="en-US" w:eastAsia="zh-CN"/>
        </w:rPr>
        <w:t>7</w:t>
      </w:r>
      <w:r>
        <w:t>月</w:t>
      </w:r>
      <w:r>
        <w:rPr>
          <w:rFonts w:hint="eastAsia"/>
        </w:rPr>
        <w:t>1</w:t>
      </w:r>
      <w:r>
        <w:t>日启动，</w:t>
      </w:r>
      <w:r>
        <w:rPr>
          <w:rFonts w:hint="eastAsia"/>
        </w:rPr>
        <w:t>在</w:t>
      </w:r>
      <w:r>
        <w:t>各方有效配合</w:t>
      </w:r>
      <w:r>
        <w:rPr>
          <w:rFonts w:hint="eastAsia"/>
        </w:rPr>
        <w:t>下</w:t>
      </w:r>
      <w:r>
        <w:t>，评价工作于202</w:t>
      </w:r>
      <w:r>
        <w:rPr>
          <w:rFonts w:hint="eastAsia"/>
        </w:rPr>
        <w:t>4</w:t>
      </w:r>
      <w:r>
        <w:t>年</w:t>
      </w:r>
      <w:r>
        <w:rPr>
          <w:rFonts w:hint="eastAsia"/>
        </w:rPr>
        <w:t>7</w:t>
      </w:r>
      <w:r>
        <w:t>月</w:t>
      </w:r>
      <w:r>
        <w:rPr>
          <w:rFonts w:hint="eastAsia"/>
        </w:rPr>
        <w:t>25</w:t>
      </w:r>
      <w:r>
        <w:t>日前完成。</w:t>
      </w:r>
      <w:r>
        <w:rPr>
          <w:rFonts w:hint="eastAsia"/>
        </w:rPr>
        <w:t>主要</w:t>
      </w:r>
      <w:r>
        <w:t>实施</w:t>
      </w:r>
      <w:r>
        <w:rPr>
          <w:rFonts w:hint="eastAsia"/>
        </w:rPr>
        <w:t>过程</w:t>
      </w:r>
      <w:r>
        <w:t>如下</w:t>
      </w:r>
      <w:r>
        <w:rPr>
          <w:rFonts w:hint="eastAsia"/>
          <w:lang w:eastAsia="zh-CN"/>
        </w:rPr>
        <w:t>。</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64" w:name="_Toc4146"/>
      <w:r>
        <w:rPr>
          <w:rFonts w:hint="eastAsia" w:ascii="Times New Roman" w:hAnsi="Times New Roman" w:cs="Times New Roman" w:eastAsiaTheme="minorEastAsia"/>
          <w:b/>
          <w:bCs/>
          <w:kern w:val="2"/>
          <w:sz w:val="24"/>
          <w:szCs w:val="24"/>
          <w:lang w:val="en-US" w:eastAsia="zh-CN" w:bidi="ar-SA"/>
        </w:rPr>
        <w:t>1</w:t>
      </w:r>
      <w:bookmarkEnd w:id="164"/>
      <w:r>
        <w:rPr>
          <w:rFonts w:hint="eastAsia" w:ascii="Times New Roman" w:hAnsi="Times New Roman" w:cs="Times New Roman" w:eastAsiaTheme="minorEastAsia"/>
          <w:b/>
          <w:bCs/>
          <w:kern w:val="2"/>
          <w:sz w:val="24"/>
          <w:szCs w:val="24"/>
          <w:lang w:val="en-US" w:eastAsia="zh-CN" w:bidi="ar-SA"/>
        </w:rPr>
        <w:t>.前期准备工作</w:t>
      </w:r>
    </w:p>
    <w:p>
      <w:pPr>
        <w:pageBreakBefore w:val="0"/>
        <w:kinsoku/>
        <w:wordWrap/>
        <w:overflowPunct/>
        <w:topLinePunct w:val="0"/>
        <w:autoSpaceDE/>
        <w:autoSpaceDN/>
        <w:bidi w:val="0"/>
        <w:spacing w:beforeLines="0" w:afterLines="0" w:line="360" w:lineRule="exact"/>
        <w:ind w:firstLine="420" w:firstLineChars="200"/>
        <w:rPr>
          <w:rFonts w:hint="eastAsia" w:ascii="Times New Roman" w:hAnsi="Times New Roman"/>
          <w:sz w:val="21"/>
          <w:szCs w:val="24"/>
        </w:rPr>
      </w:pPr>
      <w:r>
        <w:rPr>
          <w:bCs/>
        </w:rPr>
        <w:t>根据项目实际情况，</w:t>
      </w:r>
      <w:r>
        <w:t>收集并了解</w:t>
      </w:r>
      <w:r>
        <w:rPr>
          <w:rFonts w:hint="eastAsia"/>
        </w:rPr>
        <w:t>绩效评价</w:t>
      </w:r>
      <w:r>
        <w:t>所需文件、资料</w:t>
      </w:r>
      <w:r>
        <w:rPr>
          <w:rFonts w:hint="eastAsia"/>
        </w:rPr>
        <w:t>，</w:t>
      </w:r>
      <w:r>
        <w:rPr>
          <w:bCs/>
        </w:rPr>
        <w:t>确定</w:t>
      </w:r>
      <w:r>
        <w:rPr>
          <w:rFonts w:hint="eastAsia"/>
          <w:bCs/>
        </w:rPr>
        <w:t>绩效评价</w:t>
      </w:r>
      <w:r>
        <w:rPr>
          <w:bCs/>
        </w:rPr>
        <w:t>目的</w:t>
      </w:r>
      <w:r>
        <w:rPr>
          <w:rFonts w:hint="eastAsia"/>
          <w:bCs/>
        </w:rPr>
        <w:t>、评价</w:t>
      </w:r>
      <w:r>
        <w:rPr>
          <w:bCs/>
        </w:rPr>
        <w:t>对象和范围、</w:t>
      </w:r>
      <w:r>
        <w:rPr>
          <w:rFonts w:hint="eastAsia"/>
          <w:bCs/>
        </w:rPr>
        <w:t>评价</w:t>
      </w:r>
      <w:r>
        <w:rPr>
          <w:bCs/>
        </w:rPr>
        <w:t>期限，</w:t>
      </w:r>
      <w:r>
        <w:t>制定《</w:t>
      </w:r>
      <w:r>
        <w:rPr>
          <w:rFonts w:hint="eastAsia"/>
        </w:rPr>
        <w:t>巴楚县住房和城乡建设局2023年度城区环卫市场化项目绩效评价</w:t>
      </w:r>
      <w:r>
        <w:t>工作实施方案》</w:t>
      </w:r>
      <w:r>
        <w:rPr>
          <w:rFonts w:hint="eastAsia"/>
        </w:rPr>
        <w:t>，并成立绩效评价小组</w:t>
      </w:r>
      <w:r>
        <w:t>。</w:t>
      </w:r>
      <w:bookmarkStart w:id="165" w:name="_Toc2133"/>
      <w:r>
        <w:rPr>
          <w:rFonts w:hint="eastAsia"/>
          <w:color w:val="auto"/>
          <w:sz w:val="21"/>
          <w:szCs w:val="24"/>
        </w:rPr>
        <w:t>绩效评价小组</w:t>
      </w:r>
      <w:r>
        <w:rPr>
          <w:rFonts w:hint="eastAsia" w:ascii="Times New Roman" w:hAnsi="Times New Roman"/>
          <w:sz w:val="21"/>
          <w:szCs w:val="24"/>
        </w:rPr>
        <w:t>具体成员及职责分工如下</w:t>
      </w:r>
      <w:r>
        <w:rPr>
          <w:rFonts w:hint="eastAsia"/>
          <w:sz w:val="21"/>
          <w:szCs w:val="24"/>
          <w:lang w:eastAsia="zh-CN"/>
        </w:rPr>
        <w:t>。</w:t>
      </w:r>
    </w:p>
    <w:tbl>
      <w:tblPr>
        <w:tblStyle w:val="19"/>
        <w:tblpPr w:leftFromText="180" w:rightFromText="180" w:vertAnchor="text" w:horzAnchor="page" w:tblpX="1661" w:tblpY="297"/>
        <w:tblOverlap w:val="never"/>
        <w:tblW w:w="515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15" w:type="dxa"/>
          <w:left w:w="15" w:type="dxa"/>
          <w:bottom w:w="15" w:type="dxa"/>
          <w:right w:w="15" w:type="dxa"/>
        </w:tblCellMar>
      </w:tblPr>
      <w:tblGrid>
        <w:gridCol w:w="622"/>
        <w:gridCol w:w="867"/>
        <w:gridCol w:w="1386"/>
        <w:gridCol w:w="1440"/>
        <w:gridCol w:w="42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85" w:hRule="atLeast"/>
        </w:trPr>
        <w:tc>
          <w:tcPr>
            <w:tcW w:w="36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b/>
                <w:color w:val="auto"/>
                <w:sz w:val="18"/>
                <w:szCs w:val="18"/>
                <w:lang w:eastAsia="en-US"/>
              </w:rPr>
            </w:pPr>
            <w:r>
              <w:rPr>
                <w:rFonts w:hint="eastAsia" w:ascii="Times New Roman" w:hAnsi="Times New Roman"/>
                <w:b/>
                <w:color w:val="auto"/>
                <w:kern w:val="0"/>
                <w:sz w:val="18"/>
                <w:szCs w:val="18"/>
                <w:lang w:bidi="ar"/>
              </w:rPr>
              <w:t>序号</w:t>
            </w:r>
          </w:p>
        </w:tc>
        <w:tc>
          <w:tcPr>
            <w:tcW w:w="50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b/>
                <w:color w:val="auto"/>
                <w:sz w:val="18"/>
                <w:szCs w:val="18"/>
                <w:lang w:eastAsia="en-US"/>
              </w:rPr>
            </w:pPr>
            <w:r>
              <w:rPr>
                <w:rFonts w:hint="eastAsia" w:ascii="Times New Roman" w:hAnsi="Times New Roman"/>
                <w:b/>
                <w:color w:val="auto"/>
                <w:kern w:val="0"/>
                <w:sz w:val="18"/>
                <w:szCs w:val="18"/>
                <w:lang w:bidi="ar"/>
              </w:rPr>
              <w:t>姓名</w:t>
            </w:r>
          </w:p>
        </w:tc>
        <w:tc>
          <w:tcPr>
            <w:tcW w:w="8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b/>
                <w:color w:val="auto"/>
                <w:sz w:val="18"/>
                <w:szCs w:val="18"/>
              </w:rPr>
            </w:pPr>
            <w:r>
              <w:rPr>
                <w:rFonts w:hint="eastAsia" w:ascii="Times New Roman" w:hAnsi="Times New Roman"/>
                <w:b/>
                <w:color w:val="auto"/>
                <w:sz w:val="18"/>
                <w:szCs w:val="18"/>
              </w:rPr>
              <w:t>项目角色</w:t>
            </w:r>
          </w:p>
        </w:tc>
        <w:tc>
          <w:tcPr>
            <w:tcW w:w="83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b/>
                <w:color w:val="auto"/>
                <w:sz w:val="18"/>
                <w:szCs w:val="18"/>
                <w:lang w:eastAsia="en-US"/>
              </w:rPr>
            </w:pPr>
            <w:r>
              <w:rPr>
                <w:rFonts w:hint="eastAsia" w:ascii="Times New Roman" w:hAnsi="Times New Roman"/>
                <w:b/>
                <w:color w:val="auto"/>
                <w:kern w:val="0"/>
                <w:sz w:val="18"/>
                <w:szCs w:val="18"/>
                <w:lang w:bidi="ar"/>
              </w:rPr>
              <w:t>资质或公司职位</w:t>
            </w:r>
          </w:p>
        </w:tc>
        <w:tc>
          <w:tcPr>
            <w:tcW w:w="249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b/>
                <w:color w:val="auto"/>
                <w:kern w:val="0"/>
                <w:sz w:val="18"/>
                <w:szCs w:val="18"/>
                <w:lang w:bidi="ar"/>
              </w:rPr>
            </w:pPr>
            <w:r>
              <w:rPr>
                <w:rFonts w:hint="eastAsia" w:ascii="Times New Roman" w:hAnsi="Times New Roman"/>
                <w:b/>
                <w:color w:val="auto"/>
                <w:kern w:val="0"/>
                <w:sz w:val="18"/>
                <w:szCs w:val="18"/>
                <w:lang w:bidi="ar"/>
              </w:rPr>
              <w:t>主要职责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004" w:hRule="atLeast"/>
        </w:trPr>
        <w:tc>
          <w:tcPr>
            <w:tcW w:w="36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color w:val="auto"/>
                <w:sz w:val="18"/>
                <w:szCs w:val="18"/>
              </w:rPr>
            </w:pPr>
            <w:r>
              <w:rPr>
                <w:rFonts w:hint="default" w:ascii="Times New Roman" w:hAnsi="Times New Roman"/>
                <w:color w:val="auto"/>
                <w:kern w:val="0"/>
                <w:sz w:val="18"/>
                <w:szCs w:val="18"/>
                <w:lang w:bidi="ar"/>
              </w:rPr>
              <w:t>1</w:t>
            </w:r>
          </w:p>
        </w:tc>
        <w:tc>
          <w:tcPr>
            <w:tcW w:w="50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color w:val="auto"/>
                <w:kern w:val="0"/>
                <w:sz w:val="18"/>
                <w:szCs w:val="18"/>
                <w:lang w:bidi="ar"/>
              </w:rPr>
            </w:pPr>
            <w:r>
              <w:rPr>
                <w:rFonts w:hint="eastAsia" w:ascii="Times New Roman" w:hAnsi="Times New Roman"/>
                <w:color w:val="auto"/>
                <w:kern w:val="0"/>
                <w:sz w:val="18"/>
                <w:szCs w:val="18"/>
                <w:lang w:bidi="ar"/>
              </w:rPr>
              <w:t>冯延萍</w:t>
            </w:r>
          </w:p>
        </w:tc>
        <w:tc>
          <w:tcPr>
            <w:tcW w:w="8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color w:val="auto"/>
                <w:kern w:val="0"/>
                <w:sz w:val="18"/>
                <w:szCs w:val="18"/>
                <w:lang w:bidi="ar"/>
              </w:rPr>
            </w:pPr>
            <w:r>
              <w:rPr>
                <w:rFonts w:hint="eastAsia" w:ascii="Times New Roman" w:hAnsi="Times New Roman"/>
                <w:color w:val="auto"/>
                <w:kern w:val="0"/>
                <w:sz w:val="18"/>
                <w:szCs w:val="18"/>
                <w:lang w:bidi="ar"/>
              </w:rPr>
              <w:t>主评人</w:t>
            </w:r>
          </w:p>
        </w:tc>
        <w:tc>
          <w:tcPr>
            <w:tcW w:w="83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b/>
                <w:color w:val="auto"/>
                <w:kern w:val="0"/>
                <w:sz w:val="18"/>
                <w:szCs w:val="18"/>
                <w:lang w:bidi="ar"/>
              </w:rPr>
            </w:pPr>
            <w:r>
              <w:rPr>
                <w:rFonts w:hint="eastAsia" w:ascii="Times New Roman" w:hAnsi="Times New Roman"/>
                <w:color w:val="auto"/>
                <w:kern w:val="0"/>
                <w:sz w:val="18"/>
                <w:szCs w:val="18"/>
                <w:lang w:bidi="ar"/>
              </w:rPr>
              <w:t>注册会计师、注册评估师</w:t>
            </w:r>
          </w:p>
        </w:tc>
        <w:tc>
          <w:tcPr>
            <w:tcW w:w="249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kinsoku/>
              <w:wordWrap/>
              <w:overflowPunct/>
              <w:topLinePunct w:val="0"/>
              <w:autoSpaceDE/>
              <w:autoSpaceDN/>
              <w:bidi w:val="0"/>
              <w:adjustRightInd w:val="0"/>
              <w:snapToGrid w:val="0"/>
              <w:spacing w:beforeLines="0" w:afterLines="0" w:line="360" w:lineRule="exact"/>
              <w:ind w:firstLine="0" w:firstLineChars="0"/>
              <w:jc w:val="left"/>
              <w:rPr>
                <w:rFonts w:hint="default" w:ascii="Times New Roman" w:hAnsi="Times New Roman"/>
                <w:color w:val="auto"/>
                <w:kern w:val="0"/>
                <w:sz w:val="18"/>
                <w:szCs w:val="18"/>
                <w:lang w:bidi="ar"/>
              </w:rPr>
            </w:pPr>
            <w:r>
              <w:rPr>
                <w:rFonts w:hint="eastAsia" w:ascii="Times New Roman" w:hAnsi="Times New Roman"/>
                <w:snapToGrid w:val="0"/>
                <w:color w:val="auto"/>
                <w:sz w:val="18"/>
                <w:szCs w:val="18"/>
              </w:rPr>
              <w:t>报告质量三级复核，对绩效评价工作总体方案及绩效评价指标体系进行整体把关和指导，对绩效评价结论和报告整体质量进行最终复核。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436" w:hRule="atLeast"/>
        </w:trPr>
        <w:tc>
          <w:tcPr>
            <w:tcW w:w="36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color w:val="auto"/>
                <w:sz w:val="18"/>
                <w:szCs w:val="18"/>
                <w:lang w:eastAsia="en-US"/>
              </w:rPr>
            </w:pPr>
            <w:r>
              <w:rPr>
                <w:rFonts w:hint="default" w:ascii="Times New Roman" w:hAnsi="Times New Roman"/>
                <w:color w:val="auto"/>
                <w:kern w:val="0"/>
                <w:sz w:val="18"/>
                <w:szCs w:val="18"/>
                <w:lang w:bidi="ar"/>
              </w:rPr>
              <w:t>2</w:t>
            </w:r>
          </w:p>
        </w:tc>
        <w:tc>
          <w:tcPr>
            <w:tcW w:w="50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color w:val="auto"/>
                <w:sz w:val="18"/>
                <w:szCs w:val="18"/>
                <w:lang w:eastAsia="en-US"/>
              </w:rPr>
            </w:pPr>
            <w:r>
              <w:rPr>
                <w:rFonts w:hint="eastAsia" w:ascii="Times New Roman" w:hAnsi="Times New Roman"/>
                <w:color w:val="auto"/>
                <w:sz w:val="18"/>
                <w:szCs w:val="18"/>
              </w:rPr>
              <w:t>腊晓林</w:t>
            </w:r>
          </w:p>
        </w:tc>
        <w:tc>
          <w:tcPr>
            <w:tcW w:w="8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color w:val="auto"/>
                <w:sz w:val="18"/>
                <w:szCs w:val="18"/>
                <w:lang w:eastAsia="en-US"/>
              </w:rPr>
            </w:pPr>
            <w:r>
              <w:rPr>
                <w:rFonts w:hint="eastAsia" w:ascii="Times New Roman" w:hAnsi="Times New Roman"/>
                <w:color w:val="auto"/>
                <w:kern w:val="0"/>
                <w:sz w:val="18"/>
                <w:szCs w:val="18"/>
                <w:lang w:bidi="ar"/>
              </w:rPr>
              <w:t>报告</w:t>
            </w:r>
            <w:r>
              <w:rPr>
                <w:rFonts w:hint="eastAsia"/>
                <w:color w:val="auto"/>
                <w:kern w:val="0"/>
                <w:sz w:val="18"/>
                <w:szCs w:val="18"/>
                <w:lang w:val="en-US" w:eastAsia="zh-CN" w:bidi="ar"/>
              </w:rPr>
              <w:t>复核</w:t>
            </w:r>
            <w:r>
              <w:rPr>
                <w:rFonts w:hint="eastAsia" w:ascii="Times New Roman" w:hAnsi="Times New Roman"/>
                <w:color w:val="auto"/>
                <w:kern w:val="0"/>
                <w:sz w:val="18"/>
                <w:szCs w:val="18"/>
                <w:lang w:bidi="ar"/>
              </w:rPr>
              <w:t>人</w:t>
            </w:r>
          </w:p>
        </w:tc>
        <w:tc>
          <w:tcPr>
            <w:tcW w:w="83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color w:val="auto"/>
                <w:sz w:val="18"/>
                <w:szCs w:val="18"/>
                <w:lang w:eastAsia="en-US"/>
              </w:rPr>
            </w:pPr>
            <w:r>
              <w:rPr>
                <w:rFonts w:hint="eastAsia" w:ascii="Times New Roman" w:hAnsi="Times New Roman"/>
                <w:color w:val="auto"/>
                <w:kern w:val="0"/>
                <w:sz w:val="18"/>
                <w:szCs w:val="18"/>
                <w:lang w:bidi="ar"/>
              </w:rPr>
              <w:t>技术总监</w:t>
            </w:r>
          </w:p>
        </w:tc>
        <w:tc>
          <w:tcPr>
            <w:tcW w:w="249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left"/>
              <w:textAlignment w:val="center"/>
              <w:rPr>
                <w:rFonts w:hint="default" w:ascii="Times New Roman" w:hAnsi="Times New Roman"/>
                <w:color w:val="auto"/>
                <w:kern w:val="0"/>
                <w:sz w:val="18"/>
                <w:szCs w:val="18"/>
                <w:lang w:bidi="ar"/>
              </w:rPr>
            </w:pPr>
            <w:r>
              <w:rPr>
                <w:rFonts w:hint="eastAsia" w:ascii="Times New Roman" w:hAnsi="Times New Roman"/>
                <w:color w:val="auto"/>
                <w:sz w:val="18"/>
                <w:szCs w:val="18"/>
              </w:rPr>
              <w:t>对绩效评价工作程序及绩效评价指标体系进行技术审核，对绩效评价结论的完整性、准确性、规范性、合理性进行审核指导，对出具报告的标准及质量进行审核把关。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350" w:hRule="atLeast"/>
        </w:trPr>
        <w:tc>
          <w:tcPr>
            <w:tcW w:w="36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color w:val="auto"/>
                <w:sz w:val="18"/>
                <w:szCs w:val="18"/>
                <w:lang w:eastAsia="en-US"/>
              </w:rPr>
            </w:pPr>
            <w:r>
              <w:rPr>
                <w:rFonts w:hint="default" w:ascii="Times New Roman" w:hAnsi="Times New Roman"/>
                <w:color w:val="auto"/>
                <w:kern w:val="0"/>
                <w:sz w:val="18"/>
                <w:szCs w:val="18"/>
                <w:lang w:bidi="ar"/>
              </w:rPr>
              <w:t>3</w:t>
            </w:r>
          </w:p>
        </w:tc>
        <w:tc>
          <w:tcPr>
            <w:tcW w:w="50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color w:val="auto"/>
                <w:sz w:val="18"/>
                <w:szCs w:val="18"/>
              </w:rPr>
            </w:pPr>
            <w:r>
              <w:rPr>
                <w:rFonts w:hint="eastAsia" w:ascii="Times New Roman" w:hAnsi="Times New Roman"/>
                <w:color w:val="auto"/>
                <w:sz w:val="18"/>
                <w:szCs w:val="18"/>
              </w:rPr>
              <w:t>赵夏清</w:t>
            </w:r>
          </w:p>
        </w:tc>
        <w:tc>
          <w:tcPr>
            <w:tcW w:w="8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color w:val="auto"/>
                <w:sz w:val="18"/>
                <w:szCs w:val="18"/>
                <w:lang w:eastAsia="en-US"/>
              </w:rPr>
            </w:pPr>
            <w:r>
              <w:rPr>
                <w:rFonts w:hint="eastAsia" w:ascii="Times New Roman" w:hAnsi="Times New Roman"/>
                <w:color w:val="auto"/>
                <w:kern w:val="0"/>
                <w:sz w:val="18"/>
                <w:szCs w:val="18"/>
                <w:lang w:bidi="ar"/>
              </w:rPr>
              <w:t>项目负责人</w:t>
            </w:r>
          </w:p>
        </w:tc>
        <w:tc>
          <w:tcPr>
            <w:tcW w:w="83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kinsoku/>
              <w:wordWrap/>
              <w:overflowPunct/>
              <w:topLinePunct w:val="0"/>
              <w:autoSpaceDE/>
              <w:autoSpaceDN/>
              <w:bidi w:val="0"/>
              <w:adjustRightInd w:val="0"/>
              <w:snapToGrid w:val="0"/>
              <w:spacing w:beforeLines="0" w:afterLines="0" w:line="360" w:lineRule="exact"/>
              <w:ind w:firstLine="0" w:firstLineChars="0"/>
              <w:jc w:val="center"/>
              <w:rPr>
                <w:rFonts w:hint="default" w:ascii="Times New Roman" w:hAnsi="Times New Roman"/>
                <w:color w:val="auto"/>
                <w:kern w:val="0"/>
                <w:sz w:val="18"/>
                <w:szCs w:val="18"/>
                <w:lang w:bidi="ar"/>
              </w:rPr>
            </w:pPr>
            <w:r>
              <w:rPr>
                <w:rFonts w:hint="eastAsia" w:ascii="Times New Roman" w:hAnsi="Times New Roman"/>
                <w:color w:val="auto"/>
                <w:kern w:val="0"/>
                <w:sz w:val="18"/>
                <w:szCs w:val="18"/>
                <w:lang w:bidi="ar"/>
              </w:rPr>
              <w:t>项目</w:t>
            </w:r>
            <w:r>
              <w:rPr>
                <w:rFonts w:hint="eastAsia"/>
                <w:color w:val="auto"/>
                <w:kern w:val="0"/>
                <w:sz w:val="18"/>
                <w:szCs w:val="18"/>
                <w:lang w:val="en-US" w:eastAsia="zh-CN" w:bidi="ar"/>
              </w:rPr>
              <w:t>负责人</w:t>
            </w:r>
          </w:p>
        </w:tc>
        <w:tc>
          <w:tcPr>
            <w:tcW w:w="249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kinsoku/>
              <w:wordWrap/>
              <w:overflowPunct/>
              <w:topLinePunct w:val="0"/>
              <w:autoSpaceDE/>
              <w:autoSpaceDN/>
              <w:bidi w:val="0"/>
              <w:adjustRightInd w:val="0"/>
              <w:snapToGrid w:val="0"/>
              <w:spacing w:beforeLines="0" w:afterLines="0" w:line="360" w:lineRule="exact"/>
              <w:ind w:firstLine="0" w:firstLineChars="0"/>
              <w:jc w:val="left"/>
              <w:rPr>
                <w:rFonts w:hint="default" w:ascii="Times New Roman" w:hAnsi="Times New Roman"/>
                <w:color w:val="auto"/>
                <w:kern w:val="0"/>
                <w:sz w:val="18"/>
                <w:szCs w:val="18"/>
                <w:lang w:bidi="ar"/>
              </w:rPr>
            </w:pPr>
            <w:r>
              <w:rPr>
                <w:rFonts w:hint="eastAsia" w:ascii="Times New Roman" w:hAnsi="Times New Roman"/>
                <w:snapToGrid w:val="0"/>
                <w:color w:val="auto"/>
                <w:sz w:val="18"/>
                <w:szCs w:val="18"/>
              </w:rPr>
              <w:t>负责委托业务对接，签订合同，业务前期准备，制定绩效评价工作方案，组织实施绩效评价工作，撰写绩效评价报告；并对绩效评价工作的底稿内容及质量负责，对报告内容及报告质量负责。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28" w:hRule="atLeast"/>
        </w:trPr>
        <w:tc>
          <w:tcPr>
            <w:tcW w:w="362"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color w:val="auto"/>
                <w:kern w:val="0"/>
                <w:sz w:val="18"/>
                <w:szCs w:val="18"/>
                <w:lang w:bidi="ar"/>
              </w:rPr>
            </w:pPr>
            <w:r>
              <w:rPr>
                <w:rFonts w:hint="default" w:ascii="Times New Roman" w:hAnsi="Times New Roman"/>
                <w:color w:val="auto"/>
                <w:kern w:val="0"/>
                <w:sz w:val="18"/>
                <w:szCs w:val="18"/>
                <w:lang w:bidi="ar"/>
              </w:rPr>
              <w:t>4</w:t>
            </w:r>
          </w:p>
        </w:tc>
        <w:tc>
          <w:tcPr>
            <w:tcW w:w="504"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kinsoku/>
              <w:wordWrap/>
              <w:overflowPunct/>
              <w:topLinePunct w:val="0"/>
              <w:autoSpaceDE/>
              <w:autoSpaceDN/>
              <w:bidi w:val="0"/>
              <w:adjustRightInd w:val="0"/>
              <w:snapToGrid w:val="0"/>
              <w:spacing w:beforeLines="0" w:afterLines="0" w:line="360" w:lineRule="exact"/>
              <w:ind w:firstLine="0" w:firstLineChars="0"/>
              <w:jc w:val="center"/>
              <w:rPr>
                <w:rFonts w:hint="default" w:ascii="Times New Roman" w:hAnsi="Times New Roman"/>
                <w:snapToGrid w:val="0"/>
                <w:color w:val="auto"/>
                <w:sz w:val="18"/>
                <w:szCs w:val="18"/>
              </w:rPr>
            </w:pPr>
            <w:r>
              <w:rPr>
                <w:rFonts w:hint="eastAsia" w:ascii="Times New Roman" w:hAnsi="Times New Roman"/>
                <w:snapToGrid w:val="0"/>
                <w:color w:val="auto"/>
                <w:sz w:val="18"/>
                <w:szCs w:val="18"/>
              </w:rPr>
              <w:t>郭璐璐</w:t>
            </w:r>
          </w:p>
        </w:tc>
        <w:tc>
          <w:tcPr>
            <w:tcW w:w="806"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widowControl/>
              <w:kinsoku/>
              <w:wordWrap/>
              <w:overflowPunct/>
              <w:topLinePunct w:val="0"/>
              <w:autoSpaceDE/>
              <w:autoSpaceDN/>
              <w:bidi w:val="0"/>
              <w:adjustRightInd w:val="0"/>
              <w:snapToGrid w:val="0"/>
              <w:spacing w:beforeLines="0" w:afterLines="0" w:line="360" w:lineRule="exact"/>
              <w:ind w:firstLine="0" w:firstLineChars="0"/>
              <w:jc w:val="center"/>
              <w:textAlignment w:val="center"/>
              <w:rPr>
                <w:rFonts w:hint="default" w:ascii="Times New Roman" w:hAnsi="Times New Roman"/>
                <w:snapToGrid w:val="0"/>
                <w:color w:val="auto"/>
                <w:sz w:val="18"/>
                <w:szCs w:val="18"/>
              </w:rPr>
            </w:pPr>
            <w:r>
              <w:rPr>
                <w:rFonts w:hint="eastAsia" w:ascii="Times New Roman" w:hAnsi="Times New Roman"/>
                <w:snapToGrid w:val="0"/>
                <w:color w:val="auto"/>
                <w:sz w:val="18"/>
                <w:szCs w:val="18"/>
              </w:rPr>
              <w:t>项目绩效评价人员</w:t>
            </w:r>
          </w:p>
        </w:tc>
        <w:tc>
          <w:tcPr>
            <w:tcW w:w="837"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kinsoku/>
              <w:wordWrap/>
              <w:overflowPunct/>
              <w:topLinePunct w:val="0"/>
              <w:autoSpaceDE/>
              <w:autoSpaceDN/>
              <w:bidi w:val="0"/>
              <w:adjustRightInd w:val="0"/>
              <w:snapToGrid w:val="0"/>
              <w:spacing w:beforeLines="0" w:afterLines="0" w:line="360" w:lineRule="exact"/>
              <w:ind w:firstLine="0" w:firstLineChars="0"/>
              <w:jc w:val="center"/>
              <w:rPr>
                <w:rFonts w:hint="default" w:ascii="Times New Roman" w:hAnsi="Times New Roman"/>
                <w:color w:val="auto"/>
                <w:kern w:val="0"/>
                <w:sz w:val="18"/>
                <w:szCs w:val="18"/>
                <w:lang w:bidi="ar"/>
              </w:rPr>
            </w:pPr>
            <w:r>
              <w:rPr>
                <w:rFonts w:hint="eastAsia" w:ascii="Times New Roman" w:hAnsi="Times New Roman"/>
                <w:color w:val="auto"/>
                <w:kern w:val="0"/>
                <w:sz w:val="18"/>
                <w:szCs w:val="18"/>
                <w:lang w:bidi="ar"/>
              </w:rPr>
              <w:t>项目助理</w:t>
            </w:r>
          </w:p>
        </w:tc>
        <w:tc>
          <w:tcPr>
            <w:tcW w:w="2490" w:type="pct"/>
            <w:tcBorders>
              <w:top w:val="single" w:color="000000" w:sz="4" w:space="0"/>
              <w:left w:val="single" w:color="000000" w:sz="4" w:space="0"/>
              <w:bottom w:val="single" w:color="000000" w:sz="4" w:space="0"/>
              <w:right w:val="single" w:color="000000" w:sz="4" w:space="0"/>
              <w:tl2br w:val="nil"/>
              <w:tr2bl w:val="nil"/>
            </w:tcBorders>
            <w:noWrap w:val="0"/>
            <w:vAlign w:val="center"/>
          </w:tcPr>
          <w:p>
            <w:pPr>
              <w:pageBreakBefore w:val="0"/>
              <w:kinsoku/>
              <w:wordWrap/>
              <w:overflowPunct/>
              <w:topLinePunct w:val="0"/>
              <w:autoSpaceDE/>
              <w:autoSpaceDN/>
              <w:bidi w:val="0"/>
              <w:adjustRightInd w:val="0"/>
              <w:snapToGrid w:val="0"/>
              <w:spacing w:beforeLines="0" w:afterLines="0" w:line="360" w:lineRule="exact"/>
              <w:ind w:firstLine="0" w:firstLineChars="0"/>
              <w:jc w:val="left"/>
              <w:rPr>
                <w:rFonts w:hint="default" w:ascii="Times New Roman" w:hAnsi="Times New Roman"/>
                <w:color w:val="auto"/>
                <w:kern w:val="0"/>
                <w:sz w:val="18"/>
                <w:szCs w:val="18"/>
                <w:lang w:bidi="ar"/>
              </w:rPr>
            </w:pPr>
            <w:r>
              <w:rPr>
                <w:rFonts w:hint="eastAsia" w:ascii="Times New Roman" w:hAnsi="Times New Roman"/>
                <w:snapToGrid w:val="0"/>
                <w:color w:val="auto"/>
                <w:sz w:val="18"/>
                <w:szCs w:val="18"/>
              </w:rPr>
              <w:t>负责收集、整理、归类项目相关资料；协助负责人整理调研工作材料、梳理项目相关资料和数据、开展指标评价分析等工作，并对独立完成的部分工作内容负责。</w:t>
            </w:r>
          </w:p>
        </w:tc>
      </w:tr>
    </w:tbl>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2.组织实施</w:t>
      </w:r>
      <w:bookmarkEnd w:id="165"/>
    </w:p>
    <w:p>
      <w:pPr>
        <w:pageBreakBefore w:val="0"/>
        <w:kinsoku/>
        <w:wordWrap/>
        <w:overflowPunct/>
        <w:topLinePunct w:val="0"/>
        <w:autoSpaceDE/>
        <w:autoSpaceDN/>
        <w:bidi w:val="0"/>
        <w:spacing w:line="360" w:lineRule="exact"/>
        <w:ind w:firstLine="420"/>
      </w:pPr>
      <w:r>
        <w:rPr>
          <w:rFonts w:hint="eastAsia" w:cs="宋体"/>
          <w:bCs/>
        </w:rPr>
        <w:t>绩效评价小组采取现场和非现场评价相结合的方式开展调研、查阅基础资料、数据采集、访谈、数据分析等具体评价工作</w:t>
      </w:r>
      <w:r>
        <w:t>，具体</w:t>
      </w:r>
      <w:r>
        <w:rPr>
          <w:rFonts w:hint="eastAsia"/>
        </w:rPr>
        <w:t>实施过程和方式</w:t>
      </w:r>
      <w:r>
        <w:t>如下：</w:t>
      </w:r>
    </w:p>
    <w:p>
      <w:pPr>
        <w:pageBreakBefore w:val="0"/>
        <w:kinsoku/>
        <w:wordWrap/>
        <w:overflowPunct/>
        <w:topLinePunct w:val="0"/>
        <w:autoSpaceDE/>
        <w:autoSpaceDN/>
        <w:bidi w:val="0"/>
        <w:spacing w:line="360" w:lineRule="exact"/>
        <w:ind w:firstLine="420"/>
      </w:pPr>
      <w:bookmarkStart w:id="166" w:name="_Toc11994"/>
      <w:r>
        <w:rPr>
          <w:rFonts w:hint="eastAsia"/>
        </w:rPr>
        <w:t>（1）</w:t>
      </w:r>
      <w:r>
        <w:t>与</w:t>
      </w:r>
      <w:r>
        <w:rPr>
          <w:rFonts w:hint="eastAsia"/>
        </w:rPr>
        <w:t>巴楚县住房和城乡建设局、环卫公司等相关单位管理人员或项目人员</w:t>
      </w:r>
      <w:r>
        <w:t>进行访谈沟通，全面了解</w:t>
      </w:r>
      <w:r>
        <w:rPr>
          <w:rFonts w:hint="eastAsia"/>
        </w:rPr>
        <w:t>项目实施的目的</w:t>
      </w:r>
      <w:r>
        <w:t>、预算安排、组织管理、</w:t>
      </w:r>
      <w:r>
        <w:rPr>
          <w:rFonts w:hint="eastAsia"/>
        </w:rPr>
        <w:t>实施</w:t>
      </w:r>
      <w:r>
        <w:t>结果等方面的内容</w:t>
      </w:r>
      <w:r>
        <w:rPr>
          <w:rFonts w:hint="eastAsia"/>
        </w:rPr>
        <w:t>。</w:t>
      </w:r>
    </w:p>
    <w:p>
      <w:pPr>
        <w:pageBreakBefore w:val="0"/>
        <w:kinsoku/>
        <w:wordWrap/>
        <w:overflowPunct/>
        <w:topLinePunct w:val="0"/>
        <w:autoSpaceDE/>
        <w:autoSpaceDN/>
        <w:bidi w:val="0"/>
        <w:spacing w:line="360" w:lineRule="exact"/>
        <w:ind w:firstLine="420"/>
      </w:pPr>
      <w:r>
        <w:rPr>
          <w:rFonts w:hint="eastAsia"/>
        </w:rPr>
        <w:t>（2）</w:t>
      </w:r>
      <w:r>
        <w:t>尽职开展前期调查，全面收集项目</w:t>
      </w:r>
      <w:r>
        <w:rPr>
          <w:rFonts w:hint="eastAsia"/>
        </w:rPr>
        <w:t>决策依据、财政预算安排执行情况、项目采购资料、环卫作业开展、绩效考评、资金支付等</w:t>
      </w:r>
      <w:r>
        <w:t>相关资料</w:t>
      </w:r>
      <w:r>
        <w:rPr>
          <w:rFonts w:hint="eastAsia"/>
        </w:rPr>
        <w:t>，</w:t>
      </w:r>
      <w:r>
        <w:t>完成</w:t>
      </w:r>
      <w:r>
        <w:rPr>
          <w:rFonts w:hint="eastAsia"/>
        </w:rPr>
        <w:t>绩效评价</w:t>
      </w:r>
      <w:r>
        <w:t>内容所需的印证资料整理汇总</w:t>
      </w:r>
      <w:r>
        <w:rPr>
          <w:rFonts w:hint="eastAsia"/>
        </w:rPr>
        <w:t>。</w:t>
      </w:r>
    </w:p>
    <w:p>
      <w:pPr>
        <w:pageBreakBefore w:val="0"/>
        <w:kinsoku/>
        <w:wordWrap/>
        <w:overflowPunct/>
        <w:topLinePunct w:val="0"/>
        <w:autoSpaceDE/>
        <w:autoSpaceDN/>
        <w:bidi w:val="0"/>
        <w:spacing w:line="360" w:lineRule="exact"/>
        <w:ind w:firstLine="420"/>
      </w:pPr>
      <w:r>
        <w:rPr>
          <w:rFonts w:hint="eastAsia"/>
        </w:rPr>
        <w:t>（3）了解环卫作业开展的具体情况</w:t>
      </w:r>
      <w:r>
        <w:t>，对项目</w:t>
      </w:r>
      <w:r>
        <w:rPr>
          <w:rFonts w:hint="eastAsia"/>
        </w:rPr>
        <w:t>实际作业、管护和考核</w:t>
      </w:r>
      <w:r>
        <w:t>进行调查、记录，与</w:t>
      </w:r>
      <w:r>
        <w:rPr>
          <w:rFonts w:hint="eastAsia"/>
        </w:rPr>
        <w:t>项目</w:t>
      </w:r>
      <w:r>
        <w:t>人员进行交谈，并对必要的数据进行取证，了解</w:t>
      </w:r>
      <w:r>
        <w:rPr>
          <w:rFonts w:hint="eastAsia"/>
        </w:rPr>
        <w:t>实际情况。</w:t>
      </w:r>
    </w:p>
    <w:bookmarkEnd w:id="166"/>
    <w:p>
      <w:pPr>
        <w:pageBreakBefore w:val="0"/>
        <w:kinsoku/>
        <w:wordWrap/>
        <w:overflowPunct/>
        <w:topLinePunct w:val="0"/>
        <w:autoSpaceDE/>
        <w:autoSpaceDN/>
        <w:bidi w:val="0"/>
        <w:spacing w:line="360" w:lineRule="exact"/>
        <w:ind w:firstLine="420"/>
      </w:pPr>
      <w:bookmarkStart w:id="167" w:name="_Toc428278235"/>
      <w:bookmarkStart w:id="168" w:name="_Toc419984726"/>
      <w:bookmarkStart w:id="169" w:name="_Toc26870"/>
      <w:r>
        <w:t>（</w:t>
      </w:r>
      <w:r>
        <w:rPr>
          <w:rFonts w:hint="eastAsia"/>
        </w:rPr>
        <w:t>4</w:t>
      </w:r>
      <w:r>
        <w:t>）</w:t>
      </w:r>
      <w:bookmarkEnd w:id="167"/>
      <w:bookmarkEnd w:id="168"/>
      <w:bookmarkEnd w:id="169"/>
      <w:r>
        <w:rPr>
          <w:rFonts w:hint="eastAsia"/>
        </w:rPr>
        <w:t>经调研了解，该项目主要受益群体为社会公众和环卫工人，我们根据绩效评价目标</w:t>
      </w:r>
      <w:r>
        <w:t>和</w:t>
      </w:r>
      <w:r>
        <w:rPr>
          <w:rFonts w:hint="eastAsia"/>
        </w:rPr>
        <w:t>绩效指标体系，设计</w:t>
      </w:r>
      <w:r>
        <w:t>满意度</w:t>
      </w:r>
      <w:r>
        <w:rPr>
          <w:rFonts w:hint="eastAsia"/>
        </w:rPr>
        <w:t>调查</w:t>
      </w:r>
      <w:r>
        <w:t>问卷</w:t>
      </w:r>
      <w:r>
        <w:rPr>
          <w:kern w:val="0"/>
          <w:szCs w:val="24"/>
        </w:rPr>
        <w:t>，独立开展第三方</w:t>
      </w:r>
      <w:r>
        <w:rPr>
          <w:rFonts w:hint="eastAsia"/>
          <w:kern w:val="0"/>
          <w:szCs w:val="24"/>
        </w:rPr>
        <w:t>问卷调查</w:t>
      </w:r>
      <w:r>
        <w:rPr>
          <w:kern w:val="0"/>
          <w:szCs w:val="24"/>
        </w:rPr>
        <w:t>工作</w:t>
      </w:r>
      <w:r>
        <w:rPr>
          <w:rFonts w:hint="eastAsia"/>
          <w:kern w:val="0"/>
          <w:szCs w:val="24"/>
        </w:rPr>
        <w:t>。</w:t>
      </w:r>
      <w:r>
        <w:rPr>
          <w:rFonts w:hint="eastAsia"/>
          <w:szCs w:val="28"/>
        </w:rPr>
        <w:t>本次问卷调查采取随机抽样的方式，对2023年度受益社会公众发放问卷154份，回收问卷154份；对环卫工人发放问卷151份，回收问卷151份。</w:t>
      </w:r>
    </w:p>
    <w:p>
      <w:pPr>
        <w:pageBreakBefore w:val="0"/>
        <w:kinsoku/>
        <w:wordWrap/>
        <w:overflowPunct/>
        <w:topLinePunct w:val="0"/>
        <w:autoSpaceDE/>
        <w:autoSpaceDN/>
        <w:bidi w:val="0"/>
        <w:spacing w:line="360" w:lineRule="exact"/>
        <w:ind w:firstLine="420"/>
      </w:pPr>
      <w:r>
        <w:rPr>
          <w:rFonts w:hint="eastAsia"/>
          <w:kern w:val="0"/>
          <w:szCs w:val="24"/>
        </w:rPr>
        <w:t>（5）通过</w:t>
      </w:r>
      <w:r>
        <w:rPr>
          <w:kern w:val="0"/>
          <w:szCs w:val="24"/>
        </w:rPr>
        <w:t>对采集的数据资料进行复核汇总、分类整理和综合分析</w:t>
      </w:r>
      <w:r>
        <w:rPr>
          <w:rFonts w:hint="eastAsia"/>
          <w:kern w:val="0"/>
          <w:szCs w:val="24"/>
        </w:rPr>
        <w:t>，</w:t>
      </w:r>
      <w:r>
        <w:rPr>
          <w:kern w:val="0"/>
          <w:szCs w:val="24"/>
        </w:rPr>
        <w:t>按照设立的评价指标、标准、权重、方法实施评价，并形成评价</w:t>
      </w:r>
      <w:r>
        <w:rPr>
          <w:rFonts w:hint="eastAsia"/>
          <w:kern w:val="0"/>
          <w:szCs w:val="24"/>
        </w:rPr>
        <w:t>工作底稿</w:t>
      </w:r>
      <w:r>
        <w:t>。</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70" w:name="_Toc19481"/>
      <w:r>
        <w:rPr>
          <w:rFonts w:hint="eastAsia" w:ascii="Times New Roman" w:hAnsi="Times New Roman" w:cs="Times New Roman" w:eastAsiaTheme="minorEastAsia"/>
          <w:b/>
          <w:bCs/>
          <w:kern w:val="2"/>
          <w:sz w:val="24"/>
          <w:szCs w:val="24"/>
          <w:lang w:val="en-US" w:eastAsia="zh-CN" w:bidi="ar-SA"/>
        </w:rPr>
        <w:t>3.撰写绩效评价报告</w:t>
      </w:r>
      <w:bookmarkEnd w:id="170"/>
      <w:r>
        <w:rPr>
          <w:rFonts w:hint="eastAsia" w:ascii="Times New Roman" w:hAnsi="Times New Roman" w:cs="Times New Roman" w:eastAsiaTheme="minorEastAsia"/>
          <w:b/>
          <w:bCs/>
          <w:kern w:val="2"/>
          <w:sz w:val="24"/>
          <w:szCs w:val="24"/>
          <w:lang w:val="en-US" w:eastAsia="zh-CN" w:bidi="ar-SA"/>
        </w:rPr>
        <w:t xml:space="preserve"> </w:t>
      </w:r>
    </w:p>
    <w:p>
      <w:pPr>
        <w:pageBreakBefore w:val="0"/>
        <w:kinsoku/>
        <w:wordWrap/>
        <w:overflowPunct/>
        <w:topLinePunct w:val="0"/>
        <w:autoSpaceDE/>
        <w:autoSpaceDN/>
        <w:bidi w:val="0"/>
        <w:spacing w:line="360" w:lineRule="exact"/>
        <w:ind w:firstLine="420"/>
      </w:pPr>
      <w:r>
        <w:t>归集</w:t>
      </w:r>
      <w:r>
        <w:rPr>
          <w:rFonts w:hint="eastAsia"/>
        </w:rPr>
        <w:t>绩效评价</w:t>
      </w:r>
      <w:r>
        <w:t>工作底稿，起草项目</w:t>
      </w:r>
      <w:r>
        <w:rPr>
          <w:rFonts w:hint="eastAsia"/>
        </w:rPr>
        <w:t>绩效评价</w:t>
      </w:r>
      <w:r>
        <w:t>报告，经公司内部质量审核通过后向委托人提交评估报告初稿，并报送项目实施机构以及行业主管部门，进行结果反馈，充分交换意见。</w:t>
      </w:r>
    </w:p>
    <w:p>
      <w:pPr>
        <w:pageBreakBefore w:val="0"/>
        <w:kinsoku/>
        <w:wordWrap/>
        <w:overflowPunct/>
        <w:topLinePunct w:val="0"/>
        <w:autoSpaceDE/>
        <w:autoSpaceDN/>
        <w:bidi w:val="0"/>
        <w:spacing w:line="360" w:lineRule="exact"/>
        <w:ind w:firstLine="420"/>
        <w:rPr>
          <w:rFonts w:hint="eastAsia" w:eastAsiaTheme="minorEastAsia"/>
          <w:lang w:eastAsia="zh-CN"/>
        </w:rPr>
      </w:pPr>
      <w:r>
        <w:rPr>
          <w:rFonts w:hint="eastAsia"/>
          <w:lang w:val="en-US" w:eastAsia="zh-CN"/>
        </w:rPr>
        <w:t>巴楚县住房和城乡建设局、巴楚县财政局均反馈为“无意见”，具体见</w:t>
      </w:r>
      <w:r>
        <w:rPr>
          <w:rFonts w:hint="eastAsia"/>
        </w:rPr>
        <w:t>绩效评价工作沟通反馈</w:t>
      </w:r>
      <w:r>
        <w:rPr>
          <w:rFonts w:hint="eastAsia"/>
          <w:lang w:val="en-US" w:eastAsia="zh-CN"/>
        </w:rPr>
        <w:t>表。</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71" w:name="_Toc471"/>
      <w:r>
        <w:rPr>
          <w:rFonts w:hint="eastAsia" w:ascii="Times New Roman" w:hAnsi="Times New Roman" w:cs="Times New Roman" w:eastAsiaTheme="minorEastAsia"/>
          <w:b/>
          <w:bCs/>
          <w:kern w:val="2"/>
          <w:sz w:val="24"/>
          <w:szCs w:val="24"/>
          <w:lang w:val="en-US" w:eastAsia="zh-CN" w:bidi="ar-SA"/>
        </w:rPr>
        <w:t>4.</w:t>
      </w:r>
      <w:bookmarkEnd w:id="171"/>
      <w:r>
        <w:rPr>
          <w:rFonts w:hint="eastAsia" w:ascii="Times New Roman" w:hAnsi="Times New Roman" w:cs="Times New Roman" w:eastAsiaTheme="minorEastAsia"/>
          <w:b/>
          <w:bCs/>
          <w:kern w:val="2"/>
          <w:sz w:val="24"/>
          <w:szCs w:val="24"/>
          <w:lang w:val="en-US" w:eastAsia="zh-CN" w:bidi="ar-SA"/>
        </w:rPr>
        <w:t>资料档案</w:t>
      </w:r>
    </w:p>
    <w:p>
      <w:pPr>
        <w:pageBreakBefore w:val="0"/>
        <w:kinsoku/>
        <w:wordWrap/>
        <w:overflowPunct/>
        <w:topLinePunct w:val="0"/>
        <w:autoSpaceDE/>
        <w:autoSpaceDN/>
        <w:bidi w:val="0"/>
        <w:spacing w:line="360" w:lineRule="exact"/>
        <w:ind w:firstLine="420"/>
      </w:pPr>
      <w:r>
        <w:t>第三方机构将绩效评价过程中收集的全部有效资料，主要包括绩效评价工作方案、绩效指标的佐证材料、</w:t>
      </w:r>
      <w:r>
        <w:rPr>
          <w:rFonts w:hint="eastAsia"/>
        </w:rPr>
        <w:t>各单位反馈</w:t>
      </w:r>
      <w:r>
        <w:t>意见和建议、实地调研记录、调查问卷、绩效评价报告等一并归档，并按照有关档案管理规定妥善管理。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72" w:name="_Toc68364664"/>
      <w:bookmarkStart w:id="173" w:name="_Toc32129"/>
      <w:bookmarkStart w:id="174" w:name="_Toc17888"/>
      <w:bookmarkStart w:id="175" w:name="_Toc847"/>
      <w:bookmarkStart w:id="176" w:name="_Toc5984"/>
      <w:bookmarkStart w:id="177" w:name="_Toc6642"/>
      <w:bookmarkStart w:id="178" w:name="_Toc7002"/>
      <w:bookmarkStart w:id="179" w:name="_Toc1277"/>
      <w:r>
        <w:rPr>
          <w:rFonts w:hint="eastAsia" w:ascii="Times New Roman" w:hAnsi="Times New Roman" w:cs="Times New Roman" w:eastAsiaTheme="minorEastAsia"/>
          <w:b/>
          <w:bCs/>
          <w:kern w:val="2"/>
          <w:sz w:val="24"/>
          <w:szCs w:val="24"/>
          <w:lang w:val="en-US" w:eastAsia="zh-CN" w:bidi="ar-SA"/>
        </w:rPr>
        <w:t>四、综合评价情况及评价结论</w:t>
      </w:r>
      <w:bookmarkEnd w:id="172"/>
      <w:bookmarkEnd w:id="173"/>
      <w:bookmarkEnd w:id="174"/>
      <w:bookmarkEnd w:id="175"/>
      <w:bookmarkEnd w:id="176"/>
      <w:bookmarkEnd w:id="177"/>
      <w:bookmarkEnd w:id="178"/>
      <w:bookmarkEnd w:id="179"/>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TW" w:bidi="ar-SA"/>
        </w:rPr>
      </w:pPr>
      <w:bookmarkStart w:id="180" w:name="_Toc24361"/>
      <w:bookmarkStart w:id="181" w:name="_Toc23384"/>
      <w:bookmarkStart w:id="182" w:name="_Toc26488"/>
      <w:bookmarkStart w:id="183" w:name="_Toc24790"/>
      <w:bookmarkStart w:id="184" w:name="_Toc18136"/>
      <w:bookmarkStart w:id="185" w:name="_Toc17760"/>
      <w:bookmarkStart w:id="186" w:name="_Toc2396"/>
      <w:bookmarkStart w:id="187" w:name="_Toc535"/>
      <w:bookmarkStart w:id="188" w:name="_Toc22544"/>
      <w:r>
        <w:rPr>
          <w:rFonts w:hint="eastAsia" w:ascii="Times New Roman" w:hAnsi="Times New Roman" w:cs="Times New Roman" w:eastAsiaTheme="minorEastAsia"/>
          <w:b/>
          <w:bCs/>
          <w:kern w:val="2"/>
          <w:sz w:val="24"/>
          <w:szCs w:val="24"/>
          <w:lang w:val="en-US" w:eastAsia="zh-CN" w:bidi="ar-SA"/>
        </w:rPr>
        <w:t>（一）评价得分情况</w:t>
      </w:r>
      <w:bookmarkEnd w:id="180"/>
      <w:bookmarkEnd w:id="181"/>
      <w:bookmarkEnd w:id="182"/>
      <w:bookmarkEnd w:id="183"/>
      <w:bookmarkEnd w:id="184"/>
      <w:bookmarkEnd w:id="185"/>
      <w:bookmarkEnd w:id="186"/>
    </w:p>
    <w:p>
      <w:pPr>
        <w:pageBreakBefore w:val="0"/>
        <w:kinsoku/>
        <w:wordWrap/>
        <w:overflowPunct/>
        <w:topLinePunct w:val="0"/>
        <w:autoSpaceDE/>
        <w:autoSpaceDN/>
        <w:bidi w:val="0"/>
        <w:spacing w:line="360" w:lineRule="exact"/>
        <w:ind w:firstLine="420"/>
        <w:rPr>
          <w:lang w:val="zh-TW"/>
        </w:rPr>
      </w:pPr>
      <w:r>
        <w:rPr>
          <w:lang w:val="zh-TW" w:eastAsia="zh-TW"/>
        </w:rPr>
        <w:t>通过调研、数据分析、访谈等方式，根据</w:t>
      </w:r>
      <w:r>
        <w:t>绩效评价</w:t>
      </w:r>
      <w:r>
        <w:rPr>
          <w:lang w:val="zh-TW" w:eastAsia="zh-TW"/>
        </w:rPr>
        <w:t>方案确定的指标体系及评分标准，对</w:t>
      </w:r>
      <w:r>
        <w:rPr>
          <w:rFonts w:hint="eastAsia"/>
          <w:lang w:val="zh-TW"/>
        </w:rPr>
        <w:t>“</w:t>
      </w:r>
      <w:r>
        <w:rPr>
          <w:rFonts w:hint="eastAsia"/>
          <w:lang w:val="zh-TW" w:eastAsia="zh-CN"/>
        </w:rPr>
        <w:t>巴楚县住房和城乡建设局</w:t>
      </w:r>
      <w:r>
        <w:rPr>
          <w:rFonts w:hint="eastAsia"/>
          <w:lang w:val="zh-TW"/>
        </w:rPr>
        <w:t>2023年度城区环卫市场化项目”</w:t>
      </w:r>
      <w:r>
        <w:rPr>
          <w:lang w:val="zh-TW" w:eastAsia="zh-TW"/>
        </w:rPr>
        <w:t>绩效进行客观评价，综合评价</w:t>
      </w:r>
      <w:r>
        <w:rPr>
          <w:rFonts w:hint="eastAsia"/>
        </w:rPr>
        <w:t>情况</w:t>
      </w:r>
      <w:r>
        <w:rPr>
          <w:lang w:val="zh-TW" w:eastAsia="zh-TW"/>
        </w:rPr>
        <w:t>如下：</w:t>
      </w:r>
      <w:r>
        <w:rPr>
          <w:rFonts w:hint="eastAsia"/>
        </w:rPr>
        <w:t>该</w:t>
      </w:r>
      <w:r>
        <w:rPr>
          <w:lang w:val="zh-TW" w:eastAsia="zh-TW"/>
        </w:rPr>
        <w:t>项目共设置绩效目标</w:t>
      </w:r>
      <w:r>
        <w:rPr>
          <w:rFonts w:hint="eastAsia"/>
          <w:lang w:val="en-US" w:eastAsia="zh-CN"/>
        </w:rPr>
        <w:t>24</w:t>
      </w:r>
      <w:r>
        <w:rPr>
          <w:lang w:val="zh-TW" w:eastAsia="zh-TW"/>
        </w:rPr>
        <w:t>个，实现目标</w:t>
      </w:r>
      <w:r>
        <w:rPr>
          <w:rFonts w:hint="eastAsia"/>
          <w:lang w:val="en-US" w:eastAsia="zh-CN"/>
        </w:rPr>
        <w:t>20</w:t>
      </w:r>
      <w:r>
        <w:rPr>
          <w:lang w:val="zh-TW" w:eastAsia="zh-TW"/>
        </w:rPr>
        <w:t>个，完成率</w:t>
      </w:r>
      <w:r>
        <w:rPr>
          <w:rFonts w:hint="eastAsia"/>
          <w:lang w:val="en-US" w:eastAsia="zh-CN"/>
        </w:rPr>
        <w:t>83.33</w:t>
      </w:r>
      <w:r>
        <w:t>%</w:t>
      </w:r>
      <w:r>
        <w:rPr>
          <w:lang w:val="zh-TW" w:eastAsia="zh-TW"/>
        </w:rPr>
        <w:t>，得分率</w:t>
      </w:r>
      <w:r>
        <w:t>92</w:t>
      </w:r>
      <w:r>
        <w:rPr>
          <w:rFonts w:hint="eastAsia"/>
          <w:lang w:eastAsia="zh-CN"/>
        </w:rPr>
        <w:t>.8</w:t>
      </w:r>
      <w:r>
        <w:t>%</w:t>
      </w:r>
      <w:r>
        <w:rPr>
          <w:lang w:val="zh-TW" w:eastAsia="zh-TW"/>
        </w:rPr>
        <w:t>；</w:t>
      </w:r>
      <w:r>
        <w:t>项目</w:t>
      </w:r>
      <w:r>
        <w:rPr>
          <w:rFonts w:hint="eastAsia"/>
        </w:rPr>
        <w:t>决策</w:t>
      </w:r>
      <w:r>
        <w:rPr>
          <w:lang w:val="zh-TW" w:eastAsia="zh-TW"/>
        </w:rPr>
        <w:t>指标共设置</w:t>
      </w:r>
      <w:r>
        <w:t>6</w:t>
      </w:r>
      <w:r>
        <w:rPr>
          <w:lang w:val="zh-TW" w:eastAsia="zh-TW"/>
        </w:rPr>
        <w:t>个，满分指标</w:t>
      </w:r>
      <w:r>
        <w:t>5</w:t>
      </w:r>
      <w:r>
        <w:rPr>
          <w:lang w:val="zh-TW" w:eastAsia="zh-TW"/>
        </w:rPr>
        <w:t>个，得分率</w:t>
      </w:r>
      <w:r>
        <w:t>90%</w:t>
      </w:r>
      <w:r>
        <w:rPr>
          <w:lang w:val="zh-TW" w:eastAsia="zh-TW"/>
        </w:rPr>
        <w:t>；</w:t>
      </w:r>
      <w:r>
        <w:t>项目过程</w:t>
      </w:r>
      <w:r>
        <w:rPr>
          <w:lang w:val="zh-TW" w:eastAsia="zh-TW"/>
        </w:rPr>
        <w:t>指标共设置</w:t>
      </w:r>
      <w:r>
        <w:t>5</w:t>
      </w:r>
      <w:r>
        <w:rPr>
          <w:lang w:val="zh-TW" w:eastAsia="zh-TW"/>
        </w:rPr>
        <w:t>个，满分指标</w:t>
      </w:r>
      <w:r>
        <w:t>4</w:t>
      </w:r>
      <w:r>
        <w:rPr>
          <w:lang w:val="zh-TW" w:eastAsia="zh-TW"/>
        </w:rPr>
        <w:t>个，得分率</w:t>
      </w:r>
      <w:r>
        <w:t>84%</w:t>
      </w:r>
      <w:r>
        <w:rPr>
          <w:lang w:val="zh-TW" w:eastAsia="zh-TW"/>
        </w:rPr>
        <w:t>；</w:t>
      </w:r>
      <w:r>
        <w:t>项目产出</w:t>
      </w:r>
      <w:r>
        <w:rPr>
          <w:lang w:val="zh-TW" w:eastAsia="zh-TW"/>
        </w:rPr>
        <w:t>指标共设置</w:t>
      </w:r>
      <w:r>
        <w:rPr>
          <w:rFonts w:hint="eastAsia"/>
          <w:lang w:val="en-US" w:eastAsia="zh-CN"/>
        </w:rPr>
        <w:t>9</w:t>
      </w:r>
      <w:r>
        <w:rPr>
          <w:lang w:val="zh-TW" w:eastAsia="zh-TW"/>
        </w:rPr>
        <w:t>个，满分指标</w:t>
      </w:r>
      <w:r>
        <w:rPr>
          <w:rFonts w:hint="eastAsia"/>
          <w:lang w:val="en-US" w:eastAsia="zh-CN"/>
        </w:rPr>
        <w:t>7</w:t>
      </w:r>
      <w:r>
        <w:rPr>
          <w:lang w:val="zh-TW" w:eastAsia="zh-TW"/>
        </w:rPr>
        <w:t>个，得分率</w:t>
      </w:r>
      <w:r>
        <w:t>93.71%；项目效益</w:t>
      </w:r>
      <w:r>
        <w:rPr>
          <w:lang w:val="zh-TW" w:eastAsia="zh-TW"/>
        </w:rPr>
        <w:t>指标共设置</w:t>
      </w:r>
      <w:r>
        <w:t>4</w:t>
      </w:r>
      <w:r>
        <w:rPr>
          <w:lang w:val="zh-TW" w:eastAsia="zh-TW"/>
        </w:rPr>
        <w:t>个，满分指标</w:t>
      </w:r>
      <w:r>
        <w:t>4</w:t>
      </w:r>
      <w:r>
        <w:rPr>
          <w:lang w:val="zh-TW" w:eastAsia="zh-TW"/>
        </w:rPr>
        <w:t>个，得分率</w:t>
      </w:r>
      <w:r>
        <w:t>100%</w:t>
      </w:r>
      <w:r>
        <w:rPr>
          <w:lang w:val="zh-TW"/>
        </w:rPr>
        <w:t>。</w:t>
      </w:r>
    </w:p>
    <w:p>
      <w:pPr>
        <w:pageBreakBefore w:val="0"/>
        <w:kinsoku/>
        <w:wordWrap/>
        <w:overflowPunct/>
        <w:topLinePunct w:val="0"/>
        <w:autoSpaceDE/>
        <w:autoSpaceDN/>
        <w:bidi w:val="0"/>
        <w:spacing w:line="360" w:lineRule="exact"/>
        <w:ind w:firstLine="420"/>
      </w:pPr>
      <w:r>
        <w:rPr>
          <w:rFonts w:hint="eastAsia" w:ascii="Times New Roman" w:hAnsi="Times New Roman"/>
          <w:color w:val="auto"/>
          <w:sz w:val="21"/>
          <w:szCs w:val="24"/>
        </w:rPr>
        <w:t>依据《中共中央国务院关于全面实施预算绩效管理的意见》（中发〔2018〕34号）、《项目支出绩效评价管理办法》（财预〔2020〕10号）以及《关于进一步加强和规范喀什地区项目支出“全过程”预算绩效管理结果应用的通知》（喀地财绩〔2022〕2号）文件，绩效评价总分设置为100分，划分为四档：</w:t>
      </w:r>
      <w:r>
        <w:rPr>
          <w:rFonts w:hint="eastAsia"/>
          <w:color w:val="auto"/>
          <w:sz w:val="21"/>
          <w:szCs w:val="24"/>
          <w:lang w:eastAsia="zh-CN"/>
        </w:rPr>
        <w:t>90（含）~100分为优、80（含）~90分为良、70（含）~80分为中</w:t>
      </w:r>
      <w:r>
        <w:rPr>
          <w:rFonts w:hint="eastAsia" w:ascii="Times New Roman" w:hAnsi="Times New Roman"/>
          <w:color w:val="auto"/>
          <w:sz w:val="21"/>
          <w:szCs w:val="24"/>
        </w:rPr>
        <w:t>、70分以下为差。</w:t>
      </w:r>
      <w:r>
        <w:rPr>
          <w:rFonts w:hint="eastAsia"/>
        </w:rPr>
        <w:t>经评价分析，</w:t>
      </w:r>
      <w:r>
        <w:rPr>
          <w:lang w:val="zh-TW" w:eastAsia="zh-TW"/>
        </w:rPr>
        <w:t>该项目最终评分结果为</w:t>
      </w:r>
      <w:r>
        <w:t>92</w:t>
      </w:r>
      <w:r>
        <w:rPr>
          <w:rFonts w:hint="eastAsia"/>
          <w:lang w:eastAsia="zh-CN"/>
        </w:rPr>
        <w:t>.8</w:t>
      </w:r>
      <w:r>
        <w:rPr>
          <w:lang w:val="zh-TW" w:eastAsia="zh-TW"/>
        </w:rPr>
        <w:t>分，绩效评级为</w:t>
      </w:r>
      <w:r>
        <w:rPr>
          <w:rFonts w:hint="eastAsia"/>
          <w:lang w:val="zh-TW"/>
        </w:rPr>
        <w:t>“优”</w:t>
      </w:r>
      <w:r>
        <w:rPr>
          <w:lang w:val="zh-TW" w:eastAsia="zh-TW"/>
        </w:rPr>
        <w:t>。各部分权重和绩效分值如下表</w:t>
      </w:r>
      <w:r>
        <w:rPr>
          <w:lang w:val="zh-TW"/>
        </w:rPr>
        <w:t>：</w:t>
      </w:r>
    </w:p>
    <w:p>
      <w:pPr>
        <w:pageBreakBefore w:val="0"/>
        <w:kinsoku/>
        <w:wordWrap/>
        <w:overflowPunct/>
        <w:topLinePunct w:val="0"/>
        <w:autoSpaceDE/>
        <w:autoSpaceDN/>
        <w:bidi w:val="0"/>
        <w:spacing w:line="360" w:lineRule="exact"/>
        <w:ind w:firstLine="0" w:firstLineChars="0"/>
        <w:jc w:val="center"/>
        <w:rPr>
          <w:rFonts w:asciiTheme="minorEastAsia" w:hAnsiTheme="minorEastAsia" w:cstheme="minorEastAsia"/>
          <w:b/>
          <w:bCs/>
        </w:rPr>
      </w:pPr>
      <w:r>
        <w:rPr>
          <w:rFonts w:hint="eastAsia" w:asciiTheme="minorEastAsia" w:hAnsiTheme="minorEastAsia" w:cstheme="minorEastAsia"/>
          <w:b/>
          <w:bCs/>
          <w:lang w:val="zh-TW" w:eastAsia="zh-TW"/>
        </w:rPr>
        <w:t>表</w:t>
      </w:r>
      <w:r>
        <w:rPr>
          <w:rFonts w:hint="eastAsia" w:asciiTheme="minorEastAsia" w:hAnsiTheme="minorEastAsia" w:cstheme="minorEastAsia"/>
          <w:b/>
          <w:bCs/>
        </w:rPr>
        <w:t>4</w:t>
      </w:r>
      <w:r>
        <w:rPr>
          <w:rFonts w:hint="eastAsia" w:asciiTheme="minorEastAsia" w:hAnsiTheme="minorEastAsia" w:cstheme="minorEastAsia"/>
          <w:b/>
          <w:bCs/>
          <w:lang w:val="zh-TW" w:eastAsia="zh-TW"/>
        </w:rPr>
        <w:t>-1</w:t>
      </w:r>
      <w:r>
        <w:rPr>
          <w:rFonts w:hint="eastAsia" w:asciiTheme="minorEastAsia" w:hAnsiTheme="minorEastAsia" w:cstheme="minorEastAsia"/>
          <w:b/>
          <w:bCs/>
          <w:lang w:val="zh-TW"/>
        </w:rPr>
        <w:t>：</w:t>
      </w:r>
      <w:r>
        <w:rPr>
          <w:rFonts w:hint="eastAsia" w:asciiTheme="minorEastAsia" w:hAnsiTheme="minorEastAsia" w:cstheme="minorEastAsia"/>
          <w:b/>
          <w:bCs/>
          <w:lang w:val="zh-TW" w:eastAsia="zh-CN"/>
        </w:rPr>
        <w:t>巴楚县住房和城乡建设局</w:t>
      </w:r>
      <w:r>
        <w:rPr>
          <w:rFonts w:hint="eastAsia" w:asciiTheme="minorEastAsia" w:hAnsiTheme="minorEastAsia" w:cstheme="minorEastAsia"/>
          <w:b/>
          <w:bCs/>
          <w:lang w:val="zh-TW" w:eastAsia="zh-TW"/>
        </w:rPr>
        <w:t>2023年度城区环卫市场化项目</w:t>
      </w:r>
      <w:r>
        <w:rPr>
          <w:rFonts w:hint="eastAsia" w:asciiTheme="minorEastAsia" w:hAnsiTheme="minorEastAsia" w:cstheme="minorEastAsia"/>
          <w:b/>
          <w:bCs/>
          <w:lang w:val="zh-TW"/>
        </w:rPr>
        <w:t>得分表</w:t>
      </w:r>
    </w:p>
    <w:tbl>
      <w:tblPr>
        <w:tblStyle w:val="19"/>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3"/>
        <w:gridCol w:w="1613"/>
        <w:gridCol w:w="1613"/>
        <w:gridCol w:w="1613"/>
        <w:gridCol w:w="11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52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过程</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产出</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lang w:val="zh-TW" w:eastAsia="zh-TW"/>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效益</w:t>
            </w:r>
            <w:r>
              <w:rPr>
                <w:rFonts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7" w:hRule="atLeast"/>
        </w:trPr>
        <w:tc>
          <w:tcPr>
            <w:tcW w:w="52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25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 w:hRule="atLeast"/>
        </w:trPr>
        <w:tc>
          <w:tcPr>
            <w:tcW w:w="52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9</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21</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32</w:t>
            </w:r>
            <w:r>
              <w:rPr>
                <w:rFonts w:hint="eastAsia" w:hAnsi="Times New Roman" w:eastAsia="宋体" w:cs="Times New Roman"/>
                <w:color w:val="auto"/>
                <w:sz w:val="21"/>
                <w:szCs w:val="21"/>
                <w:lang w:eastAsia="zh-CN"/>
              </w:rPr>
              <w:t>.8</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92</w:t>
            </w:r>
            <w:r>
              <w:rPr>
                <w:rFonts w:hint="eastAsia" w:hAnsi="Times New Roman" w:eastAsia="宋体" w:cs="Times New Roman"/>
                <w:color w:val="auto"/>
                <w:sz w:val="21"/>
                <w:szCs w:val="21"/>
                <w:lang w:eastAsia="zh-CN"/>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7" w:hRule="atLeast"/>
        </w:trPr>
        <w:tc>
          <w:tcPr>
            <w:tcW w:w="52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rPr>
            </w:pPr>
            <w:r>
              <w:rPr>
                <w:rFonts w:hint="eastAsia" w:hAnsi="Times New Roman" w:eastAsia="宋体" w:cs="Times New Roman"/>
                <w:color w:val="auto"/>
                <w:sz w:val="21"/>
                <w:szCs w:val="21"/>
              </w:rPr>
              <w:t>90%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rPr>
            </w:pPr>
            <w:r>
              <w:rPr>
                <w:rFonts w:hint="eastAsia" w:hAnsi="Times New Roman" w:eastAsia="宋体" w:cs="Times New Roman"/>
                <w:color w:val="auto"/>
                <w:sz w:val="21"/>
                <w:szCs w:val="21"/>
              </w:rPr>
              <w:t>84%</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rPr>
            </w:pPr>
            <w:r>
              <w:rPr>
                <w:rFonts w:hint="eastAsia" w:hAnsi="Times New Roman" w:eastAsia="宋体" w:cs="Times New Roman"/>
                <w:color w:val="auto"/>
                <w:sz w:val="21"/>
                <w:szCs w:val="21"/>
              </w:rPr>
              <w:t>93.71%</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rPr>
            </w:pPr>
            <w:r>
              <w:rPr>
                <w:rFonts w:hint="eastAsia" w:hAnsi="Times New Roman" w:eastAsia="宋体" w:cs="Times New Roman"/>
                <w:color w:val="auto"/>
                <w:sz w:val="21"/>
                <w:szCs w:val="21"/>
              </w:rPr>
              <w:t>100%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360" w:lineRule="exact"/>
              <w:jc w:val="center"/>
              <w:rPr>
                <w:rFonts w:hAnsi="Times New Roman" w:eastAsia="宋体" w:cs="Times New Roman"/>
                <w:color w:val="auto"/>
                <w:sz w:val="21"/>
                <w:szCs w:val="21"/>
              </w:rPr>
            </w:pPr>
            <w:r>
              <w:rPr>
                <w:rFonts w:hint="eastAsia" w:hAnsi="Times New Roman" w:eastAsia="宋体" w:cs="Times New Roman"/>
                <w:color w:val="auto"/>
                <w:sz w:val="21"/>
                <w:szCs w:val="21"/>
              </w:rPr>
              <w:t>92</w:t>
            </w:r>
            <w:r>
              <w:rPr>
                <w:rFonts w:hint="eastAsia" w:hAnsi="Times New Roman" w:eastAsia="宋体" w:cs="Times New Roman"/>
                <w:color w:val="auto"/>
                <w:sz w:val="21"/>
                <w:szCs w:val="21"/>
                <w:lang w:eastAsia="zh-CN"/>
              </w:rPr>
              <w:t>.8</w:t>
            </w:r>
            <w:r>
              <w:rPr>
                <w:rFonts w:hint="eastAsia" w:hAnsi="Times New Roman" w:eastAsia="宋体" w:cs="Times New Roman"/>
                <w:color w:val="auto"/>
                <w:sz w:val="21"/>
                <w:szCs w:val="21"/>
              </w:rPr>
              <w:t>%</w:t>
            </w:r>
          </w:p>
        </w:tc>
      </w:tr>
    </w:tbl>
    <w:p>
      <w:pPr>
        <w:pageBreakBefore w:val="0"/>
        <w:kinsoku/>
        <w:wordWrap/>
        <w:overflowPunct/>
        <w:topLinePunct w:val="0"/>
        <w:autoSpaceDE/>
        <w:autoSpaceDN/>
        <w:bidi w:val="0"/>
        <w:spacing w:line="360" w:lineRule="exact"/>
        <w:ind w:firstLine="420"/>
      </w:pP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89" w:name="_Toc15386"/>
      <w:bookmarkStart w:id="190" w:name="_Toc28795"/>
      <w:bookmarkStart w:id="191" w:name="_Toc4236"/>
      <w:bookmarkStart w:id="192" w:name="_Toc6270"/>
      <w:bookmarkStart w:id="193" w:name="_Toc25561"/>
      <w:bookmarkStart w:id="194" w:name="_Toc19845"/>
      <w:bookmarkStart w:id="195" w:name="_Toc17662"/>
      <w:bookmarkStart w:id="196" w:name="_Toc27678"/>
      <w:r>
        <w:rPr>
          <w:rFonts w:hint="eastAsia" w:ascii="Times New Roman" w:hAnsi="Times New Roman" w:cs="Times New Roman" w:eastAsiaTheme="minorEastAsia"/>
          <w:b/>
          <w:bCs/>
          <w:kern w:val="2"/>
          <w:sz w:val="24"/>
          <w:szCs w:val="24"/>
          <w:lang w:val="en-US" w:eastAsia="zh-CN" w:bidi="ar-SA"/>
        </w:rPr>
        <w:t>（二）综合评价结论</w:t>
      </w:r>
      <w:bookmarkEnd w:id="189"/>
      <w:bookmarkEnd w:id="190"/>
      <w:bookmarkEnd w:id="191"/>
      <w:bookmarkEnd w:id="192"/>
      <w:bookmarkEnd w:id="193"/>
      <w:bookmarkEnd w:id="194"/>
      <w:bookmarkEnd w:id="195"/>
      <w:bookmarkEnd w:id="196"/>
    </w:p>
    <w:p>
      <w:pPr>
        <w:pageBreakBefore w:val="0"/>
        <w:kinsoku/>
        <w:wordWrap/>
        <w:overflowPunct/>
        <w:topLinePunct w:val="0"/>
        <w:autoSpaceDE/>
        <w:autoSpaceDN/>
        <w:bidi w:val="0"/>
        <w:spacing w:line="360" w:lineRule="exact"/>
        <w:ind w:firstLine="420"/>
        <w:rPr>
          <w:rFonts w:cs="宋体"/>
        </w:rPr>
      </w:pPr>
      <w:r>
        <w:rPr>
          <w:rFonts w:hint="eastAsia" w:cs="宋体"/>
        </w:rPr>
        <w:t>项目总体实施情况较好，环卫公司完成2023年度巴楚县道路、公园广场清扫保洁及公共设施维护管理，日产清运垃圾18.83吨，项目实施单位对环卫公司服务开展月度绩效考核均为优秀，并按考核结果向环卫公司完成支付2023年度服务费。但在实施过程中也存在一些不足：项目实施单位未开展联合考评工作，未严格履行合同月度付款约定，监督职责履行不到位。</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197" w:name="_Toc20193"/>
      <w:bookmarkStart w:id="198" w:name="_Toc31329"/>
      <w:bookmarkStart w:id="199" w:name="_Toc26064"/>
      <w:bookmarkStart w:id="200" w:name="_Toc7733"/>
      <w:bookmarkStart w:id="201" w:name="_Toc29644"/>
      <w:bookmarkStart w:id="202" w:name="_Toc31069"/>
      <w:bookmarkStart w:id="203" w:name="_Toc11908"/>
      <w:r>
        <w:rPr>
          <w:rFonts w:hint="eastAsia" w:ascii="Times New Roman" w:hAnsi="Times New Roman" w:cs="Times New Roman" w:eastAsiaTheme="minorEastAsia"/>
          <w:b/>
          <w:bCs/>
          <w:kern w:val="2"/>
          <w:sz w:val="24"/>
          <w:szCs w:val="24"/>
          <w:lang w:val="en-US" w:eastAsia="zh-CN" w:bidi="ar-SA"/>
        </w:rPr>
        <w:t>五、绩效评价指标分析</w:t>
      </w:r>
      <w:bookmarkEnd w:id="187"/>
      <w:bookmarkEnd w:id="188"/>
      <w:bookmarkEnd w:id="197"/>
      <w:bookmarkEnd w:id="198"/>
      <w:bookmarkEnd w:id="199"/>
      <w:bookmarkEnd w:id="200"/>
      <w:bookmarkEnd w:id="201"/>
      <w:bookmarkEnd w:id="202"/>
      <w:bookmarkEnd w:id="203"/>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204" w:name="_Toc4992"/>
      <w:bookmarkStart w:id="205" w:name="_Toc24844"/>
      <w:bookmarkStart w:id="206" w:name="_Toc22260"/>
      <w:bookmarkStart w:id="207" w:name="_Toc3978"/>
      <w:bookmarkStart w:id="208" w:name="_Toc2918"/>
      <w:bookmarkStart w:id="209" w:name="_Toc29083"/>
      <w:bookmarkStart w:id="210" w:name="_Toc16893"/>
      <w:bookmarkStart w:id="211" w:name="_Toc18545"/>
      <w:bookmarkStart w:id="212" w:name="_Toc18078"/>
      <w:r>
        <w:rPr>
          <w:rFonts w:hint="eastAsia" w:ascii="Times New Roman" w:hAnsi="Times New Roman" w:cs="Times New Roman" w:eastAsiaTheme="minorEastAsia"/>
          <w:b/>
          <w:bCs/>
          <w:kern w:val="2"/>
          <w:sz w:val="24"/>
          <w:szCs w:val="24"/>
          <w:lang w:val="en-US" w:eastAsia="zh-CN" w:bidi="ar-SA"/>
        </w:rPr>
        <w:t>（一）项目决策情况</w:t>
      </w:r>
      <w:bookmarkEnd w:id="204"/>
      <w:bookmarkEnd w:id="205"/>
      <w:bookmarkEnd w:id="206"/>
      <w:bookmarkEnd w:id="207"/>
      <w:bookmarkEnd w:id="208"/>
      <w:bookmarkEnd w:id="209"/>
      <w:bookmarkEnd w:id="210"/>
      <w:bookmarkEnd w:id="211"/>
      <w:bookmarkEnd w:id="212"/>
    </w:p>
    <w:p>
      <w:pPr>
        <w:pageBreakBefore w:val="0"/>
        <w:kinsoku/>
        <w:wordWrap/>
        <w:overflowPunct/>
        <w:topLinePunct w:val="0"/>
        <w:autoSpaceDE/>
        <w:autoSpaceDN/>
        <w:bidi w:val="0"/>
        <w:adjustRightInd/>
        <w:spacing w:line="360" w:lineRule="exact"/>
        <w:ind w:firstLine="420"/>
      </w:pPr>
      <w:r>
        <w:t>项目决策类指标由</w:t>
      </w:r>
      <w:r>
        <w:rPr>
          <w:rFonts w:hint="eastAsia"/>
        </w:rPr>
        <w:t>3</w:t>
      </w:r>
      <w:r>
        <w:t>个二级指标和</w:t>
      </w:r>
      <w:r>
        <w:rPr>
          <w:rFonts w:hint="eastAsia"/>
        </w:rPr>
        <w:t>6</w:t>
      </w:r>
      <w:r>
        <w:t>个三级指标构成，权重分</w:t>
      </w:r>
      <w:r>
        <w:rPr>
          <w:rFonts w:hint="eastAsia"/>
        </w:rPr>
        <w:t>10</w:t>
      </w:r>
      <w:r>
        <w:t>分，实际得分</w:t>
      </w:r>
      <w:r>
        <w:rPr>
          <w:rFonts w:hint="eastAsia"/>
        </w:rPr>
        <w:t>9</w:t>
      </w:r>
      <w:r>
        <w:t>分</w:t>
      </w:r>
      <w:r>
        <w:rPr>
          <w:rFonts w:hint="eastAsia"/>
        </w:rPr>
        <w:t>，得分率为90%</w:t>
      </w:r>
      <w:r>
        <w:t>。各指标业绩值和绩效分值如下表所示：</w:t>
      </w:r>
    </w:p>
    <w:p>
      <w:pPr>
        <w:pageBreakBefore w:val="0"/>
        <w:kinsoku/>
        <w:wordWrap/>
        <w:overflowPunct/>
        <w:topLinePunct w:val="0"/>
        <w:autoSpaceDE/>
        <w:autoSpaceDN/>
        <w:bidi w:val="0"/>
        <w:spacing w:line="360" w:lineRule="exact"/>
        <w:ind w:firstLine="0" w:firstLineChars="0"/>
        <w:jc w:val="center"/>
        <w:rPr>
          <w:b/>
          <w:bCs/>
          <w:szCs w:val="16"/>
        </w:rPr>
      </w:pPr>
      <w:r>
        <w:rPr>
          <w:b/>
          <w:bCs/>
          <w:szCs w:val="16"/>
        </w:rPr>
        <w:t>表</w:t>
      </w:r>
      <w:r>
        <w:rPr>
          <w:rFonts w:hint="eastAsia"/>
          <w:b/>
          <w:bCs/>
          <w:szCs w:val="16"/>
        </w:rPr>
        <w:t>5</w:t>
      </w:r>
      <w:r>
        <w:rPr>
          <w:b/>
          <w:bCs/>
          <w:szCs w:val="16"/>
        </w:rPr>
        <w:t>-1：项目决策类指标及分值</w:t>
      </w:r>
    </w:p>
    <w:tbl>
      <w:tblPr>
        <w:tblStyle w:val="19"/>
        <w:tblW w:w="4998" w:type="pct"/>
        <w:tblInd w:w="0" w:type="dxa"/>
        <w:tblLayout w:type="autofit"/>
        <w:tblCellMar>
          <w:top w:w="0" w:type="dxa"/>
          <w:left w:w="0" w:type="dxa"/>
          <w:bottom w:w="0" w:type="dxa"/>
          <w:right w:w="0" w:type="dxa"/>
        </w:tblCellMar>
      </w:tblPr>
      <w:tblGrid>
        <w:gridCol w:w="1081"/>
        <w:gridCol w:w="1068"/>
        <w:gridCol w:w="1848"/>
        <w:gridCol w:w="968"/>
        <w:gridCol w:w="1028"/>
        <w:gridCol w:w="763"/>
        <w:gridCol w:w="785"/>
        <w:gridCol w:w="786"/>
      </w:tblGrid>
      <w:tr>
        <w:tblPrEx>
          <w:tblCellMar>
            <w:top w:w="0" w:type="dxa"/>
            <w:left w:w="0" w:type="dxa"/>
            <w:bottom w:w="0" w:type="dxa"/>
            <w:right w:w="0" w:type="dxa"/>
          </w:tblCellMar>
        </w:tblPrEx>
        <w:trPr>
          <w:trHeight w:val="397" w:hRule="atLeast"/>
          <w:tblHeader/>
        </w:trPr>
        <w:tc>
          <w:tcPr>
            <w:tcW w:w="64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一级指标</w:t>
            </w:r>
          </w:p>
        </w:tc>
        <w:tc>
          <w:tcPr>
            <w:tcW w:w="64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二级指标</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三级指标</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目标值</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kern w:val="0"/>
                <w:sz w:val="20"/>
                <w:szCs w:val="20"/>
                <w:lang w:bidi="ar"/>
              </w:rPr>
            </w:pPr>
            <w:r>
              <w:rPr>
                <w:rFonts w:hint="default" w:ascii="Times New Roman" w:hAnsi="Times New Roman" w:eastAsia="宋体" w:cs="Times New Roman"/>
                <w:b/>
                <w:kern w:val="0"/>
                <w:sz w:val="20"/>
                <w:szCs w:val="20"/>
                <w:lang w:bidi="ar"/>
              </w:rPr>
              <w:t>实际完成值</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权重</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得分</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kern w:val="0"/>
                <w:sz w:val="20"/>
                <w:szCs w:val="20"/>
                <w:lang w:bidi="ar"/>
              </w:rPr>
            </w:pPr>
            <w:r>
              <w:rPr>
                <w:rFonts w:hint="default" w:ascii="Times New Roman" w:hAnsi="Times New Roman" w:eastAsia="宋体" w:cs="Times New Roman"/>
                <w:b/>
                <w:kern w:val="0"/>
                <w:sz w:val="20"/>
                <w:szCs w:val="20"/>
                <w:lang w:bidi="ar"/>
              </w:rPr>
              <w:t>得分率</w:t>
            </w:r>
          </w:p>
        </w:tc>
      </w:tr>
      <w:tr>
        <w:tblPrEx>
          <w:tblCellMar>
            <w:top w:w="0" w:type="dxa"/>
            <w:left w:w="0" w:type="dxa"/>
            <w:bottom w:w="0" w:type="dxa"/>
            <w:right w:w="0" w:type="dxa"/>
          </w:tblCellMar>
        </w:tblPrEx>
        <w:trPr>
          <w:trHeight w:val="397" w:hRule="atLeast"/>
        </w:trPr>
        <w:tc>
          <w:tcPr>
            <w:tcW w:w="649"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A决策（15分）　</w:t>
            </w: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FF0000"/>
                <w:kern w:val="0"/>
                <w:sz w:val="20"/>
                <w:szCs w:val="20"/>
                <w:lang w:bidi="ar"/>
              </w:rPr>
            </w:pPr>
            <w:r>
              <w:rPr>
                <w:rFonts w:hint="default" w:ascii="Times New Roman" w:hAnsi="Times New Roman" w:eastAsia="宋体" w:cs="Times New Roman"/>
                <w:kern w:val="0"/>
                <w:sz w:val="20"/>
                <w:szCs w:val="20"/>
                <w:lang w:bidi="ar"/>
              </w:rPr>
              <w:t>A1 项目立项（</w:t>
            </w:r>
            <w:r>
              <w:rPr>
                <w:rFonts w:hint="default" w:ascii="Times New Roman" w:hAnsi="Times New Roman" w:eastAsia="宋体" w:cs="Times New Roman"/>
                <w:kern w:val="0"/>
                <w:sz w:val="20"/>
                <w:szCs w:val="20"/>
                <w:lang w:val="en-US" w:eastAsia="zh-CN" w:bidi="ar"/>
              </w:rPr>
              <w:t>4</w:t>
            </w:r>
            <w:r>
              <w:rPr>
                <w:rFonts w:hint="default" w:ascii="Times New Roman" w:hAnsi="Times New Roman" w:eastAsia="宋体" w:cs="Times New Roman"/>
                <w:kern w:val="0"/>
                <w:sz w:val="20"/>
                <w:szCs w:val="20"/>
                <w:lang w:bidi="ar"/>
              </w:rPr>
              <w:t>分）　</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A11立项依据合理性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充分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充分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FF0000"/>
                <w:kern w:val="0"/>
                <w:sz w:val="20"/>
                <w:szCs w:val="20"/>
                <w:lang w:eastAsia="zh-CN" w:bidi="ar"/>
              </w:rPr>
            </w:pPr>
            <w:r>
              <w:rPr>
                <w:rFonts w:hint="default" w:ascii="Times New Roman" w:hAnsi="Times New Roman" w:eastAsia="宋体" w:cs="Times New Roman"/>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FF0000"/>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A12立项程序规范性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合规</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合规</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FF0000"/>
                <w:kern w:val="0"/>
                <w:sz w:val="20"/>
                <w:szCs w:val="20"/>
                <w:lang w:eastAsia="zh-CN" w:bidi="ar"/>
              </w:rPr>
            </w:pPr>
            <w:r>
              <w:rPr>
                <w:rFonts w:hint="default" w:ascii="Times New Roman" w:hAnsi="Times New Roman" w:eastAsia="宋体" w:cs="Times New Roman"/>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FF0000"/>
                <w:kern w:val="0"/>
                <w:sz w:val="20"/>
                <w:szCs w:val="20"/>
                <w:lang w:bidi="ar"/>
              </w:rPr>
            </w:pPr>
            <w:r>
              <w:rPr>
                <w:rFonts w:hint="default" w:ascii="Times New Roman" w:hAnsi="Times New Roman" w:eastAsia="宋体" w:cs="Times New Roman"/>
                <w:kern w:val="0"/>
                <w:sz w:val="20"/>
                <w:szCs w:val="20"/>
                <w:lang w:bidi="ar"/>
              </w:rPr>
              <w:t>A2 绩效目标（</w:t>
            </w:r>
            <w:r>
              <w:rPr>
                <w:rFonts w:hint="default" w:ascii="Times New Roman" w:hAnsi="Times New Roman" w:eastAsia="宋体" w:cs="Times New Roman"/>
                <w:kern w:val="0"/>
                <w:sz w:val="20"/>
                <w:szCs w:val="20"/>
                <w:lang w:val="en-US" w:eastAsia="zh-CN" w:bidi="ar"/>
              </w:rPr>
              <w:t xml:space="preserve">3 </w:t>
            </w:r>
            <w:r>
              <w:rPr>
                <w:rFonts w:hint="default" w:ascii="Times New Roman" w:hAnsi="Times New Roman" w:eastAsia="宋体" w:cs="Times New Roman"/>
                <w:kern w:val="0"/>
                <w:sz w:val="20"/>
                <w:szCs w:val="20"/>
                <w:lang w:bidi="ar"/>
              </w:rPr>
              <w:t>分）　</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A21绩效目标合理性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FF0000"/>
                <w:kern w:val="0"/>
                <w:sz w:val="20"/>
                <w:szCs w:val="20"/>
                <w:lang w:eastAsia="zh-CN" w:bidi="ar"/>
              </w:rPr>
            </w:pPr>
            <w:r>
              <w:rPr>
                <w:rFonts w:hint="default" w:ascii="Times New Roman" w:hAnsi="Times New Roman" w:eastAsia="宋体" w:cs="Times New Roman"/>
                <w:kern w:val="0"/>
                <w:sz w:val="20"/>
                <w:szCs w:val="20"/>
                <w:lang w:bidi="ar"/>
              </w:rPr>
              <w:t>1</w:t>
            </w:r>
            <w:r>
              <w:rPr>
                <w:rFonts w:hint="eastAsia" w:eastAsia="宋体" w:cs="Times New Roman"/>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1</w:t>
            </w:r>
            <w:r>
              <w:rPr>
                <w:rFonts w:hint="eastAsia" w:eastAsia="宋体" w:cs="Times New Roman"/>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FF0000"/>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A22绩效指标明确性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明确</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明确</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FF0000"/>
                <w:kern w:val="0"/>
                <w:sz w:val="20"/>
                <w:szCs w:val="20"/>
                <w:lang w:eastAsia="zh-CN" w:bidi="ar"/>
              </w:rPr>
            </w:pPr>
            <w:r>
              <w:rPr>
                <w:rFonts w:hint="default" w:ascii="Times New Roman" w:hAnsi="Times New Roman" w:eastAsia="宋体" w:cs="Times New Roman"/>
                <w:kern w:val="0"/>
                <w:sz w:val="20"/>
                <w:szCs w:val="20"/>
                <w:lang w:bidi="ar"/>
              </w:rPr>
              <w:t>1</w:t>
            </w:r>
            <w:r>
              <w:rPr>
                <w:rFonts w:hint="eastAsia" w:eastAsia="宋体" w:cs="Times New Roman"/>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1</w:t>
            </w:r>
            <w:r>
              <w:rPr>
                <w:rFonts w:hint="eastAsia" w:eastAsia="宋体" w:cs="Times New Roman"/>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FF0000"/>
                <w:kern w:val="0"/>
                <w:sz w:val="20"/>
                <w:szCs w:val="20"/>
                <w:lang w:bidi="ar"/>
              </w:rPr>
            </w:pPr>
            <w:r>
              <w:rPr>
                <w:rFonts w:hint="default" w:ascii="Times New Roman" w:hAnsi="Times New Roman" w:eastAsia="宋体" w:cs="Times New Roman"/>
                <w:kern w:val="0"/>
                <w:sz w:val="20"/>
                <w:szCs w:val="20"/>
                <w:lang w:bidi="ar"/>
              </w:rPr>
              <w:t>A3 资金投入（3分）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A31预算编制科学性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科学</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较科学</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FF0000"/>
                <w:kern w:val="0"/>
                <w:sz w:val="20"/>
                <w:szCs w:val="20"/>
                <w:lang w:eastAsia="zh-CN" w:bidi="ar"/>
              </w:rPr>
            </w:pPr>
            <w:r>
              <w:rPr>
                <w:rFonts w:hint="default" w:ascii="Times New Roman" w:hAnsi="Times New Roman" w:eastAsia="宋体" w:cs="Times New Roman"/>
                <w:kern w:val="0"/>
                <w:sz w:val="20"/>
                <w:szCs w:val="20"/>
                <w:lang w:bidi="ar"/>
              </w:rPr>
              <w:t>1</w:t>
            </w:r>
            <w:r>
              <w:rPr>
                <w:rFonts w:hint="eastAsia" w:eastAsia="宋体" w:cs="Times New Roman"/>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0</w:t>
            </w:r>
            <w:r>
              <w:rPr>
                <w:rFonts w:hint="eastAsia" w:eastAsia="宋体" w:cs="Times New Roman"/>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33.33%</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color w:val="FF0000"/>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A32资金分配合理性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color w:val="FF0000"/>
                <w:kern w:val="0"/>
                <w:sz w:val="20"/>
                <w:szCs w:val="20"/>
                <w:lang w:eastAsia="zh-CN" w:bidi="ar"/>
              </w:rPr>
            </w:pPr>
            <w:r>
              <w:rPr>
                <w:rFonts w:hint="default" w:ascii="Times New Roman" w:hAnsi="Times New Roman" w:eastAsia="宋体" w:cs="Times New Roman"/>
                <w:kern w:val="0"/>
                <w:sz w:val="20"/>
                <w:szCs w:val="20"/>
                <w:lang w:bidi="ar"/>
              </w:rPr>
              <w:t>1</w:t>
            </w:r>
            <w:r>
              <w:rPr>
                <w:rFonts w:hint="eastAsia" w:eastAsia="宋体" w:cs="Times New Roman"/>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1</w:t>
            </w:r>
            <w:r>
              <w:rPr>
                <w:rFonts w:hint="eastAsia" w:eastAsia="宋体" w:cs="Times New Roman"/>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r>
      <w:tr>
        <w:tblPrEx>
          <w:tblCellMar>
            <w:top w:w="0" w:type="dxa"/>
            <w:left w:w="0" w:type="dxa"/>
            <w:bottom w:w="0" w:type="dxa"/>
            <w:right w:w="0" w:type="dxa"/>
          </w:tblCellMar>
        </w:tblPrEx>
        <w:trPr>
          <w:trHeight w:val="397" w:hRule="atLeast"/>
        </w:trPr>
        <w:tc>
          <w:tcPr>
            <w:tcW w:w="649"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bCs/>
                <w:kern w:val="0"/>
                <w:sz w:val="20"/>
                <w:szCs w:val="20"/>
                <w:lang w:bidi="ar"/>
              </w:rPr>
            </w:pPr>
            <w:r>
              <w:rPr>
                <w:rFonts w:hint="default" w:ascii="Times New Roman" w:hAnsi="Times New Roman" w:eastAsia="宋体" w:cs="Times New Roman"/>
                <w:b/>
                <w:bCs/>
                <w:kern w:val="0"/>
                <w:sz w:val="20"/>
                <w:szCs w:val="20"/>
                <w:lang w:bidi="ar"/>
              </w:rPr>
              <w:t>合计</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bCs/>
                <w:kern w:val="0"/>
                <w:sz w:val="20"/>
                <w:szCs w:val="20"/>
                <w:lang w:bidi="ar"/>
              </w:rPr>
            </w:pP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bCs/>
                <w:kern w:val="0"/>
                <w:sz w:val="20"/>
                <w:szCs w:val="20"/>
                <w:lang w:bidi="ar"/>
              </w:rPr>
            </w:pP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b/>
                <w:bCs/>
                <w:color w:val="FF0000"/>
                <w:kern w:val="0"/>
                <w:sz w:val="20"/>
                <w:szCs w:val="20"/>
                <w:lang w:eastAsia="zh-CN" w:bidi="ar"/>
              </w:rPr>
            </w:pPr>
            <w:r>
              <w:rPr>
                <w:rFonts w:hint="default" w:ascii="Times New Roman" w:hAnsi="Times New Roman" w:eastAsia="宋体" w:cs="Times New Roman"/>
                <w:b/>
                <w:bCs/>
                <w:kern w:val="0"/>
                <w:sz w:val="20"/>
                <w:szCs w:val="20"/>
                <w:lang w:bidi="ar"/>
              </w:rPr>
              <w:t>10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hint="eastAsia" w:ascii="Times New Roman" w:hAnsi="Times New Roman" w:eastAsia="宋体" w:cs="Times New Roman"/>
                <w:b/>
                <w:bCs/>
                <w:kern w:val="0"/>
                <w:sz w:val="20"/>
                <w:szCs w:val="20"/>
                <w:lang w:eastAsia="zh-CN" w:bidi="ar"/>
              </w:rPr>
            </w:pPr>
            <w:r>
              <w:rPr>
                <w:rFonts w:hint="default" w:ascii="Times New Roman" w:hAnsi="Times New Roman" w:eastAsia="宋体" w:cs="Times New Roman"/>
                <w:b/>
                <w:bCs/>
                <w:kern w:val="0"/>
                <w:sz w:val="20"/>
                <w:szCs w:val="20"/>
                <w:lang w:bidi="ar"/>
              </w:rPr>
              <w:t>9</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spacing w:line="360" w:lineRule="exact"/>
              <w:ind w:firstLine="0" w:firstLineChars="0"/>
              <w:jc w:val="center"/>
              <w:textAlignment w:val="center"/>
              <w:rPr>
                <w:rFonts w:ascii="Times New Roman" w:hAnsi="Times New Roman" w:eastAsia="宋体" w:cs="Times New Roman"/>
                <w:b/>
                <w:bCs/>
                <w:kern w:val="0"/>
                <w:sz w:val="20"/>
                <w:szCs w:val="20"/>
                <w:lang w:bidi="ar"/>
              </w:rPr>
            </w:pPr>
            <w:r>
              <w:rPr>
                <w:rFonts w:hint="default" w:ascii="Times New Roman" w:hAnsi="Times New Roman" w:eastAsia="宋体" w:cs="Times New Roman"/>
                <w:b/>
                <w:bCs/>
                <w:kern w:val="0"/>
                <w:sz w:val="20"/>
                <w:szCs w:val="20"/>
                <w:lang w:bidi="ar"/>
              </w:rPr>
              <w:t>90%</w:t>
            </w:r>
          </w:p>
        </w:tc>
      </w:tr>
    </w:tbl>
    <w:p>
      <w:pPr>
        <w:pageBreakBefore w:val="0"/>
        <w:kinsoku/>
        <w:wordWrap/>
        <w:overflowPunct/>
        <w:topLinePunct w:val="0"/>
        <w:autoSpaceDE/>
        <w:autoSpaceDN/>
        <w:bidi w:val="0"/>
        <w:spacing w:line="360" w:lineRule="exact"/>
        <w:ind w:firstLine="422"/>
        <w:rPr>
          <w:rFonts w:eastAsia="宋体"/>
          <w:b/>
          <w:bCs/>
        </w:rPr>
      </w:pP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指标得分分析：</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（1）A11立项依据合理性指标</w:t>
      </w:r>
    </w:p>
    <w:p>
      <w:pPr>
        <w:pageBreakBefore w:val="0"/>
        <w:kinsoku/>
        <w:wordWrap/>
        <w:overflowPunct/>
        <w:topLinePunct w:val="0"/>
        <w:autoSpaceDE/>
        <w:autoSpaceDN/>
        <w:bidi w:val="0"/>
        <w:spacing w:line="360" w:lineRule="exact"/>
        <w:ind w:firstLine="420"/>
      </w:pPr>
      <w:r>
        <w:rPr>
          <w:rFonts w:hint="eastAsia" w:ascii="宋体" w:hAnsi="宋体" w:eastAsia="宋体" w:cs="宋体"/>
        </w:rPr>
        <w:t>①该项目立项符合《城市市容和环境卫生管理条例》城市环境卫生管理第二十九条：“环境卫生管理应当逐步实行社会化服务。有条件的城市，可以成立环境卫生服务公司。凡委托环境卫生专业单位清扫、收集、运输和处理废弃物的，应当交纳服务费”；该项目立项符合新疆维吾尔自治区住房和城乡建设厅印发《关于加强自治区城市精细化管理的通知》“围绕法治建设、信息化建设、市容市貌管理、环境卫生、园林绿化管理、市政公共设施管理、住宅小区物业管理、城市应急管理、公众参与、营造舆论氛围10个方面，持绣花精神精细做好百姓身边事，通过城市精细化管理提升群众获得感和幸福感”文件精神。</w:t>
      </w:r>
    </w:p>
    <w:p>
      <w:pPr>
        <w:pageBreakBefore w:val="0"/>
        <w:kinsoku/>
        <w:wordWrap/>
        <w:overflowPunct/>
        <w:topLinePunct w:val="0"/>
        <w:autoSpaceDE/>
        <w:autoSpaceDN/>
        <w:bidi w:val="0"/>
        <w:spacing w:line="360" w:lineRule="exact"/>
        <w:ind w:firstLine="420"/>
      </w:pPr>
      <w:r>
        <w:rPr>
          <w:rFonts w:hint="eastAsia" w:ascii="宋体" w:hAnsi="宋体" w:eastAsia="宋体" w:cs="宋体"/>
        </w:rPr>
        <w:t>②该项目立项与《关于印发&lt;巴楚县住房和城乡建设局职能配置、内设机构和人员编制规定&gt;的通知》（巴党办〔2019〕56号）中“负责市政公用事业</w:t>
      </w:r>
      <w:r>
        <w:rPr>
          <w:rFonts w:hint="eastAsia" w:ascii="宋体" w:hAnsi="宋体" w:eastAsia="宋体" w:cs="宋体"/>
          <w:lang w:eastAsia="zh-CN"/>
        </w:rPr>
        <w:t>、</w:t>
      </w:r>
      <w:r>
        <w:rPr>
          <w:rFonts w:hint="eastAsia" w:ascii="宋体" w:hAnsi="宋体" w:eastAsia="宋体" w:cs="宋体"/>
        </w:rPr>
        <w:t>特许经营、供水、供气、供热和市容环境卫生、园林绿化法律法规规章执行的监督指导”等部门职责和任务的相符，符合部门优先发展重点。</w:t>
      </w:r>
    </w:p>
    <w:p>
      <w:pPr>
        <w:pageBreakBefore w:val="0"/>
        <w:kinsoku/>
        <w:wordWrap/>
        <w:overflowPunct/>
        <w:topLinePunct w:val="0"/>
        <w:autoSpaceDE/>
        <w:autoSpaceDN/>
        <w:bidi w:val="0"/>
        <w:spacing w:line="360" w:lineRule="exact"/>
        <w:ind w:firstLine="420"/>
      </w:pPr>
      <w:r>
        <w:rPr>
          <w:rFonts w:hint="eastAsia" w:ascii="宋体" w:hAnsi="宋体" w:eastAsia="宋体" w:cs="宋体"/>
        </w:rPr>
        <w:t>③该项目属于城乡维护中的环卫保洁服务，已纳入政府购买服务指导性目录。</w:t>
      </w:r>
    </w:p>
    <w:p>
      <w:pPr>
        <w:pageBreakBefore w:val="0"/>
        <w:kinsoku/>
        <w:wordWrap/>
        <w:overflowPunct/>
        <w:topLinePunct w:val="0"/>
        <w:autoSpaceDE/>
        <w:autoSpaceDN/>
        <w:bidi w:val="0"/>
        <w:spacing w:line="360" w:lineRule="exact"/>
        <w:ind w:firstLine="420"/>
      </w:pPr>
      <w:r>
        <w:rPr>
          <w:rFonts w:hint="eastAsia" w:ascii="宋体" w:hAnsi="宋体" w:eastAsia="宋体" w:cs="宋体"/>
        </w:rPr>
        <w:t>④该项目针对现行环卫作业效果不高，人员密度不够、考核标准不严、队伍活力不足等突出问题，申请开展，通过项目实施，进一步抓好巴楚县城市环境卫生，改善城市居民环境质量，推动巴楚县环卫管理事业向“作业专业化、经营企业化、服务社会化、管理规范化”的发展，购买服务需求合理充分。</w:t>
      </w:r>
    </w:p>
    <w:p>
      <w:pPr>
        <w:pageBreakBefore w:val="0"/>
        <w:kinsoku/>
        <w:wordWrap/>
        <w:overflowPunct/>
        <w:topLinePunct w:val="0"/>
        <w:autoSpaceDE/>
        <w:autoSpaceDN/>
        <w:bidi w:val="0"/>
        <w:spacing w:line="360" w:lineRule="exact"/>
        <w:ind w:firstLine="420"/>
      </w:pPr>
      <w:r>
        <w:rPr>
          <w:rFonts w:hint="eastAsia" w:ascii="宋体" w:hAnsi="宋体" w:eastAsia="宋体" w:cs="宋体"/>
        </w:rPr>
        <w:t>⑤经核实，项目以巴楚县住房和城乡建设局为购买主体，采购环卫市场化服务，促进转变政府职能，改善公共服务供给，符合《政府购买服务管理办法》。</w:t>
      </w:r>
    </w:p>
    <w:p>
      <w:pPr>
        <w:pageBreakBefore w:val="0"/>
        <w:kinsoku/>
        <w:wordWrap/>
        <w:overflowPunct/>
        <w:topLinePunct w:val="0"/>
        <w:autoSpaceDE/>
        <w:autoSpaceDN/>
        <w:bidi w:val="0"/>
        <w:spacing w:line="360" w:lineRule="exact"/>
        <w:ind w:firstLine="420"/>
      </w:pPr>
      <w:r>
        <w:t>该指标满分为2分，根据评分标准得2分。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（2）A12立项程序规范性指标</w:t>
      </w:r>
    </w:p>
    <w:p>
      <w:pPr>
        <w:pageBreakBefore w:val="0"/>
        <w:kinsoku/>
        <w:wordWrap/>
        <w:overflowPunct/>
        <w:topLinePunct w:val="0"/>
        <w:autoSpaceDE/>
        <w:autoSpaceDN/>
        <w:bidi w:val="0"/>
        <w:spacing w:line="360" w:lineRule="exact"/>
        <w:ind w:firstLine="420"/>
      </w:pPr>
      <w:r>
        <w:rPr>
          <w:rFonts w:hint="eastAsia" w:ascii="宋体" w:hAnsi="宋体" w:eastAsia="宋体" w:cs="宋体"/>
        </w:rPr>
        <w:t>该项目为延续性项目，巴楚县住房和城乡建设局于2021年通过政府购买服务方式公开招标确定由石河子市瑞祥居物业服务有限公司获得巴楚县城区环卫市场化运营资格。2021年4月22日，与其签订了《巴楚县城区环卫市场化购买服务项目合同》，中标合同金额778.72万元/年，服务期限为3年，自2021年4月22日-2024年4月21日止。故该项目根据合同履约开展2023年度环卫服务，环卫服务费用已纳入年初预算安排中，立项程序规范。</w:t>
      </w:r>
    </w:p>
    <w:p>
      <w:pPr>
        <w:pageBreakBefore w:val="0"/>
        <w:kinsoku/>
        <w:wordWrap/>
        <w:overflowPunct/>
        <w:topLinePunct w:val="0"/>
        <w:autoSpaceDE/>
        <w:autoSpaceDN/>
        <w:bidi w:val="0"/>
        <w:spacing w:line="360" w:lineRule="exact"/>
        <w:ind w:firstLine="420"/>
      </w:pPr>
      <w:r>
        <w:t>该指标满分为2分，根据评分标准得2分。</w:t>
      </w:r>
      <w:bookmarkStart w:id="333" w:name="_GoBack"/>
      <w:bookmarkEnd w:id="333"/>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（3）A21绩效目标合理性指标</w:t>
      </w:r>
    </w:p>
    <w:p>
      <w:pPr>
        <w:pageBreakBefore w:val="0"/>
        <w:kinsoku/>
        <w:wordWrap/>
        <w:overflowPunct/>
        <w:topLinePunct w:val="0"/>
        <w:autoSpaceDE/>
        <w:autoSpaceDN/>
        <w:bidi w:val="0"/>
        <w:spacing w:line="360" w:lineRule="exact"/>
        <w:ind w:firstLine="420"/>
      </w:pPr>
      <w:r>
        <w:rPr>
          <w:rFonts w:hint="eastAsia" w:ascii="宋体" w:hAnsi="宋体" w:eastAsia="宋体" w:cs="宋体"/>
        </w:rPr>
        <w:t>①根据项目实施单位《项目支出绩效目标表》，项目有绩效目标，具体目标内容是：“本项目预算资金778.72万元、其中人员工资发放652.92万元，社保缴纳125</w:t>
      </w:r>
      <w:r>
        <w:rPr>
          <w:rFonts w:hint="eastAsia" w:ascii="宋体" w:hAnsi="宋体" w:eastAsia="宋体" w:cs="宋体"/>
          <w:lang w:eastAsia="zh-CN"/>
        </w:rPr>
        <w:t>.8</w:t>
      </w:r>
      <w:r>
        <w:rPr>
          <w:rFonts w:hint="eastAsia" w:ascii="宋体" w:hAnsi="宋体" w:eastAsia="宋体" w:cs="宋体"/>
        </w:rPr>
        <w:t>万元。保障151名环卫工人工资正常发放，提高环卫工人工作积极性，提升我县环境卫生质量提升”。</w:t>
      </w:r>
    </w:p>
    <w:p>
      <w:pPr>
        <w:pageBreakBefore w:val="0"/>
        <w:kinsoku/>
        <w:wordWrap/>
        <w:overflowPunct/>
        <w:topLinePunct w:val="0"/>
        <w:autoSpaceDE/>
        <w:autoSpaceDN/>
        <w:bidi w:val="0"/>
        <w:spacing w:line="360" w:lineRule="exact"/>
        <w:ind w:firstLine="420"/>
      </w:pPr>
      <w:r>
        <w:rPr>
          <w:rFonts w:hint="eastAsia" w:ascii="宋体" w:hAnsi="宋体" w:eastAsia="宋体" w:cs="宋体"/>
        </w:rPr>
        <w:t>②经查阅项目资料，本项目资金均用于环卫人员运营费用的拨付，项目绩效目标与实际工作内容具有相关性。</w:t>
      </w:r>
    </w:p>
    <w:p>
      <w:pPr>
        <w:pageBreakBefore w:val="0"/>
        <w:kinsoku/>
        <w:wordWrap/>
        <w:overflowPunct/>
        <w:topLinePunct w:val="0"/>
        <w:autoSpaceDE/>
        <w:autoSpaceDN/>
        <w:bidi w:val="0"/>
        <w:spacing w:line="360" w:lineRule="exact"/>
        <w:ind w:firstLine="420"/>
      </w:pPr>
      <w:r>
        <w:rPr>
          <w:rFonts w:hint="eastAsia" w:ascii="宋体" w:hAnsi="宋体" w:eastAsia="宋体" w:cs="宋体"/>
        </w:rPr>
        <w:t>③该项目通过保障环卫工人工资正常发放，提高环卫工人工作积极性，提升我县环境卫生质量提升，项目预期产出效益和效果根据项目的实际用途设置，符合正常的业绩水平。</w:t>
      </w:r>
    </w:p>
    <w:p>
      <w:pPr>
        <w:pageBreakBefore w:val="0"/>
        <w:kinsoku/>
        <w:wordWrap/>
        <w:overflowPunct/>
        <w:topLinePunct w:val="0"/>
        <w:autoSpaceDE/>
        <w:autoSpaceDN/>
        <w:bidi w:val="0"/>
        <w:spacing w:line="360" w:lineRule="exact"/>
        <w:ind w:firstLine="420"/>
      </w:pPr>
      <w:r>
        <w:rPr>
          <w:rFonts w:hint="eastAsia" w:ascii="宋体" w:hAnsi="宋体" w:eastAsia="宋体" w:cs="宋体"/>
        </w:rPr>
        <w:t>④经查证，该项目绩效目标预算资金778.72万元，故绩效目标确定的预算与预算确定的项目资金量匹配。</w:t>
      </w:r>
    </w:p>
    <w:p>
      <w:pPr>
        <w:pageBreakBefore w:val="0"/>
        <w:kinsoku/>
        <w:wordWrap/>
        <w:overflowPunct/>
        <w:topLinePunct w:val="0"/>
        <w:autoSpaceDE/>
        <w:autoSpaceDN/>
        <w:bidi w:val="0"/>
        <w:spacing w:line="360" w:lineRule="exact"/>
        <w:ind w:firstLine="420"/>
      </w:pPr>
      <w:r>
        <w:t>该指标满分为1</w:t>
      </w:r>
      <w:r>
        <w:rPr>
          <w:rFonts w:hint="eastAsia"/>
          <w:lang w:eastAsia="zh-CN"/>
        </w:rPr>
        <w:t>.5</w:t>
      </w:r>
      <w:r>
        <w:t>分，根据评分标准得1</w:t>
      </w:r>
      <w:r>
        <w:rPr>
          <w:rFonts w:hint="eastAsia"/>
          <w:lang w:eastAsia="zh-CN"/>
        </w:rPr>
        <w:t>.5</w:t>
      </w:r>
      <w:r>
        <w:t>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（4）A22绩效指标明确性指标</w:t>
      </w:r>
    </w:p>
    <w:p>
      <w:pPr>
        <w:pageBreakBefore w:val="0"/>
        <w:kinsoku/>
        <w:wordWrap/>
        <w:overflowPunct/>
        <w:topLinePunct w:val="0"/>
        <w:autoSpaceDE/>
        <w:autoSpaceDN/>
        <w:bidi w:val="0"/>
        <w:spacing w:line="360" w:lineRule="exact"/>
        <w:ind w:firstLine="420"/>
      </w:pPr>
      <w:r>
        <w:rPr>
          <w:rFonts w:hint="eastAsia" w:ascii="宋体" w:hAnsi="宋体" w:eastAsia="宋体" w:cs="宋体"/>
        </w:rPr>
        <w:t>①根据《项目支出绩效目标表》分析可知，该项目共设立一级指标4个，二级指标6个，三级指标11个，项目实施单位已将绩效目标细化分解为具体的绩效指标。</w:t>
      </w:r>
    </w:p>
    <w:p>
      <w:pPr>
        <w:pageBreakBefore w:val="0"/>
        <w:kinsoku/>
        <w:wordWrap/>
        <w:overflowPunct/>
        <w:topLinePunct w:val="0"/>
        <w:autoSpaceDE/>
        <w:autoSpaceDN/>
        <w:bidi w:val="0"/>
        <w:spacing w:line="360" w:lineRule="exact"/>
        <w:ind w:firstLine="420"/>
      </w:pPr>
      <w:r>
        <w:rPr>
          <w:rFonts w:hint="eastAsia" w:ascii="宋体" w:hAnsi="宋体" w:eastAsia="宋体" w:cs="宋体"/>
        </w:rPr>
        <w:t>②该项目已设置三级指标11个，其中定量指标8个，定性指标3个，指标量化率为72.73％，指标量化率达到目标。经评价分析，项目实施后可产生预期的社会效益，项目指标设置有相应的时效指标，项目绩效目标设置与预算关联性紧密，绩效指标与项目计划数一致，指标设置清晰准确，且量化易评。</w:t>
      </w:r>
    </w:p>
    <w:p>
      <w:pPr>
        <w:pageBreakBefore w:val="0"/>
        <w:kinsoku/>
        <w:wordWrap/>
        <w:overflowPunct/>
        <w:topLinePunct w:val="0"/>
        <w:autoSpaceDE/>
        <w:autoSpaceDN/>
        <w:bidi w:val="0"/>
        <w:spacing w:line="360" w:lineRule="exact"/>
        <w:ind w:firstLine="420"/>
      </w:pPr>
      <w:r>
        <w:t>该指标满分为1</w:t>
      </w:r>
      <w:r>
        <w:rPr>
          <w:rFonts w:hint="eastAsia"/>
          <w:lang w:eastAsia="zh-CN"/>
        </w:rPr>
        <w:t>.5</w:t>
      </w:r>
      <w:r>
        <w:t>分，根据评分标准得1</w:t>
      </w:r>
      <w:r>
        <w:rPr>
          <w:rFonts w:hint="eastAsia"/>
          <w:lang w:eastAsia="zh-CN"/>
        </w:rPr>
        <w:t>.5</w:t>
      </w:r>
      <w:r>
        <w:t>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（5）A31预算编制科学性指标</w:t>
      </w:r>
    </w:p>
    <w:p>
      <w:pPr>
        <w:pageBreakBefore w:val="0"/>
        <w:widowControl/>
        <w:kinsoku/>
        <w:wordWrap/>
        <w:overflowPunct/>
        <w:topLinePunct w:val="0"/>
        <w:autoSpaceDE/>
        <w:autoSpaceDN/>
        <w:bidi w:val="0"/>
        <w:spacing w:line="360" w:lineRule="exact"/>
        <w:ind w:firstLine="420"/>
        <w:jc w:val="left"/>
        <w:rPr>
          <w:rFonts w:ascii="宋体" w:hAnsi="宋体" w:eastAsia="宋体" w:cs="宋体"/>
        </w:rPr>
      </w:pPr>
      <w:r>
        <w:rPr>
          <w:rFonts w:hint="eastAsia" w:ascii="宋体" w:hAnsi="宋体" w:eastAsia="宋体" w:cs="宋体"/>
        </w:rPr>
        <w:t>根据《巴楚县住房和城乡建设局2023年度城区环卫市场化项目工作计划》《巴楚县住房和城乡建设局2023年度城区环卫市场化项目实施方案》，该项目为延续性项目，根据2021年政府购买服务方式采购巴楚县城区环卫市场化运营服务，根据签订《巴楚县城区环卫市场化运营合同》，年服务费用</w:t>
      </w:r>
      <w:r>
        <w:rPr>
          <w:rFonts w:hint="eastAsia"/>
        </w:rPr>
        <w:t>778.72</w:t>
      </w:r>
      <w:r>
        <w:rPr>
          <w:rFonts w:hint="eastAsia" w:ascii="宋体" w:hAnsi="宋体" w:eastAsia="宋体" w:cs="宋体"/>
        </w:rPr>
        <w:t>万元，每月支付</w:t>
      </w:r>
      <w:r>
        <w:rPr>
          <w:rFonts w:hint="eastAsia"/>
        </w:rPr>
        <w:t>64.89</w:t>
      </w:r>
      <w:r>
        <w:rPr>
          <w:rFonts w:hint="eastAsia" w:ascii="宋体" w:hAnsi="宋体" w:eastAsia="宋体" w:cs="宋体"/>
        </w:rPr>
        <w:t>万元。</w:t>
      </w:r>
    </w:p>
    <w:p>
      <w:pPr>
        <w:pageBreakBefore w:val="0"/>
        <w:widowControl/>
        <w:kinsoku/>
        <w:wordWrap/>
        <w:overflowPunct/>
        <w:topLinePunct w:val="0"/>
        <w:autoSpaceDE/>
        <w:autoSpaceDN/>
        <w:bidi w:val="0"/>
        <w:spacing w:line="360" w:lineRule="exact"/>
        <w:ind w:firstLine="420"/>
        <w:jc w:val="left"/>
      </w:pPr>
      <w:r>
        <w:rPr>
          <w:rFonts w:hint="eastAsia"/>
        </w:rPr>
        <w:t>经核对《关于下达财政收支预算指标的通知》，项目纳入年初预算，但年初预算安排194.68万元，年中追加项目预算584.04万元，项目年初预算没有按购买服务费用足额纳入部门预算，不符合财政部令第102号《政府购买服务管理办法》：“</w:t>
      </w:r>
      <w:r>
        <w:rPr>
          <w:rFonts w:ascii="宋体" w:hAnsi="宋体" w:eastAsia="宋体" w:cs="宋体"/>
          <w:kern w:val="0"/>
          <w:lang w:bidi="ar"/>
        </w:rPr>
        <w:t>政府购买服务项目所需资金应当在相关部门预算中统筹安排，并与中期财政规划相衔接，未列入预算的项目不得实施。购买主体在编报年度部门预算时，应当反映政府购买服务支出情况</w:t>
      </w:r>
      <w:r>
        <w:rPr>
          <w:rFonts w:hint="eastAsia"/>
        </w:rPr>
        <w:t>”的规定。</w:t>
      </w:r>
    </w:p>
    <w:p>
      <w:pPr>
        <w:pageBreakBefore w:val="0"/>
        <w:kinsoku/>
        <w:wordWrap/>
        <w:overflowPunct/>
        <w:topLinePunct w:val="0"/>
        <w:autoSpaceDE/>
        <w:autoSpaceDN/>
        <w:bidi w:val="0"/>
        <w:spacing w:line="360" w:lineRule="exact"/>
        <w:ind w:firstLine="420"/>
      </w:pPr>
      <w:r>
        <w:t>该指标满分为1</w:t>
      </w:r>
      <w:r>
        <w:rPr>
          <w:rFonts w:hint="eastAsia"/>
          <w:lang w:eastAsia="zh-CN"/>
        </w:rPr>
        <w:t>.5</w:t>
      </w:r>
      <w:r>
        <w:t>分，根据评分标准得</w:t>
      </w:r>
      <w:r>
        <w:rPr>
          <w:rFonts w:hint="eastAsia"/>
        </w:rPr>
        <w:t>0</w:t>
      </w:r>
      <w:r>
        <w:rPr>
          <w:rFonts w:hint="eastAsia"/>
          <w:lang w:eastAsia="zh-CN"/>
        </w:rPr>
        <w:t>.5</w:t>
      </w:r>
      <w:r>
        <w:t>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（6）A32资金分配合理性指标</w:t>
      </w:r>
    </w:p>
    <w:p>
      <w:pPr>
        <w:pageBreakBefore w:val="0"/>
        <w:kinsoku/>
        <w:wordWrap/>
        <w:overflowPunct/>
        <w:topLinePunct w:val="0"/>
        <w:autoSpaceDE/>
        <w:autoSpaceDN/>
        <w:bidi w:val="0"/>
        <w:spacing w:line="360" w:lineRule="exact"/>
        <w:ind w:firstLine="420"/>
      </w:pPr>
      <w:r>
        <w:rPr>
          <w:rFonts w:hint="eastAsia" w:ascii="宋体" w:hAnsi="宋体" w:eastAsia="宋体" w:cs="宋体"/>
        </w:rPr>
        <w:t>根据项目《巴楚县住房和城乡建设局2023年度城区环卫市场化项目工作计划》《巴楚县住房和城乡建设局2023年度城区环卫市场化项目实施方案》以及市场化运营合同，项目按照实施方案及合同约定分配资金额度，分配依据充分、额度合理，和项目单位相适应。</w:t>
      </w:r>
    </w:p>
    <w:p>
      <w:pPr>
        <w:pageBreakBefore w:val="0"/>
        <w:kinsoku/>
        <w:wordWrap/>
        <w:overflowPunct/>
        <w:topLinePunct w:val="0"/>
        <w:autoSpaceDE/>
        <w:autoSpaceDN/>
        <w:bidi w:val="0"/>
        <w:spacing w:line="360" w:lineRule="exact"/>
        <w:ind w:firstLine="420"/>
      </w:pPr>
      <w:r>
        <w:t>该指标满分为1</w:t>
      </w:r>
      <w:r>
        <w:rPr>
          <w:rFonts w:hint="eastAsia"/>
          <w:lang w:eastAsia="zh-CN"/>
        </w:rPr>
        <w:t>.5</w:t>
      </w:r>
      <w:r>
        <w:t>分，根据评分标准得1</w:t>
      </w:r>
      <w:r>
        <w:rPr>
          <w:rFonts w:hint="eastAsia"/>
          <w:lang w:eastAsia="zh-CN"/>
        </w:rPr>
        <w:t>.5</w:t>
      </w:r>
      <w:r>
        <w:t>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213" w:name="_Toc9683"/>
      <w:bookmarkStart w:id="214" w:name="_Toc27277"/>
      <w:bookmarkStart w:id="215" w:name="_Toc20103"/>
      <w:bookmarkStart w:id="216" w:name="_Toc12496"/>
      <w:bookmarkStart w:id="217" w:name="_Toc30828"/>
      <w:bookmarkStart w:id="218" w:name="_Toc16842"/>
      <w:bookmarkStart w:id="219" w:name="_Toc19241"/>
      <w:r>
        <w:rPr>
          <w:rFonts w:hint="eastAsia" w:ascii="Times New Roman" w:hAnsi="Times New Roman" w:cs="Times New Roman" w:eastAsiaTheme="minorEastAsia"/>
          <w:b/>
          <w:bCs/>
          <w:kern w:val="2"/>
          <w:sz w:val="24"/>
          <w:szCs w:val="24"/>
          <w:lang w:val="en-US" w:eastAsia="zh-CN" w:bidi="ar-SA"/>
        </w:rPr>
        <w:t>（二）项目过程情况</w:t>
      </w:r>
      <w:bookmarkEnd w:id="213"/>
      <w:bookmarkEnd w:id="214"/>
      <w:bookmarkEnd w:id="215"/>
      <w:bookmarkEnd w:id="216"/>
      <w:bookmarkEnd w:id="217"/>
      <w:bookmarkEnd w:id="218"/>
      <w:bookmarkEnd w:id="219"/>
    </w:p>
    <w:p>
      <w:pPr>
        <w:pageBreakBefore w:val="0"/>
        <w:kinsoku/>
        <w:wordWrap/>
        <w:overflowPunct/>
        <w:topLinePunct w:val="0"/>
        <w:autoSpaceDE/>
        <w:autoSpaceDN/>
        <w:bidi w:val="0"/>
        <w:spacing w:line="360" w:lineRule="exact"/>
        <w:ind w:firstLine="420"/>
      </w:pPr>
      <w:r>
        <w:t>项目过程类指标由</w:t>
      </w:r>
      <w:r>
        <w:rPr>
          <w:rFonts w:hint="eastAsia"/>
        </w:rPr>
        <w:t>2</w:t>
      </w:r>
      <w:r>
        <w:t>个二级指标和</w:t>
      </w:r>
      <w:r>
        <w:rPr>
          <w:rFonts w:hint="eastAsia"/>
        </w:rPr>
        <w:t>5</w:t>
      </w:r>
      <w:r>
        <w:t>个三级指标构成，权重分</w:t>
      </w:r>
      <w:r>
        <w:rPr>
          <w:rFonts w:hint="eastAsia"/>
        </w:rPr>
        <w:t>25</w:t>
      </w:r>
      <w:r>
        <w:t>分，实际得分</w:t>
      </w:r>
      <w:r>
        <w:rPr>
          <w:rFonts w:hint="eastAsia"/>
        </w:rPr>
        <w:t>21</w:t>
      </w:r>
      <w:r>
        <w:t>分</w:t>
      </w:r>
      <w:r>
        <w:rPr>
          <w:rFonts w:hint="eastAsia"/>
        </w:rPr>
        <w:t>，得分率为84%</w:t>
      </w:r>
      <w:r>
        <w:t>。各指标业绩值和绩效分值如下表所示：</w:t>
      </w:r>
    </w:p>
    <w:p>
      <w:pPr>
        <w:pageBreakBefore w:val="0"/>
        <w:kinsoku/>
        <w:wordWrap/>
        <w:overflowPunct/>
        <w:topLinePunct w:val="0"/>
        <w:autoSpaceDE/>
        <w:autoSpaceDN/>
        <w:bidi w:val="0"/>
        <w:spacing w:line="360" w:lineRule="exact"/>
        <w:ind w:firstLine="0" w:firstLineChars="0"/>
        <w:jc w:val="center"/>
        <w:rPr>
          <w:rFonts w:eastAsia="黑体"/>
        </w:rPr>
      </w:pPr>
      <w:r>
        <w:rPr>
          <w:b/>
          <w:bCs/>
          <w:szCs w:val="16"/>
        </w:rPr>
        <w:t>表</w:t>
      </w:r>
      <w:r>
        <w:rPr>
          <w:rFonts w:hint="eastAsia"/>
          <w:b/>
          <w:bCs/>
          <w:szCs w:val="16"/>
        </w:rPr>
        <w:t>5</w:t>
      </w:r>
      <w:r>
        <w:rPr>
          <w:b/>
          <w:bCs/>
          <w:szCs w:val="16"/>
        </w:rPr>
        <w:t>-2：项目过程类指标及分值</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47" w:hRule="atLeast"/>
          <w:tblHeader/>
          <w:jc w:val="center"/>
        </w:trPr>
        <w:tc>
          <w:tcPr>
            <w:tcW w:w="617"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一级指标</w:t>
            </w:r>
          </w:p>
        </w:tc>
        <w:tc>
          <w:tcPr>
            <w:tcW w:w="661"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二级指标</w:t>
            </w:r>
          </w:p>
        </w:tc>
        <w:tc>
          <w:tcPr>
            <w:tcW w:w="1201"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三级指标</w:t>
            </w:r>
          </w:p>
        </w:tc>
        <w:tc>
          <w:tcPr>
            <w:tcW w:w="500" w:type="pct"/>
            <w:vAlign w:val="center"/>
          </w:tcPr>
          <w:p>
            <w:pPr>
              <w:pageBreakBefore w:val="0"/>
              <w:widowControl/>
              <w:kinsoku/>
              <w:wordWrap/>
              <w:overflowPunct/>
              <w:topLinePunct w:val="0"/>
              <w:autoSpaceDE/>
              <w:autoSpaceDN/>
              <w:bidi w:val="0"/>
              <w:spacing w:line="360" w:lineRule="exact"/>
              <w:ind w:firstLine="0" w:firstLineChars="0"/>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目标值</w:t>
            </w:r>
          </w:p>
        </w:tc>
        <w:tc>
          <w:tcPr>
            <w:tcW w:w="660" w:type="pct"/>
            <w:vAlign w:val="center"/>
          </w:tcPr>
          <w:p>
            <w:pPr>
              <w:pageBreakBefore w:val="0"/>
              <w:widowControl/>
              <w:kinsoku/>
              <w:wordWrap/>
              <w:overflowPunct/>
              <w:topLinePunct w:val="0"/>
              <w:autoSpaceDE/>
              <w:autoSpaceDN/>
              <w:bidi w:val="0"/>
              <w:spacing w:line="360" w:lineRule="exact"/>
              <w:ind w:firstLine="0" w:firstLineChars="0"/>
              <w:textAlignment w:val="center"/>
              <w:rPr>
                <w:rFonts w:ascii="Times New Roman" w:hAnsi="Times New Roman" w:eastAsia="宋体" w:cs="Times New Roman"/>
                <w:b/>
                <w:kern w:val="0"/>
                <w:sz w:val="20"/>
                <w:szCs w:val="20"/>
                <w:lang w:bidi="ar"/>
              </w:rPr>
            </w:pPr>
            <w:r>
              <w:rPr>
                <w:rFonts w:hint="default" w:ascii="Times New Roman" w:hAnsi="Times New Roman" w:eastAsia="宋体" w:cs="Times New Roman"/>
                <w:b/>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权重</w:t>
            </w:r>
          </w:p>
        </w:tc>
        <w:tc>
          <w:tcPr>
            <w:tcW w:w="41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得分</w:t>
            </w:r>
          </w:p>
        </w:tc>
        <w:tc>
          <w:tcPr>
            <w:tcW w:w="498"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kern w:val="0"/>
                <w:sz w:val="20"/>
                <w:szCs w:val="20"/>
                <w:lang w:bidi="ar"/>
              </w:rPr>
            </w:pPr>
            <w:r>
              <w:rPr>
                <w:rFonts w:hint="default" w:ascii="Times New Roman" w:hAnsi="Times New Roman" w:eastAsia="宋体" w:cs="Times New Roman"/>
                <w:b/>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r>
              <w:rPr>
                <w:rFonts w:hint="default" w:ascii="Times New Roman" w:hAnsi="Times New Roman" w:eastAsia="宋体" w:cs="Times New Roman"/>
                <w:sz w:val="20"/>
                <w:szCs w:val="20"/>
              </w:rPr>
              <w:t>B过程（25分）</w:t>
            </w:r>
          </w:p>
        </w:tc>
        <w:tc>
          <w:tcPr>
            <w:tcW w:w="661" w:type="pct"/>
            <w:vMerge w:val="restart"/>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B1 资金管理（13分）　</w:t>
            </w:r>
          </w:p>
        </w:tc>
        <w:tc>
          <w:tcPr>
            <w:tcW w:w="1201" w:type="pct"/>
            <w:vAlign w:val="center"/>
          </w:tcPr>
          <w:p>
            <w:pPr>
              <w:pageBreakBefore w:val="0"/>
              <w:widowControl/>
              <w:kinsoku/>
              <w:wordWrap/>
              <w:overflowPunct/>
              <w:topLinePunct w:val="0"/>
              <w:autoSpaceDE/>
              <w:autoSpaceDN/>
              <w:bidi w:val="0"/>
              <w:spacing w:line="360" w:lineRule="exact"/>
              <w:ind w:firstLine="0" w:firstLineChars="0"/>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B11资金到位率</w:t>
            </w:r>
          </w:p>
        </w:tc>
        <w:tc>
          <w:tcPr>
            <w:tcW w:w="500"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660"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451"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3</w:t>
            </w:r>
          </w:p>
        </w:tc>
        <w:tc>
          <w:tcPr>
            <w:tcW w:w="410"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3</w:t>
            </w:r>
          </w:p>
        </w:tc>
        <w:tc>
          <w:tcPr>
            <w:tcW w:w="498"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p>
        </w:tc>
        <w:tc>
          <w:tcPr>
            <w:tcW w:w="661" w:type="pct"/>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p>
        </w:tc>
        <w:tc>
          <w:tcPr>
            <w:tcW w:w="1201" w:type="pct"/>
            <w:vAlign w:val="center"/>
          </w:tcPr>
          <w:p>
            <w:pPr>
              <w:pageBreakBefore w:val="0"/>
              <w:widowControl/>
              <w:kinsoku/>
              <w:wordWrap/>
              <w:overflowPunct/>
              <w:topLinePunct w:val="0"/>
              <w:autoSpaceDE/>
              <w:autoSpaceDN/>
              <w:bidi w:val="0"/>
              <w:spacing w:line="360" w:lineRule="exact"/>
              <w:ind w:firstLine="0" w:firstLineChars="0"/>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B12预算执行率</w:t>
            </w:r>
          </w:p>
        </w:tc>
        <w:tc>
          <w:tcPr>
            <w:tcW w:w="500"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660"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451"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5</w:t>
            </w:r>
          </w:p>
        </w:tc>
        <w:tc>
          <w:tcPr>
            <w:tcW w:w="410"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5</w:t>
            </w:r>
          </w:p>
        </w:tc>
        <w:tc>
          <w:tcPr>
            <w:tcW w:w="498"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p>
        </w:tc>
        <w:tc>
          <w:tcPr>
            <w:tcW w:w="661" w:type="pct"/>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p>
        </w:tc>
        <w:tc>
          <w:tcPr>
            <w:tcW w:w="1201" w:type="pct"/>
            <w:vAlign w:val="center"/>
          </w:tcPr>
          <w:p>
            <w:pPr>
              <w:pageBreakBefore w:val="0"/>
              <w:widowControl/>
              <w:kinsoku/>
              <w:wordWrap/>
              <w:overflowPunct/>
              <w:topLinePunct w:val="0"/>
              <w:autoSpaceDE/>
              <w:autoSpaceDN/>
              <w:bidi w:val="0"/>
              <w:spacing w:line="360" w:lineRule="exact"/>
              <w:ind w:firstLine="0" w:firstLineChars="0"/>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B13资金使用合规性</w:t>
            </w:r>
          </w:p>
        </w:tc>
        <w:tc>
          <w:tcPr>
            <w:tcW w:w="500"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合规</w:t>
            </w:r>
          </w:p>
        </w:tc>
        <w:tc>
          <w:tcPr>
            <w:tcW w:w="660"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合规</w:t>
            </w:r>
          </w:p>
        </w:tc>
        <w:tc>
          <w:tcPr>
            <w:tcW w:w="451"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5</w:t>
            </w:r>
          </w:p>
        </w:tc>
        <w:tc>
          <w:tcPr>
            <w:tcW w:w="410"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5</w:t>
            </w:r>
          </w:p>
        </w:tc>
        <w:tc>
          <w:tcPr>
            <w:tcW w:w="498"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p>
        </w:tc>
        <w:tc>
          <w:tcPr>
            <w:tcW w:w="661" w:type="pct"/>
            <w:vMerge w:val="restart"/>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B2 组织实施（12分）　</w:t>
            </w:r>
          </w:p>
        </w:tc>
        <w:tc>
          <w:tcPr>
            <w:tcW w:w="1201" w:type="pct"/>
            <w:vAlign w:val="center"/>
          </w:tcPr>
          <w:p>
            <w:pPr>
              <w:pageBreakBefore w:val="0"/>
              <w:widowControl/>
              <w:kinsoku/>
              <w:wordWrap/>
              <w:overflowPunct/>
              <w:topLinePunct w:val="0"/>
              <w:autoSpaceDE/>
              <w:autoSpaceDN/>
              <w:bidi w:val="0"/>
              <w:spacing w:line="360" w:lineRule="exact"/>
              <w:ind w:firstLine="0" w:firstLineChars="0"/>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B21管理制度健全性</w:t>
            </w:r>
          </w:p>
        </w:tc>
        <w:tc>
          <w:tcPr>
            <w:tcW w:w="500"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健全</w:t>
            </w:r>
          </w:p>
        </w:tc>
        <w:tc>
          <w:tcPr>
            <w:tcW w:w="660"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健全</w:t>
            </w:r>
          </w:p>
        </w:tc>
        <w:tc>
          <w:tcPr>
            <w:tcW w:w="451"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4</w:t>
            </w:r>
          </w:p>
        </w:tc>
        <w:tc>
          <w:tcPr>
            <w:tcW w:w="410"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4</w:t>
            </w:r>
          </w:p>
        </w:tc>
        <w:tc>
          <w:tcPr>
            <w:tcW w:w="498"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p>
        </w:tc>
        <w:tc>
          <w:tcPr>
            <w:tcW w:w="661" w:type="pct"/>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p>
        </w:tc>
        <w:tc>
          <w:tcPr>
            <w:tcW w:w="1201" w:type="pct"/>
            <w:vAlign w:val="center"/>
          </w:tcPr>
          <w:p>
            <w:pPr>
              <w:pageBreakBefore w:val="0"/>
              <w:widowControl/>
              <w:kinsoku/>
              <w:wordWrap/>
              <w:overflowPunct/>
              <w:topLinePunct w:val="0"/>
              <w:autoSpaceDE/>
              <w:autoSpaceDN/>
              <w:bidi w:val="0"/>
              <w:spacing w:line="360" w:lineRule="exact"/>
              <w:ind w:firstLine="0" w:firstLineChars="0"/>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B22制度执行有效性</w:t>
            </w:r>
          </w:p>
        </w:tc>
        <w:tc>
          <w:tcPr>
            <w:tcW w:w="500"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有效</w:t>
            </w:r>
          </w:p>
        </w:tc>
        <w:tc>
          <w:tcPr>
            <w:tcW w:w="660"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较有效</w:t>
            </w:r>
          </w:p>
        </w:tc>
        <w:tc>
          <w:tcPr>
            <w:tcW w:w="451"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8</w:t>
            </w:r>
          </w:p>
        </w:tc>
        <w:tc>
          <w:tcPr>
            <w:tcW w:w="410"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4</w:t>
            </w:r>
          </w:p>
        </w:tc>
        <w:tc>
          <w:tcPr>
            <w:tcW w:w="498"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38" w:hRule="atLeast"/>
          <w:jc w:val="center"/>
        </w:trPr>
        <w:tc>
          <w:tcPr>
            <w:tcW w:w="617" w:type="pct"/>
            <w:gridSpan w:val="3"/>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sz w:val="20"/>
                <w:szCs w:val="20"/>
              </w:rPr>
            </w:pPr>
            <w:r>
              <w:rPr>
                <w:rFonts w:hint="default" w:ascii="Times New Roman" w:hAnsi="Times New Roman" w:eastAsia="宋体" w:cs="Times New Roman"/>
                <w:b/>
                <w:bCs/>
                <w:sz w:val="20"/>
                <w:szCs w:val="20"/>
              </w:rPr>
              <w:t>合计</w:t>
            </w:r>
          </w:p>
        </w:tc>
        <w:tc>
          <w:tcPr>
            <w:tcW w:w="500"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sz w:val="20"/>
                <w:szCs w:val="20"/>
              </w:rPr>
            </w:pPr>
          </w:p>
        </w:tc>
        <w:tc>
          <w:tcPr>
            <w:tcW w:w="660"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sz w:val="20"/>
                <w:szCs w:val="20"/>
              </w:rPr>
            </w:pPr>
          </w:p>
        </w:tc>
        <w:tc>
          <w:tcPr>
            <w:tcW w:w="451"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b/>
                <w:bCs/>
                <w:sz w:val="20"/>
                <w:szCs w:val="20"/>
                <w:lang w:eastAsia="zh-CN"/>
              </w:rPr>
            </w:pPr>
            <w:r>
              <w:rPr>
                <w:rFonts w:hint="default" w:ascii="Times New Roman" w:hAnsi="Times New Roman" w:eastAsia="宋体" w:cs="Times New Roman"/>
                <w:b/>
                <w:bCs/>
                <w:kern w:val="0"/>
                <w:sz w:val="20"/>
                <w:szCs w:val="20"/>
                <w:lang w:bidi="ar"/>
              </w:rPr>
              <w:t>25</w:t>
            </w:r>
          </w:p>
        </w:tc>
        <w:tc>
          <w:tcPr>
            <w:tcW w:w="410"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b/>
                <w:bCs/>
                <w:sz w:val="20"/>
                <w:szCs w:val="20"/>
                <w:lang w:eastAsia="zh-CN"/>
              </w:rPr>
            </w:pPr>
            <w:r>
              <w:rPr>
                <w:rFonts w:hint="default" w:ascii="Times New Roman" w:hAnsi="Times New Roman" w:eastAsia="宋体" w:cs="Times New Roman"/>
                <w:b/>
                <w:bCs/>
                <w:kern w:val="0"/>
                <w:sz w:val="20"/>
                <w:szCs w:val="20"/>
                <w:lang w:bidi="ar"/>
              </w:rPr>
              <w:t>21</w:t>
            </w:r>
          </w:p>
        </w:tc>
        <w:tc>
          <w:tcPr>
            <w:tcW w:w="498"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sz w:val="20"/>
                <w:szCs w:val="20"/>
              </w:rPr>
            </w:pPr>
            <w:r>
              <w:rPr>
                <w:rFonts w:hint="default" w:ascii="Times New Roman" w:hAnsi="Times New Roman" w:eastAsia="宋体" w:cs="Times New Roman"/>
                <w:b/>
                <w:bCs/>
                <w:kern w:val="0"/>
                <w:sz w:val="20"/>
                <w:szCs w:val="20"/>
                <w:lang w:bidi="ar"/>
              </w:rPr>
              <w:t>84%</w:t>
            </w:r>
          </w:p>
        </w:tc>
      </w:tr>
    </w:tbl>
    <w:p>
      <w:pPr>
        <w:pageBreakBefore w:val="0"/>
        <w:kinsoku/>
        <w:wordWrap/>
        <w:overflowPunct/>
        <w:topLinePunct w:val="0"/>
        <w:autoSpaceDE/>
        <w:autoSpaceDN/>
        <w:bidi w:val="0"/>
        <w:spacing w:line="360" w:lineRule="exact"/>
        <w:ind w:firstLine="422"/>
        <w:rPr>
          <w:rFonts w:eastAsia="宋体"/>
          <w:b/>
          <w:bCs/>
        </w:rPr>
      </w:pP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指标得分分析：</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（1）B11资金到位率指标</w:t>
      </w:r>
    </w:p>
    <w:p>
      <w:pPr>
        <w:pageBreakBefore w:val="0"/>
        <w:kinsoku/>
        <w:wordWrap/>
        <w:overflowPunct/>
        <w:topLinePunct w:val="0"/>
        <w:autoSpaceDE/>
        <w:autoSpaceDN/>
        <w:bidi w:val="0"/>
        <w:spacing w:line="360" w:lineRule="exact"/>
        <w:ind w:firstLine="420"/>
      </w:pPr>
      <w:r>
        <w:t>经查阅</w:t>
      </w:r>
      <w:r>
        <w:rPr>
          <w:rFonts w:hint="eastAsia"/>
        </w:rPr>
        <w:t>《关于下达财政收支预算指标的通知》及</w:t>
      </w:r>
      <w:r>
        <w:t>项目资金拨付文件资料，</w:t>
      </w:r>
      <w:r>
        <w:rPr>
          <w:rFonts w:hint="eastAsia"/>
        </w:rPr>
        <w:t>项目纳入年初预算，年初预算安排194.68万元，年中追加项目预算584.04万元，调整后项目全年预算共</w:t>
      </w:r>
      <w:r>
        <w:t>778.72万元</w:t>
      </w:r>
      <w:r>
        <w:rPr>
          <w:rFonts w:hint="eastAsia"/>
        </w:rPr>
        <w:t>。2023年度实际</w:t>
      </w:r>
      <w:r>
        <w:t>到位资金778.72万元。资金到位率100%。</w:t>
      </w:r>
    </w:p>
    <w:p>
      <w:pPr>
        <w:pageBreakBefore w:val="0"/>
        <w:kinsoku/>
        <w:wordWrap/>
        <w:overflowPunct/>
        <w:topLinePunct w:val="0"/>
        <w:autoSpaceDE/>
        <w:autoSpaceDN/>
        <w:bidi w:val="0"/>
        <w:spacing w:line="360" w:lineRule="exact"/>
        <w:ind w:firstLine="420"/>
      </w:pPr>
      <w:r>
        <w:t>该指标满分为3分，根据评分标准得3分。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（2）B12预算执行率指标</w:t>
      </w:r>
    </w:p>
    <w:p>
      <w:pPr>
        <w:pageBreakBefore w:val="0"/>
        <w:kinsoku/>
        <w:wordWrap/>
        <w:overflowPunct/>
        <w:topLinePunct w:val="0"/>
        <w:autoSpaceDE/>
        <w:autoSpaceDN/>
        <w:bidi w:val="0"/>
        <w:spacing w:line="360" w:lineRule="exact"/>
        <w:ind w:firstLine="420"/>
      </w:pPr>
      <w:r>
        <w:t>经查阅项目资金拨付文件资料，项目实际支出778.72万元，</w:t>
      </w:r>
      <w:r>
        <w:rPr>
          <w:rFonts w:hint="eastAsia"/>
        </w:rPr>
        <w:t>其中2023年内共支出648.94万元，2024年1月支出129.78万元，</w:t>
      </w:r>
      <w:r>
        <w:t>预算执行率100%</w:t>
      </w:r>
      <w:r>
        <w:rPr>
          <w:rFonts w:hint="eastAsia"/>
        </w:rPr>
        <w:t>。</w:t>
      </w:r>
      <w:r>
        <w:t>根据评价标准，得满分。</w:t>
      </w:r>
    </w:p>
    <w:p>
      <w:pPr>
        <w:pageBreakBefore w:val="0"/>
        <w:kinsoku/>
        <w:wordWrap/>
        <w:overflowPunct/>
        <w:topLinePunct w:val="0"/>
        <w:autoSpaceDE/>
        <w:autoSpaceDN/>
        <w:bidi w:val="0"/>
        <w:spacing w:line="360" w:lineRule="exact"/>
        <w:ind w:firstLine="420"/>
      </w:pPr>
      <w:r>
        <w:t>该指标满分为5分，根据评分标准得5分。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（3）B13资金使用合规性指标</w:t>
      </w:r>
    </w:p>
    <w:p>
      <w:pPr>
        <w:pageBreakBefore w:val="0"/>
        <w:kinsoku/>
        <w:wordWrap/>
        <w:overflowPunct/>
        <w:topLinePunct w:val="0"/>
        <w:autoSpaceDE/>
        <w:autoSpaceDN/>
        <w:bidi w:val="0"/>
        <w:spacing w:line="360" w:lineRule="exact"/>
        <w:ind w:firstLine="420"/>
      </w:pPr>
      <w:r>
        <w:t>经查阅项目资料，项目</w:t>
      </w:r>
      <w:r>
        <w:rPr>
          <w:rFonts w:hint="eastAsia"/>
        </w:rPr>
        <w:t>实施</w:t>
      </w:r>
      <w:r>
        <w:t>单位根据</w:t>
      </w:r>
      <w:r>
        <w:rPr>
          <w:rFonts w:hint="eastAsia"/>
        </w:rPr>
        <w:t>环卫公司</w:t>
      </w:r>
      <w:r>
        <w:t>提交的工资表、绩效考核等项目资料，编制资金支付申请，经党组会议通过后，向巴楚县财政局提交资金支付申请报</w:t>
      </w:r>
      <w:r>
        <w:rPr>
          <w:rFonts w:hint="eastAsia"/>
        </w:rPr>
        <w:t>告</w:t>
      </w:r>
      <w:r>
        <w:t>，经国库支付中心审核审批后办理支付，资金的拨付有完整的审批程序和手续，均用于</w:t>
      </w:r>
      <w:r>
        <w:rPr>
          <w:rFonts w:hint="eastAsia"/>
        </w:rPr>
        <w:t>支付</w:t>
      </w:r>
      <w:r>
        <w:t>石河子市瑞祥居物业服务有限公司</w:t>
      </w:r>
      <w:r>
        <w:rPr>
          <w:rFonts w:hint="eastAsia"/>
        </w:rPr>
        <w:t>运用费用</w:t>
      </w:r>
      <w:r>
        <w:t>，</w:t>
      </w:r>
      <w:r>
        <w:rPr>
          <w:rFonts w:hint="eastAsia"/>
        </w:rPr>
        <w:t>项目资金使用</w:t>
      </w:r>
      <w:r>
        <w:t>符合项目预算和合同规定的用途。</w:t>
      </w:r>
    </w:p>
    <w:p>
      <w:pPr>
        <w:pageBreakBefore w:val="0"/>
        <w:kinsoku/>
        <w:wordWrap/>
        <w:overflowPunct/>
        <w:topLinePunct w:val="0"/>
        <w:autoSpaceDE/>
        <w:autoSpaceDN/>
        <w:bidi w:val="0"/>
        <w:spacing w:line="360" w:lineRule="exact"/>
        <w:ind w:firstLine="420"/>
      </w:pPr>
      <w:r>
        <w:t>该指标满分为5分，根据评分标准得5分。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（4）B21管理制度健全性指标</w:t>
      </w:r>
    </w:p>
    <w:p>
      <w:pPr>
        <w:pageBreakBefore w:val="0"/>
        <w:kinsoku/>
        <w:wordWrap/>
        <w:overflowPunct/>
        <w:topLinePunct w:val="0"/>
        <w:autoSpaceDE/>
        <w:autoSpaceDN/>
        <w:bidi w:val="0"/>
        <w:spacing w:line="360" w:lineRule="exact"/>
        <w:ind w:firstLine="420"/>
      </w:pPr>
      <w:r>
        <w:t>经查阅，项目实施单位已建立《巴楚县住房和城乡建设局财务管理制度》《巴楚县住房和城乡建设局合同管理制度》《巴楚县住房和城乡建设局内部控制制度管理制度》，从预算审批、支付审批、合同管理、采购流程等方面进行规范，以上制度内容相对完整。并且项目实施单位</w:t>
      </w:r>
      <w:r>
        <w:rPr>
          <w:rFonts w:hint="eastAsia"/>
        </w:rPr>
        <w:t>按照</w:t>
      </w:r>
      <w:r>
        <w:rPr>
          <w:rFonts w:hint="eastAsia" w:ascii="宋体" w:hAnsi="宋体" w:eastAsia="宋体" w:cs="宋体"/>
        </w:rPr>
        <w:t>《巴楚县城区环卫市场化运营合同》服务内容</w:t>
      </w:r>
      <w:r>
        <w:t>编制了《</w:t>
      </w:r>
      <w:r>
        <w:rPr>
          <w:rFonts w:hint="eastAsia"/>
        </w:rPr>
        <w:t>巴楚县住房和城乡建设局</w:t>
      </w:r>
      <w:r>
        <w:t>2023年度城区环卫市场化项目工作计划》《</w:t>
      </w:r>
      <w:r>
        <w:rPr>
          <w:rFonts w:hint="eastAsia"/>
        </w:rPr>
        <w:t>巴楚县住房和城乡建设局</w:t>
      </w:r>
      <w:r>
        <w:t>2023年度城区环卫市场化项目实施方案》，对项目实施内容、组织保障、监督规范</w:t>
      </w:r>
      <w:r>
        <w:rPr>
          <w:rFonts w:hint="eastAsia"/>
        </w:rPr>
        <w:t>等内容进行明确</w:t>
      </w:r>
      <w:r>
        <w:t>，指导项目规范实施。</w:t>
      </w:r>
    </w:p>
    <w:p>
      <w:pPr>
        <w:pageBreakBefore w:val="0"/>
        <w:kinsoku/>
        <w:wordWrap/>
        <w:overflowPunct/>
        <w:topLinePunct w:val="0"/>
        <w:autoSpaceDE/>
        <w:autoSpaceDN/>
        <w:bidi w:val="0"/>
        <w:spacing w:line="360" w:lineRule="exact"/>
        <w:ind w:firstLine="420"/>
      </w:pPr>
      <w:r>
        <w:t>该指标满分为4分，根据评分标准得4分。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（5）B22制度执行有效性指标</w:t>
      </w:r>
    </w:p>
    <w:p>
      <w:pPr>
        <w:pageBreakBefore w:val="0"/>
        <w:kinsoku/>
        <w:wordWrap/>
        <w:overflowPunct/>
        <w:topLinePunct w:val="0"/>
        <w:autoSpaceDE/>
        <w:autoSpaceDN/>
        <w:bidi w:val="0"/>
        <w:spacing w:line="360" w:lineRule="exact"/>
        <w:ind w:firstLine="420"/>
      </w:pPr>
      <w:r>
        <w:t>该项目为延续性项目，项目以巴楚县住房和城乡建设局为购买主体，采购环卫市场化服务，符合项目单位部门职责以及《政府购买服务管理办法》等相关规定。巴楚县住房和城乡建设局</w:t>
      </w:r>
      <w:r>
        <w:rPr>
          <w:rFonts w:hint="eastAsia"/>
        </w:rPr>
        <w:t>按照</w:t>
      </w:r>
      <w:r>
        <w:t>《巴楚县城区环卫市场化购买服务项目合同》</w:t>
      </w:r>
      <w:r>
        <w:rPr>
          <w:rFonts w:hint="eastAsia"/>
        </w:rPr>
        <w:t>实施内容，</w:t>
      </w:r>
      <w:r>
        <w:t>成立项目领导小组，负责项目全过程实施、管理及监督，</w:t>
      </w:r>
      <w:r>
        <w:rPr>
          <w:rFonts w:hint="eastAsia"/>
        </w:rPr>
        <w:t>按月随机抽查环卫公司作业区域开展</w:t>
      </w:r>
      <w:r>
        <w:rPr>
          <w:rFonts w:hint="eastAsia" w:ascii="宋体" w:hAnsi="宋体" w:eastAsia="宋体" w:cs="宋体"/>
        </w:rPr>
        <w:t>作业质量考核，现场审核打分，并依据考核结果完成服务付费</w:t>
      </w:r>
      <w:r>
        <w:t>。</w:t>
      </w:r>
    </w:p>
    <w:p>
      <w:pPr>
        <w:pageBreakBefore w:val="0"/>
        <w:kinsoku/>
        <w:wordWrap/>
        <w:overflowPunct/>
        <w:topLinePunct w:val="0"/>
        <w:autoSpaceDE/>
        <w:autoSpaceDN/>
        <w:bidi w:val="0"/>
        <w:spacing w:line="360" w:lineRule="exact"/>
        <w:ind w:firstLine="420"/>
      </w:pPr>
      <w:r>
        <w:rPr>
          <w:rFonts w:hint="eastAsia" w:ascii="宋体" w:hAnsi="宋体" w:eastAsia="宋体" w:cs="宋体"/>
        </w:rPr>
        <w:t>但在调研了解项目实施情况过程中，项目实施单位在执行程序中存在以下情况：</w:t>
      </w:r>
    </w:p>
    <w:p>
      <w:pPr>
        <w:pageBreakBefore w:val="0"/>
        <w:kinsoku/>
        <w:wordWrap/>
        <w:overflowPunct/>
        <w:topLinePunct w:val="0"/>
        <w:autoSpaceDE/>
        <w:autoSpaceDN/>
        <w:bidi w:val="0"/>
        <w:spacing w:line="360" w:lineRule="exact"/>
        <w:ind w:firstLine="420"/>
      </w:pPr>
      <w:r>
        <w:rPr>
          <w:rFonts w:hint="eastAsia" w:ascii="宋体" w:hAnsi="宋体" w:eastAsia="宋体" w:cs="宋体"/>
        </w:rPr>
        <w:t>①根据《巴楚县城区环卫市场化购买服务项目合同》《</w:t>
      </w:r>
      <w:r>
        <w:rPr>
          <w:rFonts w:hint="eastAsia"/>
        </w:rPr>
        <w:t>巴楚县住房和城乡建设局</w:t>
      </w:r>
      <w:r>
        <w:t>2023年度城区环卫市场化项目实施方案</w:t>
      </w:r>
      <w:r>
        <w:rPr>
          <w:rFonts w:hint="eastAsia" w:ascii="宋体" w:hAnsi="宋体" w:eastAsia="宋体" w:cs="宋体"/>
        </w:rPr>
        <w:t>》等相关工作要求，应当由住房和城乡和建设局、卫生和健康委员会、市场监督管理局对乙方每月度实施考核，作为核拨经费的依据，经核查，项目实施单位未开展联合考评工作，未严格履行合同约定，考核职责履行不到位。</w:t>
      </w:r>
    </w:p>
    <w:p>
      <w:pPr>
        <w:pageBreakBefore w:val="0"/>
        <w:kinsoku/>
        <w:wordWrap/>
        <w:overflowPunct/>
        <w:topLinePunct w:val="0"/>
        <w:autoSpaceDE/>
        <w:autoSpaceDN/>
        <w:bidi w:val="0"/>
        <w:spacing w:line="360" w:lineRule="exact"/>
        <w:ind w:firstLine="420"/>
      </w:pPr>
      <w:r>
        <w:rPr>
          <w:rFonts w:hint="eastAsia"/>
        </w:rPr>
        <w:t>②经实际调研了解，2023年巴楚县新增一座公园纳入环卫公司日常保洁及垃圾清运管理，经双方协商，2023年增加的公园清扫工作量不进行费用追加。关于新增公园环卫工作量增加部分，且环卫公司人员减少情况下，未见项目实施单位对环卫公司运营成本进行必要成本分析，对新增作业区域环卫工作保障程度缺少必要的评估，且未对新增作业区域的相关事项签订补充协议。</w:t>
      </w:r>
    </w:p>
    <w:p>
      <w:pPr>
        <w:pageBreakBefore w:val="0"/>
        <w:kinsoku/>
        <w:wordWrap/>
        <w:overflowPunct/>
        <w:topLinePunct w:val="0"/>
        <w:autoSpaceDE/>
        <w:autoSpaceDN/>
        <w:bidi w:val="0"/>
        <w:spacing w:line="360" w:lineRule="exact"/>
        <w:ind w:firstLine="420"/>
      </w:pPr>
      <w:r>
        <w:rPr>
          <w:rFonts w:hint="eastAsia"/>
        </w:rPr>
        <w:t>③根据</w:t>
      </w:r>
      <w:r>
        <w:rPr>
          <w:rFonts w:hint="eastAsia" w:ascii="宋体" w:hAnsi="宋体" w:eastAsia="宋体" w:cs="宋体"/>
        </w:rPr>
        <w:t>《巴楚县城区环卫市场化购买服务项目合同》及项目支付材料</w:t>
      </w:r>
      <w:r>
        <w:rPr>
          <w:rFonts w:hint="eastAsia"/>
        </w:rPr>
        <w:t>，项目实施单位应当按月支付合同约定服务费用，实际支付费用频次约为两月一次，未按月及时拨付合同费用。</w:t>
      </w:r>
    </w:p>
    <w:p>
      <w:pPr>
        <w:pageBreakBefore w:val="0"/>
        <w:kinsoku/>
        <w:wordWrap/>
        <w:overflowPunct/>
        <w:topLinePunct w:val="0"/>
        <w:autoSpaceDE/>
        <w:autoSpaceDN/>
        <w:bidi w:val="0"/>
        <w:spacing w:line="360" w:lineRule="exact"/>
        <w:ind w:firstLine="420"/>
      </w:pPr>
      <w:r>
        <w:t>该指标满分为8分，根据评分标准得4分。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220" w:name="_Toc1030"/>
      <w:bookmarkStart w:id="221" w:name="_Toc27760"/>
      <w:bookmarkStart w:id="222" w:name="_Toc13870"/>
      <w:bookmarkStart w:id="223" w:name="_Toc9598"/>
      <w:bookmarkStart w:id="224" w:name="_Toc8500"/>
      <w:bookmarkStart w:id="225" w:name="_Toc24721"/>
      <w:bookmarkStart w:id="226" w:name="_Toc14274"/>
      <w:r>
        <w:rPr>
          <w:rFonts w:hint="eastAsia" w:ascii="Times New Roman" w:hAnsi="Times New Roman" w:cs="Times New Roman" w:eastAsiaTheme="minorEastAsia"/>
          <w:b/>
          <w:bCs/>
          <w:kern w:val="2"/>
          <w:sz w:val="24"/>
          <w:szCs w:val="24"/>
          <w:lang w:val="en-US" w:eastAsia="zh-CN" w:bidi="ar-SA"/>
        </w:rPr>
        <w:t>（三）项目产出情况</w:t>
      </w:r>
      <w:bookmarkEnd w:id="220"/>
      <w:bookmarkEnd w:id="221"/>
      <w:bookmarkEnd w:id="222"/>
      <w:bookmarkEnd w:id="223"/>
      <w:bookmarkEnd w:id="224"/>
      <w:bookmarkEnd w:id="225"/>
      <w:bookmarkEnd w:id="226"/>
    </w:p>
    <w:p>
      <w:pPr>
        <w:pageBreakBefore w:val="0"/>
        <w:kinsoku/>
        <w:wordWrap/>
        <w:overflowPunct/>
        <w:topLinePunct w:val="0"/>
        <w:autoSpaceDE/>
        <w:autoSpaceDN/>
        <w:bidi w:val="0"/>
        <w:spacing w:line="360" w:lineRule="exact"/>
        <w:ind w:firstLine="420"/>
        <w:jc w:val="left"/>
      </w:pPr>
      <w:r>
        <w:t>项目产出指标由</w:t>
      </w:r>
      <w:r>
        <w:rPr>
          <w:rFonts w:hint="eastAsia"/>
        </w:rPr>
        <w:t>4</w:t>
      </w:r>
      <w:r>
        <w:t>个二级和</w:t>
      </w:r>
      <w:r>
        <w:rPr>
          <w:rFonts w:hint="eastAsia"/>
          <w:lang w:val="en-US" w:eastAsia="zh-CN"/>
        </w:rPr>
        <w:t>9</w:t>
      </w:r>
      <w:r>
        <w:t>个三级指标构成，权重分</w:t>
      </w:r>
      <w:r>
        <w:rPr>
          <w:rFonts w:hint="eastAsia"/>
        </w:rPr>
        <w:t>35</w:t>
      </w:r>
      <w:r>
        <w:t>分，实际得分</w:t>
      </w:r>
      <w:r>
        <w:rPr>
          <w:rFonts w:hint="eastAsia"/>
        </w:rPr>
        <w:t>32</w:t>
      </w:r>
      <w:r>
        <w:rPr>
          <w:rFonts w:hint="eastAsia"/>
          <w:lang w:eastAsia="zh-CN"/>
        </w:rPr>
        <w:t>.8</w:t>
      </w:r>
      <w:r>
        <w:t>分</w:t>
      </w:r>
      <w:r>
        <w:rPr>
          <w:rFonts w:hint="eastAsia"/>
        </w:rPr>
        <w:t>，得分率为93.71%</w:t>
      </w:r>
      <w:r>
        <w:t>。各指标业绩值和绩效分值如下表所示：</w:t>
      </w:r>
    </w:p>
    <w:p>
      <w:pPr>
        <w:pageBreakBefore w:val="0"/>
        <w:kinsoku/>
        <w:wordWrap/>
        <w:overflowPunct/>
        <w:topLinePunct w:val="0"/>
        <w:autoSpaceDE/>
        <w:autoSpaceDN/>
        <w:bidi w:val="0"/>
        <w:spacing w:line="360" w:lineRule="exact"/>
        <w:ind w:firstLine="0" w:firstLineChars="0"/>
        <w:jc w:val="center"/>
        <w:rPr>
          <w:rFonts w:eastAsia="黑体"/>
          <w:szCs w:val="16"/>
        </w:rPr>
      </w:pPr>
      <w:r>
        <w:rPr>
          <w:b/>
          <w:bCs/>
          <w:szCs w:val="16"/>
        </w:rPr>
        <w:t>表</w:t>
      </w:r>
      <w:r>
        <w:rPr>
          <w:rFonts w:hint="eastAsia"/>
          <w:b/>
          <w:bCs/>
          <w:szCs w:val="16"/>
        </w:rPr>
        <w:t>5</w:t>
      </w:r>
      <w:r>
        <w:rPr>
          <w:b/>
          <w:bCs/>
          <w:szCs w:val="16"/>
        </w:rPr>
        <w:t>-3：项目产出指标及分值</w:t>
      </w:r>
    </w:p>
    <w:tbl>
      <w:tblPr>
        <w:tblStyle w:val="19"/>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970"/>
        <w:gridCol w:w="1205"/>
        <w:gridCol w:w="1894"/>
        <w:gridCol w:w="960"/>
        <w:gridCol w:w="1143"/>
        <w:gridCol w:w="688"/>
        <w:gridCol w:w="669"/>
        <w:gridCol w:w="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blHeader/>
        </w:trPr>
        <w:tc>
          <w:tcPr>
            <w:tcW w:w="577"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一级指标</w:t>
            </w:r>
          </w:p>
        </w:tc>
        <w:tc>
          <w:tcPr>
            <w:tcW w:w="717"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二级指标</w:t>
            </w:r>
          </w:p>
        </w:tc>
        <w:tc>
          <w:tcPr>
            <w:tcW w:w="1126"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三级指标</w:t>
            </w:r>
          </w:p>
        </w:tc>
        <w:tc>
          <w:tcPr>
            <w:tcW w:w="571"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目标值</w:t>
            </w:r>
          </w:p>
        </w:tc>
        <w:tc>
          <w:tcPr>
            <w:tcW w:w="68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kern w:val="0"/>
                <w:sz w:val="20"/>
                <w:szCs w:val="20"/>
                <w:lang w:bidi="ar"/>
              </w:rPr>
            </w:pPr>
            <w:r>
              <w:rPr>
                <w:rFonts w:hint="default" w:ascii="Times New Roman" w:hAnsi="Times New Roman" w:eastAsia="宋体" w:cs="Times New Roman"/>
                <w:b/>
                <w:kern w:val="0"/>
                <w:sz w:val="20"/>
                <w:szCs w:val="20"/>
                <w:lang w:bidi="ar"/>
              </w:rPr>
              <w:t>实际完成值</w:t>
            </w:r>
          </w:p>
        </w:tc>
        <w:tc>
          <w:tcPr>
            <w:tcW w:w="409"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权重</w:t>
            </w:r>
          </w:p>
        </w:tc>
        <w:tc>
          <w:tcPr>
            <w:tcW w:w="398"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得分</w:t>
            </w:r>
          </w:p>
        </w:tc>
        <w:tc>
          <w:tcPr>
            <w:tcW w:w="52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kern w:val="0"/>
                <w:sz w:val="20"/>
                <w:szCs w:val="20"/>
                <w:lang w:bidi="ar"/>
              </w:rPr>
            </w:pPr>
            <w:r>
              <w:rPr>
                <w:rFonts w:hint="default" w:ascii="Times New Roman" w:hAnsi="Times New Roman" w:eastAsia="宋体" w:cs="Times New Roman"/>
                <w:b/>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577" w:type="pct"/>
            <w:vMerge w:val="restar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C产出（35分）</w:t>
            </w:r>
          </w:p>
        </w:tc>
        <w:tc>
          <w:tcPr>
            <w:tcW w:w="717" w:type="pct"/>
            <w:vMerge w:val="restar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C1产出数量（16分）</w:t>
            </w:r>
          </w:p>
        </w:tc>
        <w:tc>
          <w:tcPr>
            <w:tcW w:w="1126" w:type="pc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C11参与环卫服务工作人员数量</w:t>
            </w:r>
          </w:p>
        </w:tc>
        <w:tc>
          <w:tcPr>
            <w:tcW w:w="571"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eastAsia" w:eastAsia="宋体" w:cs="Times New Roman"/>
                <w:kern w:val="0"/>
                <w:sz w:val="20"/>
                <w:szCs w:val="20"/>
                <w:lang w:eastAsia="zh-CN" w:bidi="ar"/>
              </w:rPr>
              <w:t>≥</w:t>
            </w:r>
            <w:r>
              <w:rPr>
                <w:rFonts w:hint="default" w:ascii="Times New Roman" w:hAnsi="Times New Roman" w:eastAsia="宋体" w:cs="Times New Roman"/>
                <w:kern w:val="0"/>
                <w:sz w:val="20"/>
                <w:szCs w:val="20"/>
                <w:lang w:bidi="ar"/>
              </w:rPr>
              <w:t>152人</w:t>
            </w:r>
          </w:p>
        </w:tc>
        <w:tc>
          <w:tcPr>
            <w:tcW w:w="68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146人</w:t>
            </w:r>
          </w:p>
        </w:tc>
        <w:tc>
          <w:tcPr>
            <w:tcW w:w="409"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4</w:t>
            </w:r>
          </w:p>
        </w:tc>
        <w:tc>
          <w:tcPr>
            <w:tcW w:w="398"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3.61</w:t>
            </w:r>
          </w:p>
        </w:tc>
        <w:tc>
          <w:tcPr>
            <w:tcW w:w="52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90.25%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577" w:type="pct"/>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sz w:val="20"/>
                <w:szCs w:val="20"/>
              </w:rPr>
            </w:pPr>
          </w:p>
        </w:tc>
        <w:tc>
          <w:tcPr>
            <w:tcW w:w="717" w:type="pct"/>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p>
        </w:tc>
        <w:tc>
          <w:tcPr>
            <w:tcW w:w="1126" w:type="pc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C12保障城区道路清洁数量</w:t>
            </w:r>
          </w:p>
        </w:tc>
        <w:tc>
          <w:tcPr>
            <w:tcW w:w="571"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eastAsia" w:eastAsia="宋体" w:cs="Times New Roman"/>
                <w:kern w:val="0"/>
                <w:sz w:val="20"/>
                <w:szCs w:val="20"/>
                <w:lang w:eastAsia="zh-CN" w:bidi="ar"/>
              </w:rPr>
              <w:t>≥</w:t>
            </w:r>
            <w:r>
              <w:rPr>
                <w:rFonts w:hint="default" w:ascii="Times New Roman" w:hAnsi="Times New Roman" w:eastAsia="宋体" w:cs="Times New Roman"/>
                <w:kern w:val="0"/>
                <w:sz w:val="20"/>
                <w:szCs w:val="20"/>
                <w:lang w:bidi="ar"/>
              </w:rPr>
              <w:t>23条</w:t>
            </w:r>
          </w:p>
        </w:tc>
        <w:tc>
          <w:tcPr>
            <w:tcW w:w="68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23条</w:t>
            </w:r>
          </w:p>
        </w:tc>
        <w:tc>
          <w:tcPr>
            <w:tcW w:w="409"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4</w:t>
            </w:r>
          </w:p>
        </w:tc>
        <w:tc>
          <w:tcPr>
            <w:tcW w:w="398"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4</w:t>
            </w:r>
          </w:p>
        </w:tc>
        <w:tc>
          <w:tcPr>
            <w:tcW w:w="52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577" w:type="pct"/>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sz w:val="20"/>
                <w:szCs w:val="20"/>
              </w:rPr>
            </w:pPr>
          </w:p>
        </w:tc>
        <w:tc>
          <w:tcPr>
            <w:tcW w:w="717" w:type="pct"/>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p>
        </w:tc>
        <w:tc>
          <w:tcPr>
            <w:tcW w:w="1126" w:type="pc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C13保障广场公园清洁数量</w:t>
            </w:r>
          </w:p>
        </w:tc>
        <w:tc>
          <w:tcPr>
            <w:tcW w:w="571"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eastAsia" w:eastAsia="宋体" w:cs="Times New Roman"/>
                <w:kern w:val="0"/>
                <w:sz w:val="20"/>
                <w:szCs w:val="20"/>
                <w:lang w:eastAsia="zh-CN" w:bidi="ar"/>
              </w:rPr>
              <w:t>≥</w:t>
            </w:r>
            <w:r>
              <w:rPr>
                <w:rFonts w:hint="default" w:ascii="Times New Roman" w:hAnsi="Times New Roman" w:eastAsia="宋体" w:cs="Times New Roman"/>
                <w:kern w:val="0"/>
                <w:sz w:val="20"/>
                <w:szCs w:val="20"/>
                <w:lang w:bidi="ar"/>
              </w:rPr>
              <w:t>5个</w:t>
            </w:r>
          </w:p>
        </w:tc>
        <w:tc>
          <w:tcPr>
            <w:tcW w:w="68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6个</w:t>
            </w:r>
          </w:p>
        </w:tc>
        <w:tc>
          <w:tcPr>
            <w:tcW w:w="409"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4</w:t>
            </w:r>
          </w:p>
        </w:tc>
        <w:tc>
          <w:tcPr>
            <w:tcW w:w="398"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4</w:t>
            </w:r>
          </w:p>
        </w:tc>
        <w:tc>
          <w:tcPr>
            <w:tcW w:w="52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577" w:type="pct"/>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sz w:val="20"/>
                <w:szCs w:val="20"/>
              </w:rPr>
            </w:pPr>
          </w:p>
        </w:tc>
        <w:tc>
          <w:tcPr>
            <w:tcW w:w="717" w:type="pct"/>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p>
        </w:tc>
        <w:tc>
          <w:tcPr>
            <w:tcW w:w="1126" w:type="pc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C14日产清运垃圾量</w:t>
            </w:r>
          </w:p>
        </w:tc>
        <w:tc>
          <w:tcPr>
            <w:tcW w:w="571"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eastAsia" w:eastAsia="宋体" w:cs="Times New Roman"/>
                <w:kern w:val="0"/>
                <w:sz w:val="20"/>
                <w:szCs w:val="20"/>
                <w:lang w:eastAsia="zh-CN" w:bidi="ar"/>
              </w:rPr>
              <w:t>≥</w:t>
            </w:r>
            <w:r>
              <w:rPr>
                <w:rFonts w:hint="default" w:ascii="Times New Roman" w:hAnsi="Times New Roman" w:eastAsia="宋体" w:cs="Times New Roman"/>
                <w:kern w:val="0"/>
                <w:sz w:val="20"/>
                <w:szCs w:val="20"/>
                <w:lang w:bidi="ar"/>
              </w:rPr>
              <w:t>23吨</w:t>
            </w:r>
          </w:p>
        </w:tc>
        <w:tc>
          <w:tcPr>
            <w:tcW w:w="68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18.83吨</w:t>
            </w:r>
          </w:p>
        </w:tc>
        <w:tc>
          <w:tcPr>
            <w:tcW w:w="409"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4</w:t>
            </w:r>
          </w:p>
        </w:tc>
        <w:tc>
          <w:tcPr>
            <w:tcW w:w="398"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2.19</w:t>
            </w:r>
          </w:p>
        </w:tc>
        <w:tc>
          <w:tcPr>
            <w:tcW w:w="52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54.75%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577" w:type="pct"/>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sz w:val="20"/>
                <w:szCs w:val="20"/>
              </w:rPr>
            </w:pPr>
          </w:p>
        </w:tc>
        <w:tc>
          <w:tcPr>
            <w:tcW w:w="717" w:type="pct"/>
            <w:vMerge w:val="restar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C2产出质量（</w:t>
            </w:r>
            <w:r>
              <w:rPr>
                <w:rFonts w:hint="default" w:ascii="Times New Roman" w:hAnsi="Times New Roman" w:eastAsia="宋体" w:cs="Times New Roman"/>
                <w:kern w:val="0"/>
                <w:sz w:val="20"/>
                <w:szCs w:val="20"/>
                <w:lang w:val="en-US" w:eastAsia="zh-CN" w:bidi="ar"/>
              </w:rPr>
              <w:t>7</w:t>
            </w:r>
            <w:r>
              <w:rPr>
                <w:rFonts w:hint="default" w:ascii="Times New Roman" w:hAnsi="Times New Roman" w:eastAsia="宋体" w:cs="Times New Roman"/>
                <w:kern w:val="0"/>
                <w:sz w:val="20"/>
                <w:szCs w:val="20"/>
                <w:lang w:bidi="ar"/>
              </w:rPr>
              <w:t>分）</w:t>
            </w:r>
          </w:p>
        </w:tc>
        <w:tc>
          <w:tcPr>
            <w:tcW w:w="1126" w:type="pc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C21月度工作考核合格率</w:t>
            </w:r>
          </w:p>
        </w:tc>
        <w:tc>
          <w:tcPr>
            <w:tcW w:w="571"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c>
          <w:tcPr>
            <w:tcW w:w="68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c>
          <w:tcPr>
            <w:tcW w:w="409"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val="en-US" w:eastAsia="zh-CN" w:bidi="ar"/>
              </w:rPr>
              <w:t>4</w:t>
            </w:r>
          </w:p>
        </w:tc>
        <w:tc>
          <w:tcPr>
            <w:tcW w:w="398"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val="en-US" w:eastAsia="zh-CN" w:bidi="ar"/>
              </w:rPr>
              <w:t>4</w:t>
            </w:r>
          </w:p>
        </w:tc>
        <w:tc>
          <w:tcPr>
            <w:tcW w:w="52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577" w:type="pct"/>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sz w:val="20"/>
                <w:szCs w:val="20"/>
              </w:rPr>
            </w:pPr>
          </w:p>
        </w:tc>
        <w:tc>
          <w:tcPr>
            <w:tcW w:w="717" w:type="pct"/>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kern w:val="0"/>
                <w:sz w:val="20"/>
                <w:szCs w:val="20"/>
                <w:lang w:bidi="ar"/>
              </w:rPr>
            </w:pPr>
          </w:p>
        </w:tc>
        <w:tc>
          <w:tcPr>
            <w:tcW w:w="1126" w:type="pc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C22作业绩效考核完整性</w:t>
            </w:r>
          </w:p>
        </w:tc>
        <w:tc>
          <w:tcPr>
            <w:tcW w:w="571" w:type="pct"/>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bidi="ar"/>
              </w:rPr>
              <w:t>100%</w:t>
            </w:r>
          </w:p>
        </w:tc>
        <w:tc>
          <w:tcPr>
            <w:tcW w:w="680" w:type="pct"/>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bidi="ar"/>
              </w:rPr>
              <w:t>100%</w:t>
            </w:r>
          </w:p>
        </w:tc>
        <w:tc>
          <w:tcPr>
            <w:tcW w:w="409" w:type="pct"/>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w:t>
            </w:r>
          </w:p>
        </w:tc>
        <w:tc>
          <w:tcPr>
            <w:tcW w:w="398" w:type="pct"/>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w:t>
            </w:r>
          </w:p>
        </w:tc>
        <w:tc>
          <w:tcPr>
            <w:tcW w:w="520" w:type="pct"/>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577" w:type="pct"/>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sz w:val="20"/>
                <w:szCs w:val="20"/>
              </w:rPr>
            </w:pPr>
          </w:p>
        </w:tc>
        <w:tc>
          <w:tcPr>
            <w:tcW w:w="717" w:type="pct"/>
            <w:vMerge w:val="restar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C3产出时效（</w:t>
            </w:r>
            <w:r>
              <w:rPr>
                <w:rFonts w:hint="default" w:ascii="Times New Roman" w:hAnsi="Times New Roman" w:eastAsia="宋体" w:cs="Times New Roman"/>
                <w:kern w:val="0"/>
                <w:sz w:val="20"/>
                <w:szCs w:val="20"/>
                <w:lang w:val="en-US" w:eastAsia="zh-CN" w:bidi="ar"/>
              </w:rPr>
              <w:t>7</w:t>
            </w:r>
            <w:r>
              <w:rPr>
                <w:rFonts w:hint="default" w:ascii="Times New Roman" w:hAnsi="Times New Roman" w:eastAsia="宋体" w:cs="Times New Roman"/>
                <w:kern w:val="0"/>
                <w:sz w:val="20"/>
                <w:szCs w:val="20"/>
                <w:lang w:bidi="ar"/>
              </w:rPr>
              <w:t>分）</w:t>
            </w:r>
          </w:p>
        </w:tc>
        <w:tc>
          <w:tcPr>
            <w:tcW w:w="1126" w:type="pc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C31服务时长</w:t>
            </w:r>
          </w:p>
        </w:tc>
        <w:tc>
          <w:tcPr>
            <w:tcW w:w="571"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=12个月</w:t>
            </w:r>
          </w:p>
        </w:tc>
        <w:tc>
          <w:tcPr>
            <w:tcW w:w="68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12个月</w:t>
            </w:r>
          </w:p>
        </w:tc>
        <w:tc>
          <w:tcPr>
            <w:tcW w:w="409"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4</w:t>
            </w:r>
          </w:p>
        </w:tc>
        <w:tc>
          <w:tcPr>
            <w:tcW w:w="398"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4</w:t>
            </w:r>
          </w:p>
        </w:tc>
        <w:tc>
          <w:tcPr>
            <w:tcW w:w="52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577" w:type="pct"/>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sz w:val="20"/>
                <w:szCs w:val="20"/>
              </w:rPr>
            </w:pPr>
          </w:p>
        </w:tc>
        <w:tc>
          <w:tcPr>
            <w:tcW w:w="717" w:type="pct"/>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p>
        </w:tc>
        <w:tc>
          <w:tcPr>
            <w:tcW w:w="1126" w:type="pc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C32绩效考核及时率</w:t>
            </w:r>
          </w:p>
        </w:tc>
        <w:tc>
          <w:tcPr>
            <w:tcW w:w="571"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c>
          <w:tcPr>
            <w:tcW w:w="68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c>
          <w:tcPr>
            <w:tcW w:w="409"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val="en-US" w:eastAsia="zh-CN" w:bidi="ar"/>
              </w:rPr>
              <w:t>3</w:t>
            </w:r>
          </w:p>
        </w:tc>
        <w:tc>
          <w:tcPr>
            <w:tcW w:w="398"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val="en-US" w:eastAsia="zh-CN" w:bidi="ar"/>
              </w:rPr>
              <w:t>3</w:t>
            </w:r>
          </w:p>
        </w:tc>
        <w:tc>
          <w:tcPr>
            <w:tcW w:w="52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577" w:type="pct"/>
            <w:vMerge w:val="continue"/>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sz w:val="20"/>
                <w:szCs w:val="20"/>
              </w:rPr>
            </w:pPr>
          </w:p>
        </w:tc>
        <w:tc>
          <w:tcPr>
            <w:tcW w:w="717" w:type="pc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C4产出成本（5分）</w:t>
            </w:r>
          </w:p>
        </w:tc>
        <w:tc>
          <w:tcPr>
            <w:tcW w:w="1126" w:type="pct"/>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C41月度服务费用</w:t>
            </w:r>
          </w:p>
        </w:tc>
        <w:tc>
          <w:tcPr>
            <w:tcW w:w="571"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=64.89万元/月</w:t>
            </w:r>
          </w:p>
        </w:tc>
        <w:tc>
          <w:tcPr>
            <w:tcW w:w="68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64.89万元/月</w:t>
            </w:r>
          </w:p>
        </w:tc>
        <w:tc>
          <w:tcPr>
            <w:tcW w:w="409"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5</w:t>
            </w:r>
          </w:p>
        </w:tc>
        <w:tc>
          <w:tcPr>
            <w:tcW w:w="398"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kern w:val="0"/>
                <w:sz w:val="20"/>
                <w:szCs w:val="20"/>
                <w:lang w:eastAsia="zh-CN" w:bidi="ar"/>
              </w:rPr>
            </w:pPr>
            <w:r>
              <w:rPr>
                <w:rFonts w:hint="default" w:ascii="Times New Roman" w:hAnsi="Times New Roman" w:eastAsia="宋体" w:cs="Times New Roman"/>
                <w:kern w:val="0"/>
                <w:sz w:val="20"/>
                <w:szCs w:val="20"/>
                <w:lang w:bidi="ar"/>
              </w:rPr>
              <w:t>5</w:t>
            </w:r>
          </w:p>
        </w:tc>
        <w:tc>
          <w:tcPr>
            <w:tcW w:w="52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2421" w:type="pct"/>
            <w:gridSpan w:val="3"/>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sz w:val="20"/>
                <w:szCs w:val="20"/>
              </w:rPr>
            </w:pPr>
            <w:r>
              <w:rPr>
                <w:rFonts w:hint="default" w:ascii="Times New Roman" w:hAnsi="Times New Roman" w:eastAsia="宋体" w:cs="Times New Roman"/>
                <w:b/>
                <w:bCs/>
                <w:kern w:val="0"/>
                <w:sz w:val="20"/>
                <w:szCs w:val="20"/>
                <w:lang w:bidi="ar"/>
              </w:rPr>
              <w:t>合计</w:t>
            </w:r>
          </w:p>
        </w:tc>
        <w:tc>
          <w:tcPr>
            <w:tcW w:w="571"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kern w:val="0"/>
                <w:sz w:val="20"/>
                <w:szCs w:val="20"/>
                <w:lang w:bidi="ar"/>
              </w:rPr>
            </w:pPr>
          </w:p>
        </w:tc>
        <w:tc>
          <w:tcPr>
            <w:tcW w:w="68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kern w:val="0"/>
                <w:sz w:val="20"/>
                <w:szCs w:val="20"/>
                <w:lang w:bidi="ar"/>
              </w:rPr>
            </w:pPr>
          </w:p>
        </w:tc>
        <w:tc>
          <w:tcPr>
            <w:tcW w:w="409"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b/>
                <w:bCs/>
                <w:kern w:val="0"/>
                <w:sz w:val="20"/>
                <w:szCs w:val="20"/>
                <w:lang w:eastAsia="zh-CN" w:bidi="ar"/>
              </w:rPr>
            </w:pPr>
            <w:r>
              <w:rPr>
                <w:rFonts w:hint="default" w:ascii="Times New Roman" w:hAnsi="Times New Roman" w:eastAsia="宋体" w:cs="Times New Roman"/>
                <w:b/>
                <w:bCs/>
                <w:kern w:val="0"/>
                <w:sz w:val="20"/>
                <w:szCs w:val="20"/>
                <w:lang w:bidi="ar"/>
              </w:rPr>
              <w:t>35</w:t>
            </w:r>
          </w:p>
        </w:tc>
        <w:tc>
          <w:tcPr>
            <w:tcW w:w="398"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b/>
                <w:bCs/>
                <w:kern w:val="0"/>
                <w:sz w:val="20"/>
                <w:szCs w:val="20"/>
                <w:lang w:eastAsia="zh-CN" w:bidi="ar"/>
              </w:rPr>
            </w:pPr>
            <w:r>
              <w:rPr>
                <w:rFonts w:hint="default" w:ascii="Times New Roman" w:hAnsi="Times New Roman" w:eastAsia="宋体" w:cs="Times New Roman"/>
                <w:b/>
                <w:bCs/>
                <w:kern w:val="0"/>
                <w:sz w:val="20"/>
                <w:szCs w:val="20"/>
                <w:lang w:bidi="ar"/>
              </w:rPr>
              <w:t>32</w:t>
            </w:r>
            <w:r>
              <w:rPr>
                <w:rFonts w:hint="eastAsia" w:eastAsia="宋体" w:cs="Times New Roman"/>
                <w:b/>
                <w:bCs/>
                <w:kern w:val="0"/>
                <w:sz w:val="20"/>
                <w:szCs w:val="20"/>
                <w:lang w:eastAsia="zh-CN" w:bidi="ar"/>
              </w:rPr>
              <w:t>.8</w:t>
            </w:r>
          </w:p>
        </w:tc>
        <w:tc>
          <w:tcPr>
            <w:tcW w:w="52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kern w:val="0"/>
                <w:sz w:val="20"/>
                <w:szCs w:val="20"/>
                <w:lang w:bidi="ar"/>
              </w:rPr>
            </w:pPr>
            <w:r>
              <w:rPr>
                <w:rFonts w:hint="default" w:ascii="Times New Roman" w:hAnsi="Times New Roman" w:eastAsia="宋体" w:cs="Times New Roman"/>
                <w:b/>
                <w:bCs/>
                <w:kern w:val="0"/>
                <w:sz w:val="20"/>
                <w:szCs w:val="20"/>
                <w:lang w:bidi="ar"/>
              </w:rPr>
              <w:t>93.71%</w:t>
            </w:r>
          </w:p>
        </w:tc>
      </w:tr>
    </w:tbl>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指标得分分析：</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（1）C11参与环卫服务工作人员数量指标</w:t>
      </w:r>
    </w:p>
    <w:p>
      <w:pPr>
        <w:pageBreakBefore w:val="0"/>
        <w:kinsoku/>
        <w:wordWrap/>
        <w:overflowPunct/>
        <w:topLinePunct w:val="0"/>
        <w:autoSpaceDE/>
        <w:autoSpaceDN/>
        <w:bidi w:val="0"/>
        <w:spacing w:line="360" w:lineRule="exact"/>
        <w:ind w:firstLine="420"/>
      </w:pPr>
      <w:r>
        <w:t>经查阅《巴楚县城区环卫市场化购买服务项目合同》，项目计划保障日常参与环卫服务工作人员152名。根据</w:t>
      </w:r>
      <w:r>
        <w:rPr>
          <w:rFonts w:hint="eastAsia"/>
        </w:rPr>
        <w:t>环卫公司</w:t>
      </w:r>
      <w:r>
        <w:t>2023年</w:t>
      </w:r>
      <w:r>
        <w:rPr>
          <w:rFonts w:hint="eastAsia"/>
          <w:lang w:eastAsia="zh-CN"/>
        </w:rPr>
        <w:t>1~12</w:t>
      </w:r>
      <w:r>
        <w:t>月工资表，环卫人员存在变动，平均保障参与日常环卫服务工作人员146名，实际完成率96.05%，根据评分标准，得分=（实际完成率-60%）/（</w:t>
      </w:r>
      <w:r>
        <w:rPr>
          <w:rFonts w:hint="eastAsia"/>
          <w:lang w:eastAsia="zh-CN"/>
        </w:rPr>
        <w:t>1-60%</w:t>
      </w:r>
      <w:r>
        <w:t>）×权重分值=（</w:t>
      </w:r>
      <w:r>
        <w:rPr>
          <w:rFonts w:hint="eastAsia"/>
          <w:lang w:eastAsia="zh-CN"/>
        </w:rPr>
        <w:t>96.05%-60%</w:t>
      </w:r>
      <w:r>
        <w:t>）/（</w:t>
      </w:r>
      <w:r>
        <w:rPr>
          <w:rFonts w:hint="eastAsia"/>
          <w:lang w:eastAsia="zh-CN"/>
        </w:rPr>
        <w:t>1-60%</w:t>
      </w:r>
      <w:r>
        <w:t>）×5=4.51分。</w:t>
      </w:r>
    </w:p>
    <w:p>
      <w:pPr>
        <w:pageBreakBefore w:val="0"/>
        <w:kinsoku/>
        <w:wordWrap/>
        <w:overflowPunct/>
        <w:topLinePunct w:val="0"/>
        <w:autoSpaceDE/>
        <w:autoSpaceDN/>
        <w:bidi w:val="0"/>
        <w:spacing w:line="360" w:lineRule="exact"/>
        <w:ind w:firstLine="420"/>
      </w:pPr>
      <w:r>
        <w:t>该指标满分为</w:t>
      </w:r>
      <w:r>
        <w:rPr>
          <w:rFonts w:hint="eastAsia"/>
        </w:rPr>
        <w:t>4</w:t>
      </w:r>
      <w:r>
        <w:t>分，根据评分标准得</w:t>
      </w:r>
      <w:r>
        <w:rPr>
          <w:rFonts w:hint="eastAsia"/>
        </w:rPr>
        <w:t>3.61</w:t>
      </w:r>
      <w:r>
        <w:t>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（2）C12保障城区道路清洁数量指标</w:t>
      </w:r>
    </w:p>
    <w:p>
      <w:pPr>
        <w:pageBreakBefore w:val="0"/>
        <w:kinsoku/>
        <w:wordWrap/>
        <w:overflowPunct/>
        <w:topLinePunct w:val="0"/>
        <w:autoSpaceDE/>
        <w:autoSpaceDN/>
        <w:bidi w:val="0"/>
        <w:spacing w:line="360" w:lineRule="exact"/>
        <w:ind w:firstLine="420"/>
      </w:pPr>
      <w:r>
        <w:t>经查阅《巴楚县城区环卫市场化购买服务项目合同》以及项目实施</w:t>
      </w:r>
      <w:r>
        <w:rPr>
          <w:rFonts w:hint="eastAsia"/>
        </w:rPr>
        <w:t>月度绩效考核记录和</w:t>
      </w:r>
      <w:r>
        <w:t>相关</w:t>
      </w:r>
      <w:r>
        <w:rPr>
          <w:rFonts w:hint="eastAsia"/>
        </w:rPr>
        <w:t>工作</w:t>
      </w:r>
      <w:r>
        <w:t>总结</w:t>
      </w:r>
      <w:r>
        <w:rPr>
          <w:rFonts w:hint="eastAsia"/>
        </w:rPr>
        <w:t>等资料</w:t>
      </w:r>
      <w:r>
        <w:t>，项目运营单位按照日常工作完成巴楚县23条道路及工业园区道路的清扫保洁及公共设施的维护管理工作，达成预期指标，根据评分标准，得满分。</w:t>
      </w:r>
    </w:p>
    <w:p>
      <w:pPr>
        <w:pageBreakBefore w:val="0"/>
        <w:kinsoku/>
        <w:wordWrap/>
        <w:overflowPunct/>
        <w:topLinePunct w:val="0"/>
        <w:autoSpaceDE/>
        <w:autoSpaceDN/>
        <w:bidi w:val="0"/>
        <w:spacing w:line="360" w:lineRule="exact"/>
        <w:ind w:firstLine="420"/>
      </w:pPr>
      <w:r>
        <w:t>该指标满分为</w:t>
      </w:r>
      <w:r>
        <w:rPr>
          <w:rFonts w:hint="eastAsia"/>
        </w:rPr>
        <w:t>4</w:t>
      </w:r>
      <w:r>
        <w:t>分，根据评分标准得</w:t>
      </w:r>
      <w:r>
        <w:rPr>
          <w:rFonts w:hint="eastAsia"/>
        </w:rPr>
        <w:t>4</w:t>
      </w:r>
      <w:r>
        <w:t>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（3）C13保障广场公园清洁数量指标</w:t>
      </w:r>
    </w:p>
    <w:p>
      <w:pPr>
        <w:pageBreakBefore w:val="0"/>
        <w:kinsoku/>
        <w:wordWrap/>
        <w:overflowPunct/>
        <w:topLinePunct w:val="0"/>
        <w:autoSpaceDE/>
        <w:autoSpaceDN/>
        <w:bidi w:val="0"/>
        <w:spacing w:line="360" w:lineRule="exact"/>
        <w:ind w:firstLine="420"/>
      </w:pPr>
      <w:r>
        <w:t>经查阅《巴楚县城区环卫市场化购买服务项目合同》以及</w:t>
      </w:r>
      <w:r>
        <w:rPr>
          <w:rFonts w:hint="eastAsia"/>
        </w:rPr>
        <w:t>项目实施月度绩效考核记录和相关工作总结等资料</w:t>
      </w:r>
      <w:r>
        <w:t>，项目运营单位按照日常工作完成巴楚县6个公园广场的清扫保洁及公共设施的维护管理工作</w:t>
      </w:r>
      <w:r>
        <w:rPr>
          <w:rFonts w:hint="eastAsia"/>
        </w:rPr>
        <w:t>。其中，2023年巴楚县新增一个公园，纳入环卫公司清扫工作范围。</w:t>
      </w:r>
      <w:r>
        <w:t>根据评分标准，得满分。</w:t>
      </w:r>
    </w:p>
    <w:p>
      <w:pPr>
        <w:pageBreakBefore w:val="0"/>
        <w:kinsoku/>
        <w:wordWrap/>
        <w:overflowPunct/>
        <w:topLinePunct w:val="0"/>
        <w:autoSpaceDE/>
        <w:autoSpaceDN/>
        <w:bidi w:val="0"/>
        <w:spacing w:line="360" w:lineRule="exact"/>
        <w:ind w:firstLine="420"/>
      </w:pPr>
      <w:r>
        <w:t>该指标满分为</w:t>
      </w:r>
      <w:r>
        <w:rPr>
          <w:rFonts w:hint="eastAsia"/>
        </w:rPr>
        <w:t>4</w:t>
      </w:r>
      <w:r>
        <w:t>分，根据评分标准得</w:t>
      </w:r>
      <w:r>
        <w:rPr>
          <w:rFonts w:hint="eastAsia"/>
        </w:rPr>
        <w:t>4</w:t>
      </w:r>
      <w:r>
        <w:t>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（4）C14日产清运垃圾量指标</w:t>
      </w:r>
    </w:p>
    <w:p>
      <w:pPr>
        <w:pageBreakBefore w:val="0"/>
        <w:kinsoku/>
        <w:wordWrap/>
        <w:overflowPunct/>
        <w:topLinePunct w:val="0"/>
        <w:autoSpaceDE/>
        <w:autoSpaceDN/>
        <w:bidi w:val="0"/>
        <w:spacing w:line="360" w:lineRule="exact"/>
        <w:ind w:firstLine="420"/>
      </w:pPr>
      <w:r>
        <w:t>经查阅项目工作计划、《巴楚县城区环卫市场化购买服务项目合同》《2023年瑞祥居生活垃圾填埋汇总表》，项目运营单位2023年平均日产清运垃圾18.83吨，未达到日产清运垃圾23吨，实际完成率81.87%，得分=（实际完成率-60%）/（</w:t>
      </w:r>
      <w:r>
        <w:rPr>
          <w:rFonts w:hint="eastAsia"/>
          <w:lang w:eastAsia="zh-CN"/>
        </w:rPr>
        <w:t>1-60%</w:t>
      </w:r>
      <w:r>
        <w:t>）×权重分值=（</w:t>
      </w:r>
      <w:r>
        <w:rPr>
          <w:rFonts w:hint="eastAsia"/>
          <w:lang w:eastAsia="zh-CN"/>
        </w:rPr>
        <w:t>81.87%-60%</w:t>
      </w:r>
      <w:r>
        <w:t>）/（</w:t>
      </w:r>
      <w:r>
        <w:rPr>
          <w:rFonts w:hint="eastAsia"/>
          <w:lang w:eastAsia="zh-CN"/>
        </w:rPr>
        <w:t>1-60%</w:t>
      </w:r>
      <w:r>
        <w:t>）×5=2.19分。</w:t>
      </w:r>
    </w:p>
    <w:p>
      <w:pPr>
        <w:pageBreakBefore w:val="0"/>
        <w:kinsoku/>
        <w:wordWrap/>
        <w:overflowPunct/>
        <w:topLinePunct w:val="0"/>
        <w:autoSpaceDE/>
        <w:autoSpaceDN/>
        <w:bidi w:val="0"/>
        <w:spacing w:line="360" w:lineRule="exact"/>
        <w:ind w:firstLine="420"/>
      </w:pPr>
      <w:r>
        <w:t>该指标满分为4分，根据评分标准得2.19分。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（5）C21月度工作考核合格率指标</w:t>
      </w:r>
    </w:p>
    <w:p>
      <w:pPr>
        <w:pageBreakBefore w:val="0"/>
        <w:kinsoku/>
        <w:wordWrap/>
        <w:overflowPunct/>
        <w:topLinePunct w:val="0"/>
        <w:autoSpaceDE/>
        <w:autoSpaceDN/>
        <w:bidi w:val="0"/>
        <w:spacing w:line="360" w:lineRule="exact"/>
        <w:ind w:firstLine="420"/>
      </w:pPr>
      <w:r>
        <w:t>根据</w:t>
      </w:r>
      <w:r>
        <w:rPr>
          <w:rFonts w:hint="eastAsia"/>
        </w:rPr>
        <w:t>项目实施单位提供202年度</w:t>
      </w:r>
      <w:r>
        <w:rPr>
          <w:rFonts w:hint="eastAsia"/>
          <w:lang w:eastAsia="zh-CN"/>
        </w:rPr>
        <w:t>1~12</w:t>
      </w:r>
      <w:r>
        <w:rPr>
          <w:rFonts w:hint="eastAsia"/>
        </w:rPr>
        <w:t>月份的</w:t>
      </w:r>
      <w:r>
        <w:t>《城区道路清扫保洁及垃圾清运项目考核表》及考核细则，2023年</w:t>
      </w:r>
      <w:r>
        <w:rPr>
          <w:rFonts w:hint="eastAsia"/>
          <w:lang w:eastAsia="zh-CN"/>
        </w:rPr>
        <w:t>1月~12月</w:t>
      </w:r>
      <w:r>
        <w:t>城区日常工作考核成绩均在90分以上，平均分</w:t>
      </w:r>
      <w:r>
        <w:rPr>
          <w:rFonts w:hint="eastAsia"/>
        </w:rPr>
        <w:t>91.23分</w:t>
      </w:r>
      <w:r>
        <w:t>，考核结果均为优秀。达成预期指标，根据评分标准，得满分。</w:t>
      </w:r>
    </w:p>
    <w:p>
      <w:pPr>
        <w:pageBreakBefore w:val="0"/>
        <w:kinsoku/>
        <w:wordWrap/>
        <w:overflowPunct/>
        <w:topLinePunct w:val="0"/>
        <w:autoSpaceDE/>
        <w:autoSpaceDN/>
        <w:bidi w:val="0"/>
        <w:spacing w:line="360" w:lineRule="exact"/>
        <w:ind w:firstLine="420"/>
        <w:rPr>
          <w:rStyle w:val="23"/>
          <w:rFonts w:ascii="Calibri" w:hAnsi="Calibri" w:eastAsia="仿宋"/>
          <w:kern w:val="0"/>
        </w:rPr>
      </w:pPr>
      <w:r>
        <w:t>该指标满分为</w:t>
      </w:r>
      <w:r>
        <w:rPr>
          <w:rFonts w:hint="eastAsia"/>
          <w:lang w:val="en-US" w:eastAsia="zh-CN"/>
        </w:rPr>
        <w:t>4</w:t>
      </w:r>
      <w:r>
        <w:t>分，根据评分标准得</w:t>
      </w:r>
      <w:r>
        <w:rPr>
          <w:rFonts w:hint="eastAsia"/>
          <w:lang w:val="en-US" w:eastAsia="zh-CN"/>
        </w:rPr>
        <w:t>4</w:t>
      </w:r>
      <w:r>
        <w:t>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（6）C22作业绩效考核完整性</w:t>
      </w:r>
    </w:p>
    <w:p>
      <w:pPr>
        <w:pageBreakBefore w:val="0"/>
        <w:kinsoku/>
        <w:wordWrap/>
        <w:overflowPunct/>
        <w:topLinePunct w:val="0"/>
        <w:autoSpaceDE/>
        <w:autoSpaceDN/>
        <w:bidi w:val="0"/>
        <w:spacing w:line="360" w:lineRule="exact"/>
        <w:ind w:firstLine="420"/>
      </w:pPr>
      <w:r>
        <w:rPr>
          <w:rFonts w:hint="eastAsia"/>
        </w:rPr>
        <w:t>根据服务合同、《城区道路清扫保洁及垃圾清运项目考核表》及考核细则，巴楚县住房和城乡建设局负责人根据合同约定作业内容，结合《巴楚县城区保洁作业标准及考核标准》和《巴楚县环境卫生作业质量标准》，针对作业现场机械及人员落实情况、是否统一着装、道路干净程度、垃圾是否及时收集及清运、垃圾箱清掏及周围卫生是否达标、沿街广告是否及时清理、群众是否投诉等方面进行了全面考核，作业绩效考核完整。达成预期指标，根据评分标准，得满分。</w:t>
      </w:r>
    </w:p>
    <w:p>
      <w:pPr>
        <w:pageBreakBefore w:val="0"/>
        <w:kinsoku/>
        <w:wordWrap/>
        <w:overflowPunct/>
        <w:topLinePunct w:val="0"/>
        <w:autoSpaceDE/>
        <w:autoSpaceDN/>
        <w:bidi w:val="0"/>
        <w:spacing w:line="360" w:lineRule="exact"/>
        <w:ind w:firstLine="420"/>
      </w:pPr>
      <w:r>
        <w:t>该指标满分为</w:t>
      </w:r>
      <w:r>
        <w:rPr>
          <w:rFonts w:hint="eastAsia"/>
          <w:lang w:val="en-US" w:eastAsia="zh-CN"/>
        </w:rPr>
        <w:t>3</w:t>
      </w:r>
      <w:r>
        <w:t>分，根据评分标准得</w:t>
      </w:r>
      <w:r>
        <w:rPr>
          <w:rFonts w:hint="eastAsia"/>
          <w:lang w:val="en-US" w:eastAsia="zh-CN"/>
        </w:rPr>
        <w:t>3</w:t>
      </w:r>
      <w:r>
        <w:t>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（7）C31服务时长指标</w:t>
      </w:r>
    </w:p>
    <w:p>
      <w:pPr>
        <w:pageBreakBefore w:val="0"/>
        <w:kinsoku/>
        <w:wordWrap/>
        <w:overflowPunct/>
        <w:topLinePunct w:val="0"/>
        <w:autoSpaceDE/>
        <w:autoSpaceDN/>
        <w:bidi w:val="0"/>
        <w:spacing w:line="360" w:lineRule="exact"/>
        <w:ind w:firstLine="420"/>
      </w:pPr>
      <w:r>
        <w:t>根据工资表、《城区道路清扫保洁及垃圾清运项目考核表》及相关总结等资料，2023年完成</w:t>
      </w:r>
      <w:r>
        <w:rPr>
          <w:rFonts w:hint="eastAsia"/>
          <w:lang w:eastAsia="zh-CN"/>
        </w:rPr>
        <w:t>1月~12月</w:t>
      </w:r>
      <w:r>
        <w:t>城区道路清扫保洁及垃圾清运等日常工作，服务时长达到12个月，根据评分标准，得满分。</w:t>
      </w:r>
    </w:p>
    <w:p>
      <w:pPr>
        <w:pageBreakBefore w:val="0"/>
        <w:kinsoku/>
        <w:wordWrap/>
        <w:overflowPunct/>
        <w:topLinePunct w:val="0"/>
        <w:autoSpaceDE/>
        <w:autoSpaceDN/>
        <w:bidi w:val="0"/>
        <w:spacing w:line="360" w:lineRule="exact"/>
        <w:ind w:firstLine="420"/>
      </w:pPr>
      <w:r>
        <w:t>该指标满分为4分，根据评分标准得4分。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（8）C32绩效考核及时率指标</w:t>
      </w:r>
    </w:p>
    <w:p>
      <w:pPr>
        <w:pageBreakBefore w:val="0"/>
        <w:kinsoku/>
        <w:wordWrap/>
        <w:overflowPunct/>
        <w:topLinePunct w:val="0"/>
        <w:autoSpaceDE/>
        <w:autoSpaceDN/>
        <w:bidi w:val="0"/>
        <w:spacing w:line="360" w:lineRule="exact"/>
        <w:ind w:firstLine="420"/>
      </w:pPr>
      <w:r>
        <w:t>根据《巴楚县城区环卫市场化购买服务项目合同》《城区道路清扫保洁及垃圾清运项目考核表》，项目实施单位负责人每月底随机抽查作业区域开展作业质量考核，现场审核打分并整改到位，项目实施单位绩效考核及时，达成预期指标，根据评分标准，得满分。</w:t>
      </w:r>
    </w:p>
    <w:p>
      <w:pPr>
        <w:pageBreakBefore w:val="0"/>
        <w:kinsoku/>
        <w:wordWrap/>
        <w:overflowPunct/>
        <w:topLinePunct w:val="0"/>
        <w:autoSpaceDE/>
        <w:autoSpaceDN/>
        <w:bidi w:val="0"/>
        <w:spacing w:line="360" w:lineRule="exact"/>
        <w:ind w:firstLine="420"/>
      </w:pPr>
      <w:r>
        <w:t>该指标满分为</w:t>
      </w:r>
      <w:r>
        <w:rPr>
          <w:rFonts w:hint="eastAsia"/>
          <w:lang w:val="en-US" w:eastAsia="zh-CN"/>
        </w:rPr>
        <w:t>3</w:t>
      </w:r>
      <w:r>
        <w:t>分，根据评分标准得</w:t>
      </w:r>
      <w:r>
        <w:rPr>
          <w:rFonts w:hint="eastAsia"/>
          <w:lang w:val="en-US" w:eastAsia="zh-CN"/>
        </w:rPr>
        <w:t>3</w:t>
      </w:r>
      <w:r>
        <w:t>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（9）C41月度服务费用指标</w:t>
      </w:r>
    </w:p>
    <w:p>
      <w:pPr>
        <w:pageBreakBefore w:val="0"/>
        <w:kinsoku/>
        <w:wordWrap/>
        <w:overflowPunct/>
        <w:topLinePunct w:val="0"/>
        <w:autoSpaceDE/>
        <w:autoSpaceDN/>
        <w:bidi w:val="0"/>
        <w:spacing w:line="360" w:lineRule="exact"/>
        <w:ind w:firstLine="420"/>
      </w:pPr>
      <w:r>
        <w:t>经查阅《巴楚县城区环卫市场化购买服务项目合同》、资金支付材料，项目全年运营费用778.72万元，每月应支付64.89万元，实际每月支付64.89万元，根据评分标准，得满分。</w:t>
      </w:r>
    </w:p>
    <w:p>
      <w:pPr>
        <w:pageBreakBefore w:val="0"/>
        <w:kinsoku/>
        <w:wordWrap/>
        <w:overflowPunct/>
        <w:topLinePunct w:val="0"/>
        <w:autoSpaceDE/>
        <w:autoSpaceDN/>
        <w:bidi w:val="0"/>
        <w:spacing w:line="360" w:lineRule="exact"/>
        <w:ind w:firstLine="420"/>
      </w:pPr>
      <w:r>
        <w:t>该指标满分为4分，根据评分标准得4分。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227" w:name="_Toc11260"/>
      <w:bookmarkStart w:id="228" w:name="_Toc11753"/>
      <w:bookmarkStart w:id="229" w:name="_Toc21243"/>
      <w:bookmarkStart w:id="230" w:name="_Toc2529"/>
      <w:bookmarkStart w:id="231" w:name="_Toc15033"/>
      <w:bookmarkStart w:id="232" w:name="_Toc19080"/>
      <w:bookmarkStart w:id="233" w:name="_Toc27898"/>
      <w:r>
        <w:rPr>
          <w:rFonts w:hint="eastAsia" w:ascii="Times New Roman" w:hAnsi="Times New Roman" w:cs="Times New Roman" w:eastAsiaTheme="minorEastAsia"/>
          <w:b/>
          <w:bCs/>
          <w:kern w:val="2"/>
          <w:sz w:val="24"/>
          <w:szCs w:val="24"/>
          <w:lang w:val="en-US" w:eastAsia="zh-CN" w:bidi="ar-SA"/>
        </w:rPr>
        <w:t>（四）项目效益情况</w:t>
      </w:r>
      <w:bookmarkEnd w:id="227"/>
      <w:bookmarkEnd w:id="228"/>
      <w:bookmarkEnd w:id="229"/>
      <w:bookmarkEnd w:id="230"/>
      <w:bookmarkEnd w:id="231"/>
      <w:bookmarkEnd w:id="232"/>
      <w:bookmarkEnd w:id="233"/>
    </w:p>
    <w:p>
      <w:pPr>
        <w:pageBreakBefore w:val="0"/>
        <w:kinsoku/>
        <w:wordWrap/>
        <w:overflowPunct/>
        <w:topLinePunct w:val="0"/>
        <w:autoSpaceDE/>
        <w:autoSpaceDN/>
        <w:bidi w:val="0"/>
        <w:spacing w:line="360" w:lineRule="exact"/>
        <w:ind w:firstLine="420"/>
      </w:pPr>
      <w:r>
        <w:t>项目效益指标由2个二级和</w:t>
      </w:r>
      <w:r>
        <w:rPr>
          <w:rFonts w:hint="eastAsia"/>
        </w:rPr>
        <w:t>4</w:t>
      </w:r>
      <w:r>
        <w:t>个三级指标构成，权重分</w:t>
      </w:r>
      <w:r>
        <w:rPr>
          <w:rFonts w:hint="eastAsia"/>
        </w:rPr>
        <w:t>30</w:t>
      </w:r>
      <w:r>
        <w:t>分，实际得分</w:t>
      </w:r>
      <w:r>
        <w:rPr>
          <w:rFonts w:hint="eastAsia"/>
        </w:rPr>
        <w:t>30</w:t>
      </w:r>
      <w:r>
        <w:t>分</w:t>
      </w:r>
      <w:r>
        <w:rPr>
          <w:rFonts w:hint="eastAsia"/>
        </w:rPr>
        <w:t>，得分率为100%</w:t>
      </w:r>
      <w:r>
        <w:t>。各指标业绩值和绩效分值如下表所示：</w:t>
      </w:r>
    </w:p>
    <w:p>
      <w:pPr>
        <w:pageBreakBefore w:val="0"/>
        <w:kinsoku/>
        <w:wordWrap/>
        <w:overflowPunct/>
        <w:topLinePunct w:val="0"/>
        <w:autoSpaceDE/>
        <w:autoSpaceDN/>
        <w:bidi w:val="0"/>
        <w:spacing w:line="360" w:lineRule="exact"/>
        <w:ind w:firstLine="0" w:firstLineChars="0"/>
        <w:jc w:val="center"/>
      </w:pPr>
      <w:r>
        <w:rPr>
          <w:b/>
          <w:bCs/>
        </w:rPr>
        <w:t>表4-4：项目效益指标及分值</w:t>
      </w:r>
    </w:p>
    <w:tbl>
      <w:tblPr>
        <w:tblStyle w:val="1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953"/>
        <w:gridCol w:w="1276"/>
        <w:gridCol w:w="1936"/>
        <w:gridCol w:w="970"/>
        <w:gridCol w:w="1100"/>
        <w:gridCol w:w="659"/>
        <w:gridCol w:w="656"/>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blHeader/>
        </w:trPr>
        <w:tc>
          <w:tcPr>
            <w:tcW w:w="567"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一级指标</w:t>
            </w:r>
          </w:p>
        </w:tc>
        <w:tc>
          <w:tcPr>
            <w:tcW w:w="759"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二级指标</w:t>
            </w:r>
          </w:p>
        </w:tc>
        <w:tc>
          <w:tcPr>
            <w:tcW w:w="115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三级指标</w:t>
            </w:r>
          </w:p>
        </w:tc>
        <w:tc>
          <w:tcPr>
            <w:tcW w:w="577"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目标值</w:t>
            </w:r>
          </w:p>
        </w:tc>
        <w:tc>
          <w:tcPr>
            <w:tcW w:w="654"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kern w:val="0"/>
                <w:sz w:val="20"/>
                <w:szCs w:val="20"/>
                <w:lang w:bidi="ar"/>
              </w:rPr>
            </w:pPr>
            <w:r>
              <w:rPr>
                <w:rFonts w:hint="default" w:ascii="Times New Roman" w:hAnsi="Times New Roman" w:eastAsia="宋体" w:cs="Times New Roman"/>
                <w:b/>
                <w:kern w:val="0"/>
                <w:sz w:val="20"/>
                <w:szCs w:val="20"/>
                <w:lang w:bidi="ar"/>
              </w:rPr>
              <w:t>实际完成值</w:t>
            </w:r>
          </w:p>
        </w:tc>
        <w:tc>
          <w:tcPr>
            <w:tcW w:w="392"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权重</w:t>
            </w:r>
          </w:p>
        </w:tc>
        <w:tc>
          <w:tcPr>
            <w:tcW w:w="390"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sz w:val="20"/>
                <w:szCs w:val="20"/>
              </w:rPr>
            </w:pPr>
            <w:r>
              <w:rPr>
                <w:rFonts w:hint="default" w:ascii="Times New Roman" w:hAnsi="Times New Roman" w:eastAsia="宋体" w:cs="Times New Roman"/>
                <w:b/>
                <w:kern w:val="0"/>
                <w:sz w:val="20"/>
                <w:szCs w:val="20"/>
                <w:lang w:bidi="ar"/>
              </w:rPr>
              <w:t>得分</w:t>
            </w:r>
          </w:p>
        </w:tc>
        <w:tc>
          <w:tcPr>
            <w:tcW w:w="508" w:type="pct"/>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kern w:val="0"/>
                <w:sz w:val="20"/>
                <w:szCs w:val="20"/>
                <w:lang w:bidi="ar"/>
              </w:rPr>
            </w:pPr>
            <w:r>
              <w:rPr>
                <w:rFonts w:hint="default" w:ascii="Times New Roman" w:hAnsi="Times New Roman" w:eastAsia="宋体" w:cs="Times New Roman"/>
                <w:b/>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567" w:type="pct"/>
            <w:vMerge w:val="restart"/>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r>
              <w:rPr>
                <w:rFonts w:hint="default" w:ascii="Times New Roman" w:hAnsi="Times New Roman" w:eastAsia="宋体" w:cs="Times New Roman"/>
                <w:sz w:val="20"/>
                <w:szCs w:val="20"/>
              </w:rPr>
              <w:t>D效益（30分）</w:t>
            </w:r>
          </w:p>
        </w:tc>
        <w:tc>
          <w:tcPr>
            <w:tcW w:w="759" w:type="pct"/>
            <w:vMerge w:val="restar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D1社会效益指标（20分）</w:t>
            </w:r>
          </w:p>
        </w:tc>
        <w:tc>
          <w:tcPr>
            <w:tcW w:w="1150" w:type="pct"/>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D11优化城区公共区域卫生环境，提高环卫服务水平</w:t>
            </w:r>
          </w:p>
        </w:tc>
        <w:tc>
          <w:tcPr>
            <w:tcW w:w="577"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有效优化</w:t>
            </w:r>
          </w:p>
        </w:tc>
        <w:tc>
          <w:tcPr>
            <w:tcW w:w="654"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基本达成目标</w:t>
            </w:r>
          </w:p>
        </w:tc>
        <w:tc>
          <w:tcPr>
            <w:tcW w:w="392"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10</w:t>
            </w:r>
          </w:p>
        </w:tc>
        <w:tc>
          <w:tcPr>
            <w:tcW w:w="390"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10</w:t>
            </w:r>
          </w:p>
        </w:tc>
        <w:tc>
          <w:tcPr>
            <w:tcW w:w="508"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567" w:type="pct"/>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p>
        </w:tc>
        <w:tc>
          <w:tcPr>
            <w:tcW w:w="759" w:type="pct"/>
            <w:vMerge w:val="continue"/>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p>
        </w:tc>
        <w:tc>
          <w:tcPr>
            <w:tcW w:w="1150" w:type="pct"/>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D12提高环卫工人生活水平</w:t>
            </w:r>
          </w:p>
        </w:tc>
        <w:tc>
          <w:tcPr>
            <w:tcW w:w="577"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有效提高</w:t>
            </w:r>
          </w:p>
        </w:tc>
        <w:tc>
          <w:tcPr>
            <w:tcW w:w="654"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基本达成目标</w:t>
            </w:r>
          </w:p>
        </w:tc>
        <w:tc>
          <w:tcPr>
            <w:tcW w:w="392"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10</w:t>
            </w:r>
          </w:p>
        </w:tc>
        <w:tc>
          <w:tcPr>
            <w:tcW w:w="390"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10</w:t>
            </w:r>
          </w:p>
        </w:tc>
        <w:tc>
          <w:tcPr>
            <w:tcW w:w="508"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567" w:type="pct"/>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p>
        </w:tc>
        <w:tc>
          <w:tcPr>
            <w:tcW w:w="759" w:type="pct"/>
            <w:vMerge w:val="restar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D2服务对象满意度指标（10分）</w:t>
            </w:r>
          </w:p>
        </w:tc>
        <w:tc>
          <w:tcPr>
            <w:tcW w:w="1150" w:type="pct"/>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D21社会公众满意度</w:t>
            </w:r>
          </w:p>
        </w:tc>
        <w:tc>
          <w:tcPr>
            <w:tcW w:w="577"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eastAsia" w:eastAsia="宋体" w:cs="Times New Roman"/>
                <w:kern w:val="0"/>
                <w:sz w:val="20"/>
                <w:szCs w:val="20"/>
                <w:lang w:eastAsia="zh-CN" w:bidi="ar"/>
              </w:rPr>
              <w:t>≥</w:t>
            </w:r>
            <w:r>
              <w:rPr>
                <w:rFonts w:hint="default" w:ascii="Times New Roman" w:hAnsi="Times New Roman" w:eastAsia="宋体" w:cs="Times New Roman"/>
                <w:kern w:val="0"/>
                <w:sz w:val="20"/>
                <w:szCs w:val="20"/>
                <w:lang w:bidi="ar"/>
              </w:rPr>
              <w:t>90%</w:t>
            </w:r>
          </w:p>
        </w:tc>
        <w:tc>
          <w:tcPr>
            <w:tcW w:w="654"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96.41%</w:t>
            </w:r>
          </w:p>
        </w:tc>
        <w:tc>
          <w:tcPr>
            <w:tcW w:w="392"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5</w:t>
            </w:r>
          </w:p>
        </w:tc>
        <w:tc>
          <w:tcPr>
            <w:tcW w:w="390"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5</w:t>
            </w:r>
          </w:p>
        </w:tc>
        <w:tc>
          <w:tcPr>
            <w:tcW w:w="508"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567" w:type="pct"/>
            <w:vMerge w:val="continue"/>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p>
        </w:tc>
        <w:tc>
          <w:tcPr>
            <w:tcW w:w="759" w:type="pct"/>
            <w:vMerge w:val="continue"/>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p>
        </w:tc>
        <w:tc>
          <w:tcPr>
            <w:tcW w:w="1150" w:type="pct"/>
            <w:vAlign w:val="center"/>
          </w:tcPr>
          <w:p>
            <w:pPr>
              <w:pageBreakBefore w:val="0"/>
              <w:widowControl/>
              <w:kinsoku/>
              <w:wordWrap/>
              <w:overflowPunct/>
              <w:topLinePunct w:val="0"/>
              <w:autoSpaceDE/>
              <w:autoSpaceDN/>
              <w:bidi w:val="0"/>
              <w:spacing w:line="360" w:lineRule="exact"/>
              <w:ind w:firstLine="0" w:firstLineChars="0"/>
              <w:jc w:val="left"/>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D22环卫工人满意度</w:t>
            </w:r>
          </w:p>
        </w:tc>
        <w:tc>
          <w:tcPr>
            <w:tcW w:w="577"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eastAsia" w:eastAsia="宋体" w:cs="Times New Roman"/>
                <w:kern w:val="0"/>
                <w:sz w:val="20"/>
                <w:szCs w:val="20"/>
                <w:lang w:eastAsia="zh-CN" w:bidi="ar"/>
              </w:rPr>
              <w:t>≥</w:t>
            </w:r>
            <w:r>
              <w:rPr>
                <w:rFonts w:hint="default" w:ascii="Times New Roman" w:hAnsi="Times New Roman" w:eastAsia="宋体" w:cs="Times New Roman"/>
                <w:kern w:val="0"/>
                <w:sz w:val="20"/>
                <w:szCs w:val="20"/>
                <w:lang w:bidi="ar"/>
              </w:rPr>
              <w:t>90%</w:t>
            </w:r>
          </w:p>
        </w:tc>
        <w:tc>
          <w:tcPr>
            <w:tcW w:w="654"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91.17%</w:t>
            </w:r>
          </w:p>
        </w:tc>
        <w:tc>
          <w:tcPr>
            <w:tcW w:w="392"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5</w:t>
            </w:r>
          </w:p>
        </w:tc>
        <w:tc>
          <w:tcPr>
            <w:tcW w:w="390"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sz w:val="20"/>
                <w:szCs w:val="20"/>
                <w:lang w:eastAsia="zh-CN"/>
              </w:rPr>
            </w:pPr>
            <w:r>
              <w:rPr>
                <w:rFonts w:hint="default" w:ascii="Times New Roman" w:hAnsi="Times New Roman" w:eastAsia="宋体" w:cs="Times New Roman"/>
                <w:kern w:val="0"/>
                <w:sz w:val="20"/>
                <w:szCs w:val="20"/>
                <w:lang w:bidi="ar"/>
              </w:rPr>
              <w:t>5</w:t>
            </w:r>
          </w:p>
        </w:tc>
        <w:tc>
          <w:tcPr>
            <w:tcW w:w="508"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40" w:hRule="atLeast"/>
        </w:trPr>
        <w:tc>
          <w:tcPr>
            <w:tcW w:w="2477" w:type="pct"/>
            <w:gridSpan w:val="3"/>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sz w:val="20"/>
                <w:szCs w:val="20"/>
              </w:rPr>
            </w:pPr>
            <w:r>
              <w:rPr>
                <w:rFonts w:hint="default" w:ascii="Times New Roman" w:hAnsi="Times New Roman" w:eastAsia="宋体" w:cs="Times New Roman"/>
                <w:b/>
                <w:bCs/>
                <w:sz w:val="20"/>
                <w:szCs w:val="20"/>
              </w:rPr>
              <w:t>合计</w:t>
            </w:r>
          </w:p>
        </w:tc>
        <w:tc>
          <w:tcPr>
            <w:tcW w:w="577"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sz w:val="20"/>
                <w:szCs w:val="20"/>
              </w:rPr>
            </w:pPr>
          </w:p>
        </w:tc>
        <w:tc>
          <w:tcPr>
            <w:tcW w:w="654"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sz w:val="20"/>
                <w:szCs w:val="20"/>
              </w:rPr>
            </w:pPr>
          </w:p>
        </w:tc>
        <w:tc>
          <w:tcPr>
            <w:tcW w:w="392"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b/>
                <w:bCs/>
                <w:sz w:val="20"/>
                <w:szCs w:val="20"/>
                <w:lang w:eastAsia="zh-CN"/>
              </w:rPr>
            </w:pPr>
            <w:r>
              <w:rPr>
                <w:rFonts w:hint="default" w:ascii="Times New Roman" w:hAnsi="Times New Roman" w:eastAsia="宋体" w:cs="Times New Roman"/>
                <w:b/>
                <w:bCs/>
                <w:kern w:val="0"/>
                <w:sz w:val="20"/>
                <w:szCs w:val="20"/>
                <w:lang w:bidi="ar"/>
              </w:rPr>
              <w:t>30</w:t>
            </w:r>
          </w:p>
        </w:tc>
        <w:tc>
          <w:tcPr>
            <w:tcW w:w="390" w:type="pct"/>
            <w:vAlign w:val="center"/>
          </w:tcPr>
          <w:p>
            <w:pPr>
              <w:pageBreakBefore w:val="0"/>
              <w:widowControl/>
              <w:kinsoku/>
              <w:wordWrap/>
              <w:overflowPunct/>
              <w:topLinePunct w:val="0"/>
              <w:autoSpaceDE/>
              <w:autoSpaceDN/>
              <w:bidi w:val="0"/>
              <w:spacing w:line="360" w:lineRule="exact"/>
              <w:ind w:firstLine="0" w:firstLineChars="0"/>
              <w:jc w:val="center"/>
              <w:rPr>
                <w:rFonts w:hint="eastAsia" w:ascii="Times New Roman" w:hAnsi="Times New Roman" w:eastAsia="宋体" w:cs="Times New Roman"/>
                <w:b/>
                <w:bCs/>
                <w:sz w:val="20"/>
                <w:szCs w:val="20"/>
                <w:lang w:eastAsia="zh-CN"/>
              </w:rPr>
            </w:pPr>
            <w:r>
              <w:rPr>
                <w:rFonts w:hint="default" w:ascii="Times New Roman" w:hAnsi="Times New Roman" w:eastAsia="宋体" w:cs="Times New Roman"/>
                <w:b/>
                <w:bCs/>
                <w:kern w:val="0"/>
                <w:sz w:val="20"/>
                <w:szCs w:val="20"/>
                <w:lang w:bidi="ar"/>
              </w:rPr>
              <w:t>30</w:t>
            </w:r>
          </w:p>
        </w:tc>
        <w:tc>
          <w:tcPr>
            <w:tcW w:w="508" w:type="pct"/>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b/>
                <w:bCs/>
                <w:sz w:val="20"/>
                <w:szCs w:val="20"/>
              </w:rPr>
            </w:pPr>
            <w:r>
              <w:rPr>
                <w:rFonts w:hint="default" w:ascii="Times New Roman" w:hAnsi="Times New Roman" w:eastAsia="宋体" w:cs="Times New Roman"/>
                <w:b/>
                <w:bCs/>
                <w:kern w:val="0"/>
                <w:sz w:val="20"/>
                <w:szCs w:val="20"/>
                <w:lang w:bidi="ar"/>
              </w:rPr>
              <w:t>100%</w:t>
            </w:r>
          </w:p>
        </w:tc>
      </w:tr>
    </w:tbl>
    <w:p>
      <w:pPr>
        <w:pageBreakBefore w:val="0"/>
        <w:kinsoku/>
        <w:wordWrap/>
        <w:overflowPunct/>
        <w:topLinePunct w:val="0"/>
        <w:autoSpaceDE/>
        <w:autoSpaceDN/>
        <w:bidi w:val="0"/>
        <w:spacing w:line="360" w:lineRule="exact"/>
        <w:ind w:firstLine="422"/>
        <w:rPr>
          <w:rFonts w:eastAsia="宋体"/>
          <w:b/>
          <w:bCs/>
        </w:rPr>
      </w:pP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指标得分分析：</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（1）D11优化城区公共区域卫生环境，提高环卫服务水平指标</w:t>
      </w:r>
    </w:p>
    <w:p>
      <w:pPr>
        <w:pageBreakBefore w:val="0"/>
        <w:kinsoku/>
        <w:wordWrap/>
        <w:overflowPunct/>
        <w:topLinePunct w:val="0"/>
        <w:autoSpaceDE/>
        <w:autoSpaceDN/>
        <w:bidi w:val="0"/>
        <w:spacing w:line="360" w:lineRule="exact"/>
        <w:ind w:firstLine="420"/>
      </w:pPr>
      <w:r>
        <w:rPr>
          <w:rFonts w:hint="eastAsia"/>
        </w:rPr>
        <w:t>根据《巴楚县住房和城乡建设局2023年度城区环卫市场化项目调研问卷-公众》统计结果，满意度调研问卷对象巴楚县社会公众，共发放</w:t>
      </w:r>
      <w:r>
        <w:rPr>
          <w:rFonts w:hint="eastAsia"/>
          <w:lang w:eastAsia="zh-CN"/>
        </w:rPr>
        <w:t>145份</w:t>
      </w:r>
      <w:r>
        <w:rPr>
          <w:rFonts w:hint="eastAsia"/>
        </w:rPr>
        <w:t>，收回有效问卷145份。根据问题7：“您认为通过2023年度环卫工作的开展，是否达到优化城区公共区域卫生环境，提高环卫服务水平的效果？”统计结果，按照社会公众认可程度计算指标完成率为93.45%，基本达成目标。根据评分标准，指标完成率在</w:t>
      </w:r>
      <w:r>
        <w:rPr>
          <w:rFonts w:hint="eastAsia"/>
          <w:lang w:eastAsia="zh-CN"/>
        </w:rPr>
        <w:t>100%~80%</w:t>
      </w:r>
      <w:r>
        <w:rPr>
          <w:rFonts w:hint="eastAsia"/>
        </w:rPr>
        <w:t>之间，得满分。</w:t>
      </w:r>
    </w:p>
    <w:p>
      <w:pPr>
        <w:pageBreakBefore w:val="0"/>
        <w:kinsoku/>
        <w:wordWrap/>
        <w:overflowPunct/>
        <w:topLinePunct w:val="0"/>
        <w:autoSpaceDE/>
        <w:autoSpaceDN/>
        <w:bidi w:val="0"/>
        <w:spacing w:line="360" w:lineRule="exact"/>
        <w:ind w:firstLine="420"/>
      </w:pPr>
      <w:r>
        <w:t>该指标满分为10分，根据评分标准得10分。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（2）D12提高环卫工人生活水平指标</w:t>
      </w:r>
    </w:p>
    <w:p>
      <w:pPr>
        <w:pageBreakBefore w:val="0"/>
        <w:kinsoku/>
        <w:wordWrap/>
        <w:overflowPunct/>
        <w:topLinePunct w:val="0"/>
        <w:autoSpaceDE/>
        <w:autoSpaceDN/>
        <w:bidi w:val="0"/>
        <w:spacing w:line="360" w:lineRule="exact"/>
        <w:ind w:firstLine="420"/>
      </w:pPr>
      <w:r>
        <w:t>根据《</w:t>
      </w:r>
      <w:r>
        <w:rPr>
          <w:rFonts w:hint="eastAsia"/>
        </w:rPr>
        <w:t>巴楚县住房和城乡建设局</w:t>
      </w:r>
      <w:r>
        <w:t>2023年度城区环卫市场化项目调研问卷-环卫工人》统计结果，满意度调研问卷对象环卫工人，共发放</w:t>
      </w:r>
      <w:r>
        <w:rPr>
          <w:rFonts w:hint="eastAsia"/>
          <w:lang w:eastAsia="zh-CN"/>
        </w:rPr>
        <w:t>151份</w:t>
      </w:r>
      <w:r>
        <w:t>，收回有效问卷151份。根据问题6：“您认为通过2023年环卫工作的开展，是否达到提高环卫工人生活水平的效果？”统计结果，</w:t>
      </w:r>
      <w:r>
        <w:rPr>
          <w:rFonts w:hint="eastAsia"/>
        </w:rPr>
        <w:t>按照环卫工人认可程度计算</w:t>
      </w:r>
      <w:r>
        <w:t>指标完成率为90.66%，基本达成目标，根据评分标准，指标完成率在</w:t>
      </w:r>
      <w:r>
        <w:rPr>
          <w:rFonts w:hint="eastAsia"/>
          <w:lang w:eastAsia="zh-CN"/>
        </w:rPr>
        <w:t>100%~80%</w:t>
      </w:r>
      <w:r>
        <w:t>之间，得满分。</w:t>
      </w:r>
    </w:p>
    <w:p>
      <w:pPr>
        <w:pageBreakBefore w:val="0"/>
        <w:kinsoku/>
        <w:wordWrap/>
        <w:overflowPunct/>
        <w:topLinePunct w:val="0"/>
        <w:autoSpaceDE/>
        <w:autoSpaceDN/>
        <w:bidi w:val="0"/>
        <w:spacing w:line="360" w:lineRule="exact"/>
        <w:ind w:firstLine="420"/>
      </w:pPr>
      <w:r>
        <w:t>该指标满分为10分，根据评分标准得10分。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（3）D21社会公众满意度指标</w:t>
      </w:r>
    </w:p>
    <w:p>
      <w:pPr>
        <w:pageBreakBefore w:val="0"/>
        <w:kinsoku/>
        <w:wordWrap/>
        <w:overflowPunct/>
        <w:topLinePunct w:val="0"/>
        <w:autoSpaceDE/>
        <w:autoSpaceDN/>
        <w:bidi w:val="0"/>
        <w:spacing w:line="360" w:lineRule="exact"/>
        <w:ind w:firstLine="420"/>
      </w:pPr>
      <w:r>
        <w:rPr>
          <w:rFonts w:hint="eastAsia"/>
        </w:rPr>
        <w:t>根据《巴楚县住房和城乡建设局2023年度城区环卫市场化项目调研问卷-公众》统计结果，满意度调研问卷对象为巴楚县社会公众，共发放145份，收回有效问卷145份，问卷共设计8个问题，从巴楚县路面清扫情况、垃圾处理、广告清理、设施摆放等方面进行满意度调研，根据问卷统计结果，取综合满意度为96.41%，根据评分标准，得满分。</w:t>
      </w:r>
    </w:p>
    <w:p>
      <w:pPr>
        <w:pageBreakBefore w:val="0"/>
        <w:kinsoku/>
        <w:wordWrap/>
        <w:overflowPunct/>
        <w:topLinePunct w:val="0"/>
        <w:autoSpaceDE/>
        <w:autoSpaceDN/>
        <w:bidi w:val="0"/>
        <w:spacing w:line="360" w:lineRule="exact"/>
        <w:ind w:firstLine="420"/>
      </w:pPr>
      <w:r>
        <w:t>该指标满分为5分，根据评分标准得5分。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r>
        <w:rPr>
          <w:rFonts w:hint="eastAsia" w:ascii="Times New Roman" w:hAnsi="Times New Roman" w:cs="Times New Roman" w:eastAsiaTheme="minorEastAsia"/>
          <w:b/>
          <w:bCs/>
          <w:kern w:val="2"/>
          <w:sz w:val="24"/>
          <w:szCs w:val="24"/>
          <w:lang w:val="en-US" w:eastAsia="zh-CN" w:bidi="ar-SA"/>
        </w:rPr>
        <w:t>（4）D22环卫工人满意度指标</w:t>
      </w:r>
    </w:p>
    <w:p>
      <w:pPr>
        <w:pageBreakBefore w:val="0"/>
        <w:kinsoku/>
        <w:wordWrap/>
        <w:overflowPunct/>
        <w:topLinePunct w:val="0"/>
        <w:autoSpaceDE/>
        <w:autoSpaceDN/>
        <w:bidi w:val="0"/>
        <w:spacing w:line="360" w:lineRule="exact"/>
        <w:ind w:firstLine="420"/>
      </w:pPr>
      <w:r>
        <w:rPr>
          <w:rFonts w:hint="eastAsia"/>
        </w:rPr>
        <w:t>根据《巴楚县住房和城乡建设局2023年度城区环卫市场化项目调研问卷-环卫工人》统计结果，满意度调研问卷对象环卫工人，共发放</w:t>
      </w:r>
      <w:r>
        <w:rPr>
          <w:rFonts w:hint="eastAsia"/>
          <w:lang w:eastAsia="zh-CN"/>
        </w:rPr>
        <w:t>151份</w:t>
      </w:r>
      <w:r>
        <w:rPr>
          <w:rFonts w:hint="eastAsia"/>
        </w:rPr>
        <w:t>，收回有效问卷151份，问卷共设计7个问题，从岗前培训、用具发放、工资福利、表彰活动等方面进行满意度调研，根据问卷统计结果，取综合满意度为91.17%，根据评分标准，得满分。</w:t>
      </w:r>
    </w:p>
    <w:p>
      <w:pPr>
        <w:pageBreakBefore w:val="0"/>
        <w:kinsoku/>
        <w:wordWrap/>
        <w:overflowPunct/>
        <w:topLinePunct w:val="0"/>
        <w:autoSpaceDE/>
        <w:autoSpaceDN/>
        <w:bidi w:val="0"/>
        <w:spacing w:line="360" w:lineRule="exact"/>
        <w:ind w:firstLine="420"/>
      </w:pPr>
      <w:r>
        <w:t>该指标满分为5分，根据评分标准得5分。</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234" w:name="_Toc18901"/>
      <w:bookmarkStart w:id="235" w:name="_Toc12787"/>
      <w:bookmarkStart w:id="236" w:name="_Toc5082"/>
      <w:bookmarkStart w:id="237" w:name="_Toc16402"/>
      <w:bookmarkStart w:id="238" w:name="_Toc30458"/>
      <w:bookmarkStart w:id="239" w:name="_Toc9479"/>
      <w:bookmarkStart w:id="240" w:name="_Toc9197"/>
      <w:bookmarkStart w:id="241" w:name="_Toc12479"/>
      <w:r>
        <w:rPr>
          <w:rFonts w:hint="eastAsia" w:ascii="Times New Roman" w:hAnsi="Times New Roman" w:cs="Times New Roman" w:eastAsiaTheme="minorEastAsia"/>
          <w:b/>
          <w:bCs/>
          <w:kern w:val="2"/>
          <w:sz w:val="24"/>
          <w:szCs w:val="24"/>
          <w:lang w:val="en-US" w:eastAsia="zh-CN" w:bidi="ar-SA"/>
        </w:rPr>
        <w:t>六、主要经验及做法、存在的问题及原因分析</w:t>
      </w:r>
      <w:bookmarkEnd w:id="234"/>
      <w:bookmarkEnd w:id="235"/>
      <w:bookmarkEnd w:id="236"/>
      <w:bookmarkEnd w:id="237"/>
      <w:bookmarkEnd w:id="238"/>
      <w:bookmarkEnd w:id="239"/>
      <w:bookmarkEnd w:id="240"/>
      <w:bookmarkEnd w:id="241"/>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242" w:name="_Toc32489"/>
      <w:bookmarkStart w:id="243" w:name="_Toc14662"/>
      <w:bookmarkStart w:id="244" w:name="_Toc30489"/>
      <w:bookmarkStart w:id="245" w:name="_Toc11167"/>
      <w:bookmarkStart w:id="246" w:name="_Toc15518"/>
      <w:bookmarkStart w:id="247" w:name="_Toc16974"/>
      <w:bookmarkStart w:id="248" w:name="_Toc27283"/>
      <w:bookmarkStart w:id="249" w:name="_Toc19114"/>
      <w:bookmarkStart w:id="250" w:name="_Toc12546"/>
      <w:bookmarkStart w:id="251" w:name="_Toc17498"/>
      <w:r>
        <w:rPr>
          <w:rFonts w:hint="eastAsia" w:ascii="Times New Roman" w:hAnsi="Times New Roman" w:cs="Times New Roman" w:eastAsiaTheme="minorEastAsia"/>
          <w:b/>
          <w:bCs/>
          <w:kern w:val="2"/>
          <w:sz w:val="24"/>
          <w:szCs w:val="24"/>
          <w:lang w:val="en-US" w:eastAsia="zh-CN" w:bidi="ar-SA"/>
        </w:rPr>
        <w:t>（一）主要经验及做法</w:t>
      </w:r>
      <w:bookmarkEnd w:id="242"/>
      <w:bookmarkEnd w:id="243"/>
      <w:bookmarkEnd w:id="244"/>
      <w:bookmarkEnd w:id="245"/>
      <w:bookmarkEnd w:id="246"/>
      <w:bookmarkEnd w:id="247"/>
      <w:bookmarkEnd w:id="248"/>
      <w:bookmarkEnd w:id="249"/>
      <w:bookmarkEnd w:id="250"/>
      <w:bookmarkEnd w:id="251"/>
    </w:p>
    <w:p>
      <w:pPr>
        <w:pageBreakBefore w:val="0"/>
        <w:kinsoku/>
        <w:wordWrap/>
        <w:overflowPunct/>
        <w:topLinePunct w:val="0"/>
        <w:autoSpaceDE/>
        <w:autoSpaceDN/>
        <w:bidi w:val="0"/>
        <w:spacing w:line="360" w:lineRule="exact"/>
        <w:ind w:firstLine="420"/>
      </w:pPr>
      <w:r>
        <w:t>项目实施单位管理制度健全</w:t>
      </w:r>
      <w:r>
        <w:rPr>
          <w:rFonts w:hint="eastAsia"/>
        </w:rPr>
        <w:t>，</w:t>
      </w:r>
      <w:r>
        <w:t>编制项目实施方案及计划</w:t>
      </w:r>
      <w:r>
        <w:rPr>
          <w:rFonts w:hint="eastAsia"/>
          <w:lang w:eastAsia="zh-CN"/>
        </w:rPr>
        <w:t>，</w:t>
      </w:r>
      <w:r>
        <w:rPr>
          <w:rFonts w:hint="eastAsia"/>
          <w:kern w:val="2"/>
          <w:lang w:val="en-US" w:eastAsia="zh-CN"/>
        </w:rPr>
        <w:t>成立项目</w:t>
      </w:r>
      <w:r>
        <w:rPr>
          <w:rFonts w:hint="default"/>
          <w:lang w:val="en-US" w:eastAsia="zh-CN"/>
        </w:rPr>
        <w:t>领导小组</w:t>
      </w:r>
      <w:r>
        <w:rPr>
          <w:rFonts w:hint="eastAsia"/>
        </w:rPr>
        <w:t>，为项目</w:t>
      </w:r>
      <w:r>
        <w:rPr>
          <w:rFonts w:hint="eastAsia"/>
          <w:lang w:val="en-US" w:eastAsia="zh-CN"/>
        </w:rPr>
        <w:t>实施</w:t>
      </w:r>
      <w:r>
        <w:rPr>
          <w:rFonts w:hint="eastAsia"/>
        </w:rPr>
        <w:t>提供制度和组织保障</w:t>
      </w:r>
      <w:r>
        <w:t>。</w:t>
      </w:r>
      <w:r>
        <w:rPr>
          <w:rFonts w:hint="default" w:ascii="Times New Roman" w:hAnsi="Times New Roman" w:eastAsiaTheme="minorEastAsia"/>
          <w:kern w:val="2"/>
          <w:lang w:val="en-US" w:eastAsia="zh-CN"/>
        </w:rPr>
        <w:t>项目</w:t>
      </w:r>
      <w:r>
        <w:rPr>
          <w:rFonts w:hint="default"/>
          <w:lang w:val="en-US" w:eastAsia="zh-CN"/>
        </w:rPr>
        <w:t>领导小组对项目实施进行全过程</w:t>
      </w:r>
      <w:r>
        <w:rPr>
          <w:rFonts w:hint="eastAsia"/>
        </w:rPr>
        <w:t>监督</w:t>
      </w:r>
      <w:r>
        <w:rPr>
          <w:rFonts w:hint="default"/>
          <w:lang w:val="en-US" w:eastAsia="zh-CN"/>
        </w:rPr>
        <w:t>监管、绩效考核，依据</w:t>
      </w:r>
      <w:r>
        <w:rPr>
          <w:rFonts w:hint="eastAsia"/>
        </w:rPr>
        <w:t>《巴楚县城区保洁作业标准及考核标准》和《巴楚县环境卫生作业质量标准》</w:t>
      </w:r>
      <w:r>
        <w:rPr>
          <w:rFonts w:hint="default"/>
          <w:lang w:val="en-US" w:eastAsia="zh-CN"/>
        </w:rPr>
        <w:t>，针对作业现场机械及人员落实情况、</w:t>
      </w:r>
      <w:r>
        <w:rPr>
          <w:rFonts w:hint="eastAsia"/>
          <w:lang w:val="en-US" w:eastAsia="zh-CN"/>
        </w:rPr>
        <w:t>统一着装、道路清扫、垃圾收集及清运等方面进行全面考核，有效指导项目实施，提升环卫作业质量。</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252" w:name="_Toc370"/>
      <w:bookmarkStart w:id="253" w:name="_Toc3003"/>
      <w:bookmarkStart w:id="254" w:name="_Toc1783"/>
      <w:bookmarkStart w:id="255" w:name="_Toc4015"/>
      <w:bookmarkStart w:id="256" w:name="_Toc13318"/>
      <w:bookmarkStart w:id="257" w:name="_Toc13155"/>
      <w:bookmarkStart w:id="258" w:name="_Toc1900"/>
      <w:r>
        <w:rPr>
          <w:rFonts w:hint="eastAsia" w:ascii="Times New Roman" w:hAnsi="Times New Roman" w:cs="Times New Roman" w:eastAsiaTheme="minorEastAsia"/>
          <w:b/>
          <w:bCs/>
          <w:kern w:val="2"/>
          <w:sz w:val="24"/>
          <w:szCs w:val="24"/>
          <w:lang w:val="en-US" w:eastAsia="zh-CN" w:bidi="ar-SA"/>
        </w:rPr>
        <w:t>（二）存在的问题</w:t>
      </w:r>
      <w:bookmarkEnd w:id="252"/>
      <w:bookmarkEnd w:id="253"/>
      <w:bookmarkEnd w:id="254"/>
      <w:bookmarkEnd w:id="255"/>
      <w:bookmarkEnd w:id="256"/>
      <w:bookmarkEnd w:id="257"/>
      <w:bookmarkEnd w:id="258"/>
    </w:p>
    <w:p>
      <w:pPr>
        <w:pageBreakBefore w:val="0"/>
        <w:kinsoku/>
        <w:wordWrap/>
        <w:overflowPunct/>
        <w:topLinePunct w:val="0"/>
        <w:autoSpaceDE/>
        <w:autoSpaceDN/>
        <w:bidi w:val="0"/>
        <w:spacing w:line="360" w:lineRule="exact"/>
        <w:ind w:firstLine="420"/>
      </w:pPr>
      <w:r>
        <w:rPr>
          <w:rFonts w:hint="eastAsia"/>
        </w:rPr>
        <w:t>经评价分析，项目实施过程存在问题如下：</w:t>
      </w:r>
    </w:p>
    <w:p>
      <w:pPr>
        <w:pageBreakBefore w:val="0"/>
        <w:kinsoku/>
        <w:wordWrap/>
        <w:overflowPunct/>
        <w:topLinePunct w:val="0"/>
        <w:autoSpaceDE/>
        <w:autoSpaceDN/>
        <w:bidi w:val="0"/>
        <w:spacing w:line="360" w:lineRule="exact"/>
        <w:ind w:firstLine="420"/>
      </w:pPr>
      <w:r>
        <w:rPr>
          <w:rFonts w:hint="eastAsia"/>
        </w:rPr>
        <w:t>①未严格履行合同绩效考核约定，监督职责履行不到位。根据</w:t>
      </w:r>
      <w:r>
        <w:t>《巴楚县城区环卫市场化购买服务项目合同》</w:t>
      </w:r>
      <w:r>
        <w:rPr>
          <w:rFonts w:hint="eastAsia"/>
        </w:rPr>
        <w:t>《巴楚县住房和城乡建设局2023年度城区环卫市场化项目工作计划》等资料，项目实施单位应当联合卫生和健康委员会、市场监督管理局对乙方每月度实施考核，作为核拨经费的依据；经核查，项目月度考核工作均由项目实施单位组织人员完成，未开展联合考评工作，未严格履行合同约定考核机制，监督职责履行不到位</w:t>
      </w:r>
      <w:r>
        <w:t>。</w:t>
      </w:r>
    </w:p>
    <w:p>
      <w:pPr>
        <w:pageBreakBefore w:val="0"/>
        <w:kinsoku/>
        <w:wordWrap/>
        <w:overflowPunct/>
        <w:topLinePunct w:val="0"/>
        <w:autoSpaceDE/>
        <w:autoSpaceDN/>
        <w:bidi w:val="0"/>
        <w:spacing w:line="360" w:lineRule="exact"/>
        <w:ind w:firstLine="420"/>
      </w:pPr>
      <w:r>
        <w:rPr>
          <w:rFonts w:hint="eastAsia"/>
        </w:rPr>
        <w:t>②未严格履行合同支付条款，按月拨付合同服务费用。根据</w:t>
      </w:r>
      <w:r>
        <w:t>《巴楚县城区环卫市场化购买服务项目合同》</w:t>
      </w:r>
      <w:r>
        <w:rPr>
          <w:rFonts w:hint="eastAsia"/>
        </w:rPr>
        <w:t>及费用支付材料，项目实施单位实际为两月一次向环卫公司支付服务费用，未按合同约定按月拨付服务费用。</w:t>
      </w:r>
    </w:p>
    <w:p>
      <w:pPr>
        <w:pageBreakBefore w:val="0"/>
        <w:kinsoku/>
        <w:wordWrap/>
        <w:overflowPunct/>
        <w:topLinePunct w:val="0"/>
        <w:autoSpaceDE/>
        <w:autoSpaceDN/>
        <w:bidi w:val="0"/>
        <w:spacing w:line="360" w:lineRule="exact"/>
        <w:ind w:firstLine="420"/>
      </w:pPr>
      <w:r>
        <w:rPr>
          <w:rFonts w:hint="eastAsia"/>
        </w:rPr>
        <w:t>③服务范围发生变化，未签订补充协议。经实际调研了解，2023年巴楚县新增一座公园纳入环卫公司日常保洁及垃圾清运管理，经双方协商，2023年增加的公园清扫工作量不进行费用追加。关于新增公园环卫工作量增加部分，且环卫公司人员减少情况下，未见项目实施单位对环卫公司运营成本进行必要成本分析，对新增作业区域环卫工作保障程度缺少必要的评估，且未对新增作业区域的相关事项签订补充协议。</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259" w:name="_Toc24427"/>
      <w:bookmarkStart w:id="260" w:name="_Toc15177"/>
      <w:bookmarkStart w:id="261" w:name="_Toc13947"/>
      <w:bookmarkStart w:id="262" w:name="_Toc17757"/>
      <w:bookmarkStart w:id="263" w:name="_Toc8112"/>
      <w:bookmarkStart w:id="264" w:name="_Toc22441"/>
      <w:bookmarkStart w:id="265" w:name="_Toc28365"/>
      <w:bookmarkStart w:id="266" w:name="_Toc8157"/>
      <w:bookmarkStart w:id="267" w:name="_Toc17282"/>
      <w:bookmarkStart w:id="268" w:name="_Toc18683"/>
      <w:r>
        <w:rPr>
          <w:rFonts w:hint="eastAsia" w:ascii="Times New Roman" w:hAnsi="Times New Roman" w:cs="Times New Roman" w:eastAsiaTheme="minorEastAsia"/>
          <w:b/>
          <w:bCs/>
          <w:kern w:val="2"/>
          <w:sz w:val="24"/>
          <w:szCs w:val="24"/>
          <w:lang w:val="en-US" w:eastAsia="zh-CN" w:bidi="ar-SA"/>
        </w:rPr>
        <w:t>七、有关建议</w:t>
      </w:r>
      <w:bookmarkEnd w:id="259"/>
      <w:bookmarkEnd w:id="260"/>
      <w:bookmarkEnd w:id="261"/>
      <w:bookmarkEnd w:id="262"/>
      <w:bookmarkEnd w:id="263"/>
      <w:bookmarkEnd w:id="264"/>
      <w:bookmarkEnd w:id="265"/>
      <w:bookmarkEnd w:id="266"/>
      <w:bookmarkEnd w:id="267"/>
      <w:bookmarkEnd w:id="268"/>
    </w:p>
    <w:p>
      <w:pPr>
        <w:pageBreakBefore w:val="0"/>
        <w:kinsoku/>
        <w:wordWrap/>
        <w:overflowPunct/>
        <w:topLinePunct w:val="0"/>
        <w:autoSpaceDE/>
        <w:autoSpaceDN/>
        <w:bidi w:val="0"/>
        <w:spacing w:line="360" w:lineRule="exact"/>
        <w:ind w:firstLine="420"/>
      </w:pPr>
      <w:r>
        <w:rPr>
          <w:rFonts w:hint="eastAsia"/>
        </w:rPr>
        <w:t>建议项目实施单位：</w:t>
      </w:r>
    </w:p>
    <w:p>
      <w:pPr>
        <w:pageBreakBefore w:val="0"/>
        <w:kinsoku/>
        <w:wordWrap/>
        <w:overflowPunct/>
        <w:topLinePunct w:val="0"/>
        <w:autoSpaceDE/>
        <w:autoSpaceDN/>
        <w:bidi w:val="0"/>
        <w:spacing w:line="360" w:lineRule="exact"/>
        <w:ind w:firstLine="420"/>
      </w:pPr>
      <w:r>
        <w:rPr>
          <w:rFonts w:hint="eastAsia"/>
        </w:rPr>
        <w:t>加强合同履约管理。项目实施单位要加强绩效考核责任，强化监督检查，严格按照合同约定执行付款程序及频次，对于付款时间、考核时限等和实际不一致的约定应当进行研究协商，签订相关补充协议，确保实际执行和合同约定一致，降低违约风险。</w:t>
      </w:r>
    </w:p>
    <w:p>
      <w:pPr>
        <w:pageBreakBefore w:val="0"/>
        <w:kinsoku/>
        <w:wordWrap/>
        <w:overflowPunct/>
        <w:topLinePunct w:val="0"/>
        <w:autoSpaceDE/>
        <w:autoSpaceDN/>
        <w:bidi w:val="0"/>
        <w:spacing w:line="360" w:lineRule="exact"/>
        <w:ind w:firstLine="420"/>
      </w:pPr>
      <w:r>
        <w:rPr>
          <w:rFonts w:hint="eastAsia"/>
        </w:rPr>
        <w:t>加强合同合规性管理。根据项目区域目前保洁工作量增加、日产清运垃圾量不及预期、环卫公司人员减少等现状，积极组织开展合同履约内容的评估评价，对环卫公司运营成本进行必要成本分析，对新增作业区域环卫工作保障程度开展必要的评估，对合同服务的范围及服务费用形成科学合理、依据充分的调整意见或结论，经报行业主管部门、财政部门审议确认，签署补充协议，按程序完成合同调整并留存过程资料。</w:t>
      </w:r>
    </w:p>
    <w:p>
      <w:pPr>
        <w:pageBreakBefore w:val="0"/>
        <w:kinsoku/>
        <w:wordWrap/>
        <w:overflowPunct/>
        <w:topLinePunct w:val="0"/>
        <w:autoSpaceDE/>
        <w:autoSpaceDN/>
        <w:bidi w:val="0"/>
        <w:spacing w:line="360" w:lineRule="exact"/>
        <w:ind w:firstLine="420"/>
      </w:pPr>
      <w:r>
        <w:rPr>
          <w:rFonts w:hint="eastAsia"/>
        </w:rPr>
        <w:t>建立和完善合同管理制度，加强合同台账管理、变更管理、履约检查环节以及合同履行中的信息汇报反馈等，强化合同履约过程控制，通过定期检查和抽查的方式，监督合同的履行情况，确保各方按合同约定进度全面履行，保障项目良性运行。</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269" w:name="_Toc22228"/>
      <w:bookmarkStart w:id="270" w:name="_Toc27097"/>
      <w:bookmarkStart w:id="271" w:name="_Toc3456"/>
      <w:bookmarkStart w:id="272" w:name="_Toc11127"/>
      <w:bookmarkStart w:id="273" w:name="_Toc29122"/>
      <w:bookmarkStart w:id="274" w:name="_Toc32445"/>
      <w:bookmarkStart w:id="275" w:name="_Toc19364"/>
      <w:bookmarkStart w:id="276" w:name="_Toc978"/>
      <w:r>
        <w:rPr>
          <w:rFonts w:hint="eastAsia" w:ascii="Times New Roman" w:hAnsi="Times New Roman" w:cs="Times New Roman" w:eastAsiaTheme="minorEastAsia"/>
          <w:b/>
          <w:bCs/>
          <w:kern w:val="2"/>
          <w:sz w:val="24"/>
          <w:szCs w:val="24"/>
          <w:lang w:val="en-US" w:eastAsia="zh-CN" w:bidi="ar-SA"/>
        </w:rPr>
        <w:t>八、其他需要说明的问题</w:t>
      </w:r>
      <w:bookmarkEnd w:id="269"/>
      <w:bookmarkEnd w:id="270"/>
      <w:bookmarkEnd w:id="271"/>
      <w:bookmarkEnd w:id="272"/>
      <w:bookmarkEnd w:id="273"/>
      <w:bookmarkEnd w:id="274"/>
      <w:bookmarkEnd w:id="275"/>
      <w:bookmarkEnd w:id="276"/>
    </w:p>
    <w:p>
      <w:pPr>
        <w:pageBreakBefore w:val="0"/>
        <w:kinsoku/>
        <w:wordWrap/>
        <w:overflowPunct/>
        <w:topLinePunct w:val="0"/>
        <w:autoSpaceDE/>
        <w:autoSpaceDN/>
        <w:bidi w:val="0"/>
        <w:spacing w:line="360" w:lineRule="exact"/>
        <w:ind w:firstLine="420"/>
        <w:rPr>
          <w:rFonts w:hint="eastAsia"/>
        </w:rPr>
      </w:pPr>
      <w:r>
        <w:t>该项目的绩效评价结论可靠性基于相关部门和项目单位提供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r>
        <w:rPr>
          <w:rFonts w:hint="eastAsia"/>
        </w:rPr>
        <w:t>。</w:t>
      </w:r>
    </w:p>
    <w:p>
      <w:pPr>
        <w:pStyle w:val="6"/>
        <w:pageBreakBefore w:val="0"/>
        <w:kinsoku/>
        <w:wordWrap/>
        <w:overflowPunct/>
        <w:topLinePunct w:val="0"/>
        <w:autoSpaceDE/>
        <w:autoSpaceDN/>
        <w:bidi w:val="0"/>
        <w:spacing w:line="360" w:lineRule="exact"/>
        <w:ind w:firstLine="422"/>
        <w:rPr>
          <w:rFonts w:hint="default" w:ascii="Times New Roman" w:hAnsi="Times New Roman" w:cs="Times New Roman" w:eastAsiaTheme="minorEastAsia"/>
          <w:b/>
          <w:bCs/>
          <w:kern w:val="2"/>
          <w:sz w:val="24"/>
          <w:szCs w:val="24"/>
          <w:lang w:val="en-US" w:eastAsia="zh-CN" w:bidi="ar-SA"/>
        </w:rPr>
      </w:pPr>
      <w:bookmarkStart w:id="277" w:name="_Toc30592"/>
      <w:bookmarkStart w:id="278" w:name="_Toc13169"/>
      <w:bookmarkStart w:id="279" w:name="_Toc21982"/>
      <w:bookmarkStart w:id="280" w:name="_Toc23117"/>
      <w:bookmarkStart w:id="281" w:name="_Toc24542"/>
      <w:r>
        <w:rPr>
          <w:rFonts w:hint="eastAsia" w:ascii="Times New Roman" w:hAnsi="Times New Roman" w:cs="Times New Roman" w:eastAsiaTheme="minorEastAsia"/>
          <w:b/>
          <w:bCs/>
          <w:kern w:val="2"/>
          <w:sz w:val="24"/>
          <w:szCs w:val="24"/>
          <w:lang w:val="en-US" w:eastAsia="zh-CN" w:bidi="ar-SA"/>
        </w:rPr>
        <w:t>九、绩效评价结果应用建议</w:t>
      </w:r>
      <w:bookmarkEnd w:id="277"/>
      <w:bookmarkEnd w:id="278"/>
      <w:bookmarkEnd w:id="279"/>
      <w:bookmarkEnd w:id="280"/>
      <w:bookmarkEnd w:id="281"/>
    </w:p>
    <w:p>
      <w:pPr>
        <w:pStyle w:val="6"/>
        <w:pageBreakBefore w:val="0"/>
        <w:kinsoku/>
        <w:wordWrap/>
        <w:overflowPunct/>
        <w:topLinePunct w:val="0"/>
        <w:autoSpaceDE/>
        <w:autoSpaceDN/>
        <w:bidi w:val="0"/>
        <w:spacing w:line="360" w:lineRule="exact"/>
        <w:ind w:firstLine="422"/>
        <w:rPr>
          <w:rFonts w:hint="default" w:ascii="Times New Roman" w:hAnsi="Times New Roman" w:cs="Times New Roman" w:eastAsiaTheme="minorEastAsia"/>
          <w:b/>
          <w:bCs/>
          <w:kern w:val="2"/>
          <w:sz w:val="24"/>
          <w:szCs w:val="24"/>
          <w:lang w:val="en-US" w:eastAsia="zh-CN" w:bidi="ar-SA"/>
        </w:rPr>
      </w:pPr>
      <w:bookmarkStart w:id="282" w:name="_Toc18100"/>
      <w:bookmarkStart w:id="283" w:name="_Toc601"/>
      <w:bookmarkStart w:id="284" w:name="_Toc28317"/>
      <w:bookmarkStart w:id="285" w:name="_Toc19367"/>
      <w:bookmarkStart w:id="286" w:name="_Toc5743"/>
      <w:bookmarkStart w:id="287" w:name="_Toc13336"/>
      <w:bookmarkStart w:id="288" w:name="_Toc3415"/>
      <w:bookmarkStart w:id="289" w:name="_Toc330"/>
      <w:bookmarkStart w:id="290" w:name="_Toc11775"/>
      <w:r>
        <w:rPr>
          <w:rFonts w:hint="eastAsia" w:ascii="Times New Roman" w:hAnsi="Times New Roman" w:cs="Times New Roman" w:eastAsiaTheme="minorEastAsia"/>
          <w:b/>
          <w:bCs/>
          <w:kern w:val="2"/>
          <w:sz w:val="24"/>
          <w:szCs w:val="24"/>
          <w:lang w:val="en-US" w:eastAsia="zh-CN" w:bidi="ar-SA"/>
        </w:rPr>
        <w:t>（一）绩效结果挂钩次年预算资金安排</w:t>
      </w:r>
      <w:bookmarkEnd w:id="282"/>
      <w:bookmarkEnd w:id="283"/>
      <w:bookmarkEnd w:id="284"/>
      <w:bookmarkEnd w:id="285"/>
      <w:bookmarkEnd w:id="286"/>
      <w:bookmarkEnd w:id="287"/>
      <w:bookmarkEnd w:id="288"/>
    </w:p>
    <w:p>
      <w:pPr>
        <w:pageBreakBefore w:val="0"/>
        <w:kinsoku/>
        <w:wordWrap/>
        <w:overflowPunct/>
        <w:topLinePunct w:val="0"/>
        <w:autoSpaceDE/>
        <w:autoSpaceDN/>
        <w:bidi w:val="0"/>
        <w:adjustRightInd w:val="0"/>
        <w:snapToGrid w:val="0"/>
        <w:spacing w:beforeLines="0" w:afterLines="0" w:line="360" w:lineRule="exact"/>
        <w:ind w:firstLine="420"/>
        <w:rPr>
          <w:rFonts w:hint="default" w:ascii="Times New Roman" w:hAnsi="Times New Roman"/>
          <w:sz w:val="21"/>
          <w:szCs w:val="24"/>
        </w:rPr>
      </w:pPr>
      <w:r>
        <w:rPr>
          <w:rFonts w:hint="eastAsia" w:ascii="Times New Roman" w:hAnsi="Times New Roman"/>
          <w:sz w:val="21"/>
          <w:szCs w:val="24"/>
        </w:rPr>
        <w:t>为有效提高财政预算资金的经济性、效率性、效益性和公平性，建议将本次绩效评价结果作为预算单位次年预算编制的重要依据，并优化支出结构、完善相关办法、改进预算管理。对绩效评价结果为“优”和“良”的项目，建议根据政策制度，结合</w:t>
      </w:r>
      <w:r>
        <w:rPr>
          <w:rFonts w:hint="eastAsia"/>
          <w:sz w:val="21"/>
          <w:szCs w:val="24"/>
          <w:lang w:val="en-US" w:eastAsia="zh-CN"/>
        </w:rPr>
        <w:t>巴楚县</w:t>
      </w:r>
      <w:r>
        <w:rPr>
          <w:rFonts w:hint="eastAsia" w:ascii="Times New Roman" w:hAnsi="Times New Roman"/>
          <w:sz w:val="21"/>
          <w:szCs w:val="24"/>
        </w:rPr>
        <w:t>委、</w:t>
      </w:r>
      <w:r>
        <w:rPr>
          <w:rFonts w:hint="eastAsia"/>
          <w:sz w:val="21"/>
          <w:szCs w:val="24"/>
          <w:lang w:val="en-US" w:eastAsia="zh-CN"/>
        </w:rPr>
        <w:t>巴楚县</w:t>
      </w:r>
      <w:r>
        <w:rPr>
          <w:rFonts w:hint="eastAsia" w:ascii="Times New Roman" w:hAnsi="Times New Roman"/>
          <w:sz w:val="21"/>
          <w:szCs w:val="24"/>
        </w:rPr>
        <w:t>人民政府工作安排以及本级财力情况等因素，原则上优先予以保障。</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291" w:name="_Toc16790"/>
      <w:bookmarkStart w:id="292" w:name="_Toc26104"/>
      <w:bookmarkStart w:id="293" w:name="_Toc26610"/>
      <w:bookmarkStart w:id="294" w:name="_Toc10241"/>
      <w:bookmarkStart w:id="295" w:name="_Toc32515"/>
      <w:bookmarkStart w:id="296" w:name="_Toc2799"/>
      <w:r>
        <w:rPr>
          <w:rFonts w:hint="eastAsia" w:ascii="Times New Roman" w:hAnsi="Times New Roman" w:cs="Times New Roman" w:eastAsiaTheme="minorEastAsia"/>
          <w:b/>
          <w:bCs/>
          <w:kern w:val="2"/>
          <w:sz w:val="24"/>
          <w:szCs w:val="24"/>
          <w:lang w:val="en-US" w:eastAsia="zh-CN" w:bidi="ar-SA"/>
        </w:rPr>
        <w:t>（二）绩效结果挂钩整改措施</w:t>
      </w:r>
      <w:bookmarkEnd w:id="289"/>
      <w:bookmarkEnd w:id="290"/>
      <w:bookmarkEnd w:id="291"/>
      <w:bookmarkEnd w:id="292"/>
      <w:bookmarkEnd w:id="293"/>
      <w:bookmarkEnd w:id="294"/>
      <w:bookmarkEnd w:id="295"/>
      <w:bookmarkEnd w:id="296"/>
    </w:p>
    <w:p>
      <w:pPr>
        <w:pageBreakBefore w:val="0"/>
        <w:kinsoku/>
        <w:wordWrap/>
        <w:overflowPunct/>
        <w:topLinePunct w:val="0"/>
        <w:autoSpaceDE/>
        <w:autoSpaceDN/>
        <w:bidi w:val="0"/>
        <w:adjustRightInd w:val="0"/>
        <w:snapToGrid w:val="0"/>
        <w:spacing w:beforeLines="0" w:afterLines="0" w:line="360" w:lineRule="exact"/>
        <w:ind w:firstLine="420"/>
        <w:rPr>
          <w:rFonts w:hint="default" w:ascii="Times New Roman" w:hAnsi="Times New Roman"/>
          <w:color w:val="auto"/>
          <w:sz w:val="21"/>
          <w:szCs w:val="24"/>
        </w:rPr>
      </w:pPr>
      <w:r>
        <w:rPr>
          <w:rFonts w:hint="eastAsia" w:ascii="Times New Roman" w:hAnsi="Times New Roman"/>
          <w:color w:val="auto"/>
          <w:sz w:val="21"/>
          <w:szCs w:val="24"/>
        </w:rPr>
        <w:t>根据本次绩效评价报告中所反馈的问题和建议，由项目实施单位及时研究制定整改措施，积极落实整改要求，切实改进资金管理和项目管理，并在规定的时间内，将整改情况向</w:t>
      </w:r>
      <w:r>
        <w:rPr>
          <w:rFonts w:hint="eastAsia"/>
          <w:color w:val="auto"/>
          <w:sz w:val="21"/>
          <w:szCs w:val="24"/>
          <w:lang w:val="en-US" w:eastAsia="zh-CN"/>
        </w:rPr>
        <w:t>巴楚县</w:t>
      </w:r>
      <w:r>
        <w:rPr>
          <w:rFonts w:hint="eastAsia" w:ascii="Times New Roman" w:hAnsi="Times New Roman"/>
          <w:color w:val="auto"/>
          <w:sz w:val="21"/>
          <w:szCs w:val="24"/>
        </w:rPr>
        <w:t>财政局行文报告，并附《绩效评价结果整改报告》。</w:t>
      </w:r>
    </w:p>
    <w:p>
      <w:pPr>
        <w:pStyle w:val="6"/>
        <w:pageBreakBefore w:val="0"/>
        <w:kinsoku/>
        <w:wordWrap/>
        <w:overflowPunct/>
        <w:topLinePunct w:val="0"/>
        <w:autoSpaceDE/>
        <w:autoSpaceDN/>
        <w:bidi w:val="0"/>
        <w:spacing w:line="360" w:lineRule="exact"/>
        <w:ind w:firstLine="422"/>
        <w:rPr>
          <w:rFonts w:hint="eastAsia" w:ascii="Times New Roman" w:hAnsi="Times New Roman" w:cs="Times New Roman" w:eastAsiaTheme="minorEastAsia"/>
          <w:b/>
          <w:bCs/>
          <w:kern w:val="2"/>
          <w:sz w:val="24"/>
          <w:szCs w:val="24"/>
          <w:lang w:val="en-US" w:eastAsia="zh-CN" w:bidi="ar-SA"/>
        </w:rPr>
      </w:pPr>
      <w:bookmarkStart w:id="297" w:name="_Toc801"/>
      <w:bookmarkStart w:id="298" w:name="_Toc5593"/>
      <w:bookmarkStart w:id="299" w:name="_Toc25946"/>
      <w:bookmarkStart w:id="300" w:name="_Toc20009"/>
      <w:bookmarkStart w:id="301" w:name="_Toc11906"/>
      <w:bookmarkStart w:id="302" w:name="_Toc15775"/>
      <w:bookmarkStart w:id="303" w:name="_Toc14770"/>
      <w:bookmarkStart w:id="304" w:name="_Toc30884"/>
      <w:r>
        <w:rPr>
          <w:rFonts w:hint="eastAsia" w:ascii="Times New Roman" w:hAnsi="Times New Roman" w:cs="Times New Roman" w:eastAsiaTheme="minorEastAsia"/>
          <w:b/>
          <w:bCs/>
          <w:kern w:val="2"/>
          <w:sz w:val="24"/>
          <w:szCs w:val="24"/>
          <w:lang w:val="en-US" w:eastAsia="zh-CN" w:bidi="ar-SA"/>
        </w:rPr>
        <w:t>（三）绩效结果挂钩报告公开</w:t>
      </w:r>
      <w:bookmarkEnd w:id="297"/>
      <w:bookmarkEnd w:id="298"/>
      <w:bookmarkEnd w:id="299"/>
      <w:bookmarkEnd w:id="300"/>
      <w:bookmarkEnd w:id="301"/>
      <w:bookmarkEnd w:id="302"/>
      <w:bookmarkEnd w:id="303"/>
      <w:bookmarkEnd w:id="304"/>
    </w:p>
    <w:p>
      <w:pPr>
        <w:pageBreakBefore w:val="0"/>
        <w:kinsoku/>
        <w:wordWrap/>
        <w:overflowPunct/>
        <w:topLinePunct w:val="0"/>
        <w:autoSpaceDE/>
        <w:autoSpaceDN/>
        <w:bidi w:val="0"/>
        <w:spacing w:beforeLines="0" w:afterLines="0" w:line="360" w:lineRule="exact"/>
        <w:ind w:firstLine="560"/>
        <w:rPr>
          <w:rFonts w:hint="eastAsia" w:ascii="Times New Roman" w:hAnsi="Times New Roman"/>
          <w:color w:val="auto"/>
          <w:sz w:val="21"/>
          <w:szCs w:val="24"/>
        </w:rPr>
      </w:pPr>
      <w:r>
        <w:rPr>
          <w:rFonts w:hint="eastAsia" w:ascii="Times New Roman" w:hAnsi="Times New Roman"/>
          <w:color w:val="auto"/>
          <w:sz w:val="21"/>
          <w:szCs w:val="24"/>
        </w:rPr>
        <w:t>积极推进评价结果和评价报告等绩效信息的公开。按照政府信息公开有关规定，由</w:t>
      </w:r>
      <w:r>
        <w:rPr>
          <w:rFonts w:hint="eastAsia"/>
          <w:color w:val="auto"/>
          <w:sz w:val="21"/>
          <w:szCs w:val="24"/>
          <w:lang w:val="en-US" w:eastAsia="zh-CN"/>
        </w:rPr>
        <w:t>巴楚县</w:t>
      </w:r>
      <w:r>
        <w:rPr>
          <w:rFonts w:hint="eastAsia" w:ascii="Times New Roman" w:hAnsi="Times New Roman"/>
          <w:color w:val="auto"/>
          <w:sz w:val="21"/>
          <w:szCs w:val="24"/>
        </w:rPr>
        <w:t>财政局将本次绩效评价的结果信息进行公开，加强社会和舆论监督，提高财政资金使用透明度。</w:t>
      </w:r>
    </w:p>
    <w:p>
      <w:pPr>
        <w:pageBreakBefore w:val="0"/>
        <w:kinsoku/>
        <w:wordWrap/>
        <w:overflowPunct/>
        <w:topLinePunct w:val="0"/>
        <w:autoSpaceDE/>
        <w:autoSpaceDN/>
        <w:bidi w:val="0"/>
        <w:spacing w:line="360" w:lineRule="exact"/>
        <w:ind w:firstLine="420"/>
      </w:pPr>
    </w:p>
    <w:p>
      <w:pPr>
        <w:pageBreakBefore w:val="0"/>
        <w:kinsoku/>
        <w:wordWrap/>
        <w:overflowPunct/>
        <w:topLinePunct w:val="0"/>
        <w:autoSpaceDE/>
        <w:autoSpaceDN/>
        <w:bidi w:val="0"/>
        <w:spacing w:line="360" w:lineRule="exact"/>
        <w:ind w:firstLine="420"/>
      </w:pPr>
    </w:p>
    <w:p>
      <w:pPr>
        <w:pStyle w:val="2"/>
        <w:pageBreakBefore w:val="0"/>
        <w:kinsoku/>
        <w:wordWrap/>
        <w:overflowPunct/>
        <w:topLinePunct w:val="0"/>
        <w:autoSpaceDE/>
        <w:autoSpaceDN/>
        <w:bidi w:val="0"/>
        <w:spacing w:line="360" w:lineRule="exact"/>
      </w:pPr>
    </w:p>
    <w:p>
      <w:pPr>
        <w:pStyle w:val="3"/>
        <w:pageBreakBefore w:val="0"/>
        <w:kinsoku/>
        <w:wordWrap/>
        <w:overflowPunct/>
        <w:topLinePunct w:val="0"/>
        <w:autoSpaceDE/>
        <w:autoSpaceDN/>
        <w:bidi w:val="0"/>
        <w:spacing w:line="360" w:lineRule="exact"/>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4"/>
        <w:gridCol w:w="4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pacing w:line="360" w:lineRule="exact"/>
              <w:ind w:firstLine="420"/>
            </w:pPr>
          </w:p>
        </w:tc>
        <w:tc>
          <w:tcPr>
            <w:tcW w:w="4798" w:type="dxa"/>
            <w:tcBorders>
              <w:top w:val="nil"/>
              <w:left w:val="nil"/>
              <w:bottom w:val="nil"/>
              <w:right w:val="nil"/>
            </w:tcBorders>
            <w:vAlign w:val="center"/>
          </w:tcPr>
          <w:p>
            <w:pPr>
              <w:pageBreakBefore w:val="0"/>
              <w:kinsoku/>
              <w:wordWrap/>
              <w:overflowPunct/>
              <w:topLinePunct w:val="0"/>
              <w:autoSpaceDE/>
              <w:autoSpaceDN/>
              <w:bidi w:val="0"/>
              <w:spacing w:line="360" w:lineRule="exact"/>
              <w:ind w:firstLine="0" w:firstLineChars="0"/>
            </w:pPr>
            <w:r>
              <w:rPr>
                <w:rFonts w:eastAsia="黑体"/>
              </w:rPr>
              <w:t>评价机构：新疆驰远天合有限责任会计师事务所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pacing w:line="360" w:lineRule="exact"/>
              <w:ind w:firstLine="420"/>
            </w:pPr>
          </w:p>
        </w:tc>
        <w:tc>
          <w:tcPr>
            <w:tcW w:w="4798" w:type="dxa"/>
            <w:tcBorders>
              <w:top w:val="nil"/>
              <w:left w:val="nil"/>
              <w:bottom w:val="nil"/>
              <w:right w:val="nil"/>
            </w:tcBorders>
            <w:vAlign w:val="center"/>
          </w:tcPr>
          <w:p>
            <w:pPr>
              <w:pageBreakBefore w:val="0"/>
              <w:kinsoku/>
              <w:wordWrap/>
              <w:overflowPunct/>
              <w:topLinePunct w:val="0"/>
              <w:autoSpaceDE/>
              <w:autoSpaceDN/>
              <w:bidi w:val="0"/>
              <w:spacing w:line="360" w:lineRule="exact"/>
              <w:ind w:firstLine="0" w:firstLineChars="0"/>
            </w:pPr>
            <w:r>
              <w:rPr>
                <w:rFonts w:eastAsia="黑体"/>
              </w:rPr>
              <w:t>评价时间：202</w:t>
            </w:r>
            <w:r>
              <w:rPr>
                <w:rFonts w:hint="eastAsia" w:eastAsia="黑体"/>
              </w:rPr>
              <w:t>4</w:t>
            </w:r>
            <w:r>
              <w:rPr>
                <w:rFonts w:eastAsia="黑体"/>
              </w:rPr>
              <w:t>年</w:t>
            </w:r>
            <w:r>
              <w:rPr>
                <w:rFonts w:hint="eastAsia" w:eastAsia="黑体"/>
              </w:rPr>
              <w:t>7月</w:t>
            </w:r>
          </w:p>
        </w:tc>
      </w:tr>
    </w:tbl>
    <w:p>
      <w:pPr>
        <w:pageBreakBefore w:val="0"/>
        <w:kinsoku/>
        <w:wordWrap/>
        <w:overflowPunct/>
        <w:topLinePunct w:val="0"/>
        <w:autoSpaceDE/>
        <w:autoSpaceDN/>
        <w:bidi w:val="0"/>
        <w:spacing w:line="360" w:lineRule="exact"/>
        <w:ind w:firstLine="3150" w:firstLineChars="1500"/>
        <w:rPr>
          <w:rFonts w:eastAsia="黑体"/>
        </w:rPr>
        <w:sectPr>
          <w:footerReference r:id="rId12" w:type="default"/>
          <w:pgSz w:w="11906" w:h="16838"/>
          <w:pgMar w:top="1440" w:right="1800" w:bottom="1440" w:left="1800" w:header="851" w:footer="907" w:gutter="0"/>
          <w:pgNumType w:start="1"/>
          <w:cols w:space="425" w:num="1"/>
          <w:docGrid w:type="lines" w:linePitch="312" w:charSpace="0"/>
        </w:sectPr>
      </w:pPr>
    </w:p>
    <w:p>
      <w:pPr>
        <w:pStyle w:val="5"/>
        <w:pageBreakBefore w:val="0"/>
        <w:kinsoku/>
        <w:wordWrap/>
        <w:overflowPunct/>
        <w:topLinePunct w:val="0"/>
        <w:autoSpaceDE/>
        <w:autoSpaceDN/>
        <w:bidi w:val="0"/>
        <w:spacing w:line="360" w:lineRule="exact"/>
        <w:ind w:firstLine="0" w:firstLineChars="0"/>
      </w:pPr>
      <w:bookmarkStart w:id="305" w:name="_Toc13519"/>
      <w:bookmarkStart w:id="306" w:name="_Toc16068"/>
      <w:bookmarkStart w:id="307" w:name="_Toc15965"/>
      <w:bookmarkStart w:id="308" w:name="_Toc1718"/>
      <w:bookmarkStart w:id="309" w:name="_Toc30291"/>
      <w:bookmarkStart w:id="310" w:name="_Toc10755"/>
      <w:bookmarkStart w:id="311" w:name="_Toc1979"/>
      <w:r>
        <w:t>附件1：</w:t>
      </w:r>
      <w:bookmarkEnd w:id="305"/>
      <w:bookmarkEnd w:id="306"/>
      <w:bookmarkEnd w:id="307"/>
      <w:bookmarkEnd w:id="308"/>
      <w:bookmarkEnd w:id="309"/>
      <w:bookmarkEnd w:id="310"/>
      <w:bookmarkEnd w:id="311"/>
    </w:p>
    <w:p>
      <w:pPr>
        <w:pageBreakBefore w:val="0"/>
        <w:kinsoku/>
        <w:wordWrap/>
        <w:overflowPunct/>
        <w:topLinePunct w:val="0"/>
        <w:autoSpaceDE/>
        <w:autoSpaceDN/>
        <w:bidi w:val="0"/>
        <w:spacing w:line="360" w:lineRule="exact"/>
        <w:ind w:firstLine="422"/>
        <w:jc w:val="center"/>
        <w:rPr>
          <w:rFonts w:eastAsia="宋体"/>
          <w:b/>
          <w:bCs/>
        </w:rPr>
      </w:pPr>
      <w:r>
        <w:rPr>
          <w:rFonts w:hint="eastAsia" w:eastAsia="宋体"/>
          <w:b/>
          <w:bCs/>
        </w:rPr>
        <w:t>巴楚县住房和城乡建设局</w:t>
      </w:r>
      <w:r>
        <w:rPr>
          <w:rFonts w:eastAsia="宋体"/>
          <w:b/>
          <w:bCs/>
        </w:rPr>
        <w:t>2023年度城区环卫市场化项目绩效评价指标体系及综合评分表</w:t>
      </w:r>
    </w:p>
    <w:tbl>
      <w:tblPr>
        <w:tblStyle w:val="19"/>
        <w:tblW w:w="4997" w:type="pct"/>
        <w:tblInd w:w="0" w:type="dxa"/>
        <w:tblLayout w:type="autofit"/>
        <w:tblCellMar>
          <w:top w:w="0" w:type="dxa"/>
          <w:left w:w="51" w:type="dxa"/>
          <w:bottom w:w="0" w:type="dxa"/>
          <w:right w:w="51" w:type="dxa"/>
        </w:tblCellMar>
      </w:tblPr>
      <w:tblGrid>
        <w:gridCol w:w="801"/>
        <w:gridCol w:w="801"/>
        <w:gridCol w:w="959"/>
        <w:gridCol w:w="1307"/>
        <w:gridCol w:w="2491"/>
        <w:gridCol w:w="3759"/>
        <w:gridCol w:w="883"/>
        <w:gridCol w:w="883"/>
        <w:gridCol w:w="734"/>
        <w:gridCol w:w="633"/>
        <w:gridCol w:w="801"/>
      </w:tblGrid>
      <w:tr>
        <w:tblPrEx>
          <w:tblCellMar>
            <w:top w:w="0" w:type="dxa"/>
            <w:left w:w="51" w:type="dxa"/>
            <w:bottom w:w="0" w:type="dxa"/>
            <w:right w:w="51" w:type="dxa"/>
          </w:tblCellMar>
        </w:tblPrEx>
        <w:trPr>
          <w:trHeight w:val="261" w:hRule="atLeast"/>
          <w:tblHead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000000"/>
                <w:kern w:val="0"/>
                <w:sz w:val="13"/>
                <w:szCs w:val="13"/>
                <w:lang w:bidi="ar"/>
              </w:rPr>
            </w:pPr>
            <w:r>
              <w:rPr>
                <w:rFonts w:hint="default" w:ascii="Times New Roman" w:hAnsi="Times New Roman" w:eastAsia="宋体" w:cs="Times New Roman"/>
                <w:b/>
                <w:bCs/>
                <w:color w:val="000000"/>
                <w:kern w:val="0"/>
                <w:sz w:val="13"/>
                <w:szCs w:val="13"/>
                <w:lang w:bidi="ar"/>
              </w:rPr>
              <w:t>一级指标</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000000"/>
                <w:sz w:val="13"/>
                <w:szCs w:val="13"/>
              </w:rPr>
            </w:pPr>
            <w:r>
              <w:rPr>
                <w:rFonts w:hint="default" w:ascii="Times New Roman" w:hAnsi="Times New Roman" w:eastAsia="宋体" w:cs="Times New Roman"/>
                <w:b/>
                <w:bCs/>
                <w:color w:val="000000"/>
                <w:kern w:val="0"/>
                <w:sz w:val="13"/>
                <w:szCs w:val="13"/>
                <w:lang w:bidi="ar"/>
              </w:rPr>
              <w:t>二级指标</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000000"/>
                <w:sz w:val="13"/>
                <w:szCs w:val="13"/>
              </w:rPr>
            </w:pPr>
            <w:r>
              <w:rPr>
                <w:rFonts w:hint="default" w:ascii="Times New Roman" w:hAnsi="Times New Roman" w:eastAsia="宋体" w:cs="Times New Roman"/>
                <w:b/>
                <w:bCs/>
                <w:color w:val="000000"/>
                <w:kern w:val="0"/>
                <w:sz w:val="13"/>
                <w:szCs w:val="13"/>
                <w:lang w:bidi="ar"/>
              </w:rPr>
              <w:t>三级指标</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000000"/>
                <w:sz w:val="13"/>
                <w:szCs w:val="13"/>
              </w:rPr>
            </w:pPr>
            <w:r>
              <w:rPr>
                <w:rFonts w:hint="default" w:ascii="Times New Roman" w:hAnsi="Times New Roman" w:eastAsia="宋体" w:cs="Times New Roman"/>
                <w:b/>
                <w:bCs/>
                <w:color w:val="000000"/>
                <w:kern w:val="0"/>
                <w:sz w:val="13"/>
                <w:szCs w:val="13"/>
                <w:lang w:bidi="ar"/>
              </w:rPr>
              <w:t>指标解释</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000000"/>
                <w:sz w:val="13"/>
                <w:szCs w:val="13"/>
              </w:rPr>
            </w:pPr>
            <w:r>
              <w:rPr>
                <w:rFonts w:hint="default" w:ascii="Times New Roman" w:hAnsi="Times New Roman" w:eastAsia="宋体" w:cs="Times New Roman"/>
                <w:b/>
                <w:bCs/>
                <w:color w:val="000000"/>
                <w:kern w:val="0"/>
                <w:sz w:val="13"/>
                <w:szCs w:val="13"/>
                <w:lang w:bidi="ar"/>
              </w:rPr>
              <w:t>评价标准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color w:val="000000"/>
                <w:kern w:val="0"/>
                <w:sz w:val="13"/>
                <w:szCs w:val="13"/>
                <w:lang w:val="en-US" w:eastAsia="zh-CN" w:bidi="ar"/>
              </w:rPr>
            </w:pPr>
            <w:r>
              <w:rPr>
                <w:rFonts w:hint="default" w:ascii="Times New Roman" w:hAnsi="Times New Roman" w:eastAsia="宋体" w:cs="Times New Roman"/>
                <w:b/>
                <w:bCs/>
                <w:color w:val="000000"/>
                <w:kern w:val="0"/>
                <w:sz w:val="13"/>
                <w:szCs w:val="13"/>
                <w:lang w:val="en-US" w:eastAsia="zh-CN" w:bidi="ar"/>
              </w:rPr>
              <w:t>评价过程</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000000"/>
                <w:sz w:val="13"/>
                <w:szCs w:val="13"/>
              </w:rPr>
            </w:pPr>
            <w:r>
              <w:rPr>
                <w:rFonts w:hint="default" w:ascii="Times New Roman" w:hAnsi="Times New Roman" w:eastAsia="宋体" w:cs="Times New Roman"/>
                <w:b/>
                <w:bCs/>
                <w:color w:val="000000"/>
                <w:kern w:val="0"/>
                <w:sz w:val="13"/>
                <w:szCs w:val="13"/>
                <w:lang w:bidi="ar"/>
              </w:rPr>
              <w:t>目标值</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000000"/>
                <w:sz w:val="13"/>
                <w:szCs w:val="13"/>
              </w:rPr>
            </w:pPr>
            <w:r>
              <w:rPr>
                <w:rFonts w:hint="default" w:ascii="Times New Roman" w:hAnsi="Times New Roman" w:eastAsia="宋体" w:cs="Times New Roman"/>
                <w:b/>
                <w:bCs/>
                <w:color w:val="000000"/>
                <w:kern w:val="0"/>
                <w:sz w:val="13"/>
                <w:szCs w:val="13"/>
                <w:lang w:bidi="ar"/>
              </w:rPr>
              <w:t>实际完成值</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color w:val="000000"/>
                <w:sz w:val="13"/>
                <w:szCs w:val="13"/>
                <w:lang w:eastAsia="zh-CN"/>
              </w:rPr>
            </w:pPr>
            <w:r>
              <w:rPr>
                <w:rFonts w:hint="default" w:ascii="Times New Roman" w:hAnsi="Times New Roman" w:eastAsia="宋体" w:cs="Times New Roman"/>
                <w:b/>
                <w:bCs/>
                <w:color w:val="000000"/>
                <w:kern w:val="0"/>
                <w:sz w:val="13"/>
                <w:szCs w:val="13"/>
                <w:lang w:val="en-US" w:eastAsia="zh-CN" w:bidi="ar"/>
              </w:rPr>
              <w:t>权重</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000000"/>
                <w:sz w:val="13"/>
                <w:szCs w:val="13"/>
              </w:rPr>
            </w:pPr>
            <w:r>
              <w:rPr>
                <w:rFonts w:hint="default" w:ascii="Times New Roman" w:hAnsi="Times New Roman" w:eastAsia="宋体" w:cs="Times New Roman"/>
                <w:b/>
                <w:bCs/>
                <w:color w:val="000000"/>
                <w:kern w:val="0"/>
                <w:sz w:val="13"/>
                <w:szCs w:val="13"/>
                <w:lang w:bidi="ar"/>
              </w:rPr>
              <w:t>指标得分</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color w:val="000000"/>
                <w:sz w:val="13"/>
                <w:szCs w:val="13"/>
              </w:rPr>
            </w:pPr>
            <w:r>
              <w:rPr>
                <w:rFonts w:hint="default" w:ascii="Times New Roman" w:hAnsi="Times New Roman" w:eastAsia="宋体" w:cs="Times New Roman"/>
                <w:b/>
                <w:bCs/>
                <w:color w:val="000000"/>
                <w:kern w:val="0"/>
                <w:sz w:val="13"/>
                <w:szCs w:val="13"/>
                <w:lang w:bidi="ar"/>
              </w:rPr>
              <w:t>得分率</w:t>
            </w:r>
          </w:p>
        </w:tc>
      </w:tr>
      <w:tr>
        <w:tblPrEx>
          <w:tblCellMar>
            <w:top w:w="0" w:type="dxa"/>
            <w:left w:w="51" w:type="dxa"/>
            <w:bottom w:w="0" w:type="dxa"/>
            <w:right w:w="51" w:type="dxa"/>
          </w:tblCellMar>
        </w:tblPrEx>
        <w:trPr>
          <w:trHeight w:val="261"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A决策（15分）　</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A1 项目立项（3分）　</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A11立项依据合理性</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项目立项是否符合法律法规、相关政策、发展规划以及部门职责，用以反映和考核项目立项依据情况。</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评价要点：</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①是否符合国家相关法律法规、国民经济发展规划和新疆维吾尔自治区党委政府决策；</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②是否与部门职责和任务相符；是否符合部门优先发展重点；</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③目是否纳入政府购买服务指导性目录；</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④购买服务需求是否合理充分；</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⑤是否与购买服务政策相符。</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备注：如涉及违规购买一票否决</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该项目立项符合《城市市容和环境卫生管理条例》城市环境卫生管理第二十九条：“环境卫生管理应当逐步实行社会化服务。有条件的城市，可以成立环境卫生服务公司。凡委托环境卫生专业单位清扫、收集、运输和处理废弃物的，应当交纳服务费”；该项目立项符合新疆维吾尔自治区住房和城乡建设厅印发《关于加强自治区城市精细化管理的通知》“围绕法治建设、信息化建设、市容市貌管理、环境卫生、园林绿化管理、市政公共设施管理、住宅小区物业管理、城市应急管理、公众参与、营造舆论氛围10个方面，持绣花精神精细做好百姓身边事，通过城市精细化管理提升群众获得感和幸福感”文件精神。</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该项目立项与《关于印发&lt;巴楚县住房和城乡建设局职能配置、内设机构和人员编制规定&gt;的通知》（巴党办〔2019〕56号）中“负责市政公用事业特许经营、供水、供气、供热和市容环境卫生、园林绿化法律法规规章执行的监督指导”等部门职责和任务的相符，符合部门优先发展重点。</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③该项目属于城乡维护中的环卫保洁服务，已纳入政府购买服务指导性目录。</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④该项目针对现行环卫作业效果不高，人员密度不够、考核标准不严、队伍活力不足等突出问题，申请开展，通过项目实施，进一步抓好巴楚县城市环境卫生，改善城市居民环境质量，推动巴楚县环卫管理事业向“作业专业化、经营企业化、服务社会化、管理规范化”的发展，购买服务需求合理充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⑤经核实，项目以巴楚县住房和城乡建设局为购买主体，采购环卫市场化服务，促进转变政府职能，改善公共服务供给，符合《政府购买服务管理办法》。</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该指标满分为2分，根据评分标准得2分。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充分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充分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2</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A12立项程序规范性</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项目申请、设立过程是否符合相关要求，用以反映和考核项目立项的规范情况。</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评价要点：</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①项目是否按照规定的程序申请设立；</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②审批文件、材料是否符合相关要求；</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③事前是否已经过必要的可行性研究、专家论证、风险评估、绩效评估、集体决策。</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以上三项中，每发现一处不符扣0.5分，扣完为止。</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项目为延续性项目，巴楚县住房和城乡建设局于2021年通过政府购买服务方式公开招标确定由石河子市瑞祥居物业服务有限公司获得巴楚县城区环卫市场化运营资格。2021年4月22日，与其签订了《巴楚县城区环卫市场化购买服务项目合同》，中标合同金额778.72万元/年，服务期限为3年，自2021年4月22</w:t>
            </w:r>
            <w:r>
              <w:rPr>
                <w:rFonts w:hint="eastAsia" w:eastAsia="宋体" w:cs="Times New Roman"/>
                <w:color w:val="000000"/>
                <w:kern w:val="0"/>
                <w:sz w:val="13"/>
                <w:szCs w:val="13"/>
                <w:lang w:eastAsia="zh-CN" w:bidi="ar"/>
              </w:rPr>
              <w:t>日</w:t>
            </w:r>
            <w:r>
              <w:rPr>
                <w:rFonts w:hint="default" w:ascii="Times New Roman" w:hAnsi="Times New Roman" w:eastAsia="宋体" w:cs="Times New Roman"/>
                <w:color w:val="000000"/>
                <w:kern w:val="0"/>
                <w:sz w:val="13"/>
                <w:szCs w:val="13"/>
                <w:lang w:bidi="ar"/>
              </w:rPr>
              <w:t>-2024年4月21日止。故该项目根据合同履约开展2023年度环卫服务，环卫服务费用已纳入年初预算安排中，立项程序规范。</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该指标满分为2分，根据评分标准得2分。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合规</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合规</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2</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2</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A2 绩效目标（4分）　</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A21绩效目标合理性</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项目所设定的绩效目标是否依据充分，是否符合客观实际，用以反映和考核项目绩效目标与项目实施的相符情况。</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评价要点：</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①项目是否有绩效目标；</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②项目绩效目标与实际工作内容是否具有相关性；</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③项目预期产出效益和效果是否符合正常的业绩水平；</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④是否与预算确定的项目投资额或资金量相匹配。</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若①不符合，则此指标不得分；若①符合，则每发现一处不符扣0.2分，扣完为止。</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①根据项目实施单位《项目支出绩效目标表》，项目有绩效目标，具体目标内容是：“本项目预算资金778.72万元、其中人员工资发放652.92万元，社保缴纳125</w:t>
            </w:r>
            <w:r>
              <w:rPr>
                <w:rFonts w:hint="eastAsia" w:eastAsia="宋体" w:cs="Times New Roman"/>
                <w:color w:val="000000"/>
                <w:kern w:val="0"/>
                <w:sz w:val="13"/>
                <w:szCs w:val="13"/>
                <w:lang w:eastAsia="zh-CN" w:bidi="ar"/>
              </w:rPr>
              <w:t>.8</w:t>
            </w:r>
            <w:r>
              <w:rPr>
                <w:rFonts w:hint="default" w:ascii="Times New Roman" w:hAnsi="Times New Roman" w:eastAsia="宋体" w:cs="Times New Roman"/>
                <w:color w:val="000000"/>
                <w:kern w:val="0"/>
                <w:sz w:val="13"/>
                <w:szCs w:val="13"/>
                <w:lang w:bidi="ar"/>
              </w:rPr>
              <w:t>万元。保障151名环卫工人工资正常发放，提高环卫工人工作积极性，提升我县环境卫生质量提升”。</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②经查阅项目资料，本项目资金均用于环卫人员运营费用的拨付，项目绩效目标与实际工作内容具有相关性。</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③该项目通过保障环卫工人工资正常发放，提高环卫工人工作积极性，提升我县环境卫生质量提升，项目预期产出效益和效果根据项目的实际用途设置，符合正常的业绩水平。</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④经查证，该项目绩效目标预算资金778.72万元，故绩效目标确定的预算与预算确定的项目资金量匹配。</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该指标满分为1</w:t>
            </w:r>
            <w:r>
              <w:rPr>
                <w:rFonts w:hint="eastAsia" w:eastAsia="宋体" w:cs="Times New Roman"/>
                <w:color w:val="000000"/>
                <w:kern w:val="0"/>
                <w:sz w:val="13"/>
                <w:szCs w:val="13"/>
                <w:lang w:eastAsia="zh-CN" w:bidi="ar"/>
              </w:rPr>
              <w:t>.5</w:t>
            </w:r>
            <w:r>
              <w:rPr>
                <w:rFonts w:hint="default" w:ascii="Times New Roman" w:hAnsi="Times New Roman" w:eastAsia="宋体" w:cs="Times New Roman"/>
                <w:color w:val="000000"/>
                <w:kern w:val="0"/>
                <w:sz w:val="13"/>
                <w:szCs w:val="13"/>
                <w:lang w:bidi="ar"/>
              </w:rPr>
              <w:t>分，根据评分标准得1</w:t>
            </w:r>
            <w:r>
              <w:rPr>
                <w:rFonts w:hint="eastAsia" w:eastAsia="宋体" w:cs="Times New Roman"/>
                <w:color w:val="000000"/>
                <w:kern w:val="0"/>
                <w:sz w:val="13"/>
                <w:szCs w:val="13"/>
                <w:lang w:eastAsia="zh-CN" w:bidi="ar"/>
              </w:rPr>
              <w:t>.5</w:t>
            </w:r>
            <w:r>
              <w:rPr>
                <w:rFonts w:hint="default" w:ascii="Times New Roman" w:hAnsi="Times New Roman" w:eastAsia="宋体" w:cs="Times New Roman"/>
                <w:color w:val="000000"/>
                <w:kern w:val="0"/>
                <w:sz w:val="13"/>
                <w:szCs w:val="13"/>
                <w:lang w:bidi="ar"/>
              </w:rPr>
              <w:t>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合理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合理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1</w:t>
            </w:r>
            <w:r>
              <w:rPr>
                <w:rFonts w:hint="eastAsia" w:eastAsia="宋体" w:cs="Times New Roman"/>
                <w:color w:val="000000"/>
                <w:kern w:val="0"/>
                <w:sz w:val="13"/>
                <w:szCs w:val="13"/>
                <w:lang w:eastAsia="zh-CN" w:bidi="ar"/>
              </w:rPr>
              <w:t>.5</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1</w:t>
            </w:r>
            <w:r>
              <w:rPr>
                <w:rFonts w:hint="eastAsia" w:eastAsia="宋体" w:cs="Times New Roman"/>
                <w:color w:val="000000"/>
                <w:kern w:val="0"/>
                <w:sz w:val="13"/>
                <w:szCs w:val="13"/>
                <w:lang w:eastAsia="zh-CN" w:bidi="ar"/>
              </w:rPr>
              <w:t>.5</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A22绩效指标明确性</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依据绩效目标设定的绩效指标是否清晰、细化、可衡量等，用以反映和考核项目绩效目标的明细化情况。</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评价要点：</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①根据《项目支出绩效目标表》分析可知，该项目共设立一级指标4个，二级指标6个，三级指标11个，项目实施单位已将绩效目标细化分解为具体的绩效指标。</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该项目已设置三级指标11个，其中定量指标8个，定性指标3个，指标量化率为72.73％，指标量化率达到目标。经评价分析，项目实施后可产生预期的社会效益，项目指标设置有相应的时效指标，项目绩效目标设置与预算关联性紧密，绩效指标与项目计划数一致，指标设置清晰准确，且量化易评。</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该指标满分为1</w:t>
            </w:r>
            <w:r>
              <w:rPr>
                <w:rFonts w:hint="eastAsia" w:eastAsia="宋体" w:cs="Times New Roman"/>
                <w:color w:val="000000"/>
                <w:kern w:val="0"/>
                <w:sz w:val="13"/>
                <w:szCs w:val="13"/>
                <w:lang w:eastAsia="zh-CN" w:bidi="ar"/>
              </w:rPr>
              <w:t>.5</w:t>
            </w:r>
            <w:r>
              <w:rPr>
                <w:rFonts w:hint="default" w:ascii="Times New Roman" w:hAnsi="Times New Roman" w:eastAsia="宋体" w:cs="Times New Roman"/>
                <w:color w:val="000000"/>
                <w:kern w:val="0"/>
                <w:sz w:val="13"/>
                <w:szCs w:val="13"/>
                <w:lang w:bidi="ar"/>
              </w:rPr>
              <w:t>分，根据评分标准得1</w:t>
            </w:r>
            <w:r>
              <w:rPr>
                <w:rFonts w:hint="eastAsia" w:eastAsia="宋体" w:cs="Times New Roman"/>
                <w:color w:val="000000"/>
                <w:kern w:val="0"/>
                <w:sz w:val="13"/>
                <w:szCs w:val="13"/>
                <w:lang w:eastAsia="zh-CN" w:bidi="ar"/>
              </w:rPr>
              <w:t>.5</w:t>
            </w:r>
            <w:r>
              <w:rPr>
                <w:rFonts w:hint="default" w:ascii="Times New Roman" w:hAnsi="Times New Roman" w:eastAsia="宋体" w:cs="Times New Roman"/>
                <w:color w:val="000000"/>
                <w:kern w:val="0"/>
                <w:sz w:val="13"/>
                <w:szCs w:val="13"/>
                <w:lang w:bidi="ar"/>
              </w:rPr>
              <w:t>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明确</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明确</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1</w:t>
            </w:r>
            <w:r>
              <w:rPr>
                <w:rFonts w:hint="eastAsia" w:eastAsia="宋体" w:cs="Times New Roman"/>
                <w:color w:val="000000"/>
                <w:kern w:val="0"/>
                <w:sz w:val="13"/>
                <w:szCs w:val="13"/>
                <w:lang w:eastAsia="zh-CN" w:bidi="ar"/>
              </w:rPr>
              <w:t>.5</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1</w:t>
            </w:r>
            <w:r>
              <w:rPr>
                <w:rFonts w:hint="eastAsia" w:eastAsia="宋体" w:cs="Times New Roman"/>
                <w:color w:val="000000"/>
                <w:kern w:val="0"/>
                <w:sz w:val="13"/>
                <w:szCs w:val="13"/>
                <w:lang w:eastAsia="zh-CN" w:bidi="ar"/>
              </w:rPr>
              <w:t>.5</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A3 资金投入（3分）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A31预算编制科学性</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项目预算编制是否经过科学论证、有明确标准，资金额度与年度目标是否相适应，用以反映和考核项目预算编制的科学性、合理性情况。</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评价要点：</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①预算编制经过科学论证，有明确标准；</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②预算编制依据充分、合理，与年度目标相适应；</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每发现一处不符扣0.5分，扣完为止。</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根据《巴楚县住房和城乡建设局2023年度城区环卫市场化项目工作计划》《巴楚县住房和城乡建设局2023年度城区环卫市场化项目实施方案》，该项目为延续性项目，根据2021年政府购买服务方式采购巴楚县城区环卫市场化运营服务，根据签订《巴楚县城区环卫市场化运营合同》，年服务费用778.72万元，每月支付64.89万元。</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经核对《关于下达财政收支预算指标的通知》，项目纳入年初预算，但年初预算安排194.68万元，年中追加项目预算584.04万元，项目年初预算没有按购买服务费用足额纳入部门预算，不符合财政部令第102号《政府购买服务管理办法》：“政府购买服务项目所需资金应当在相关部门预算中统筹安排，并与中期财政规划相衔接，未列入预算的项目不得实施。购买主体在编报年度部门预算时，应当反映政府购买服务支出情况”的规定。</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该指标满分为1</w:t>
            </w:r>
            <w:r>
              <w:rPr>
                <w:rFonts w:hint="eastAsia" w:eastAsia="宋体" w:cs="Times New Roman"/>
                <w:color w:val="000000"/>
                <w:kern w:val="0"/>
                <w:sz w:val="13"/>
                <w:szCs w:val="13"/>
                <w:lang w:eastAsia="zh-CN" w:bidi="ar"/>
              </w:rPr>
              <w:t>.5</w:t>
            </w:r>
            <w:r>
              <w:rPr>
                <w:rFonts w:hint="default" w:ascii="Times New Roman" w:hAnsi="Times New Roman" w:eastAsia="宋体" w:cs="Times New Roman"/>
                <w:color w:val="000000"/>
                <w:kern w:val="0"/>
                <w:sz w:val="13"/>
                <w:szCs w:val="13"/>
                <w:lang w:bidi="ar"/>
              </w:rPr>
              <w:t>分，根据评分标准得0</w:t>
            </w:r>
            <w:r>
              <w:rPr>
                <w:rFonts w:hint="eastAsia" w:eastAsia="宋体" w:cs="Times New Roman"/>
                <w:color w:val="000000"/>
                <w:kern w:val="0"/>
                <w:sz w:val="13"/>
                <w:szCs w:val="13"/>
                <w:lang w:eastAsia="zh-CN" w:bidi="ar"/>
              </w:rPr>
              <w:t>.5</w:t>
            </w:r>
            <w:r>
              <w:rPr>
                <w:rFonts w:hint="default" w:ascii="Times New Roman" w:hAnsi="Times New Roman" w:eastAsia="宋体" w:cs="Times New Roman"/>
                <w:color w:val="000000"/>
                <w:kern w:val="0"/>
                <w:sz w:val="13"/>
                <w:szCs w:val="13"/>
                <w:lang w:bidi="ar"/>
              </w:rPr>
              <w:t>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科学</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较科学</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1</w:t>
            </w:r>
            <w:r>
              <w:rPr>
                <w:rFonts w:hint="eastAsia" w:eastAsia="宋体" w:cs="Times New Roman"/>
                <w:color w:val="000000"/>
                <w:kern w:val="0"/>
                <w:sz w:val="13"/>
                <w:szCs w:val="13"/>
                <w:lang w:eastAsia="zh-CN" w:bidi="ar"/>
              </w:rPr>
              <w:t>.5</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0</w:t>
            </w:r>
            <w:r>
              <w:rPr>
                <w:rFonts w:hint="eastAsia" w:eastAsia="宋体" w:cs="Times New Roman"/>
                <w:color w:val="000000"/>
                <w:kern w:val="0"/>
                <w:sz w:val="13"/>
                <w:szCs w:val="13"/>
                <w:lang w:eastAsia="zh-CN" w:bidi="ar"/>
              </w:rPr>
              <w:t>.5</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33.33%</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A32资金分配合理性</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项目预算资金分配是否有测算依据，与补助单位或地方实际是否相适应，用以反映和考核项目预算资金分配的科学性、合理性情况。</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评价要点：</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①预算资金分配依据是否充分；</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②资金分配额度是否合理，与项目单位或地方实际是否相适应。</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以上每发现一处不符扣0.5分，扣完为止。</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根据项目《巴楚县住房和城乡建设局2023年度城区环卫市场化项目工作计划》《巴楚县住房和城乡建设局2023年度城区环卫市场化项目实施方案》以及市场化运营合同，项目按照实施方案及合同约定分配资金额度，分配依据充分、额度合理，和项目单位相适应。</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该指标满分为1</w:t>
            </w:r>
            <w:r>
              <w:rPr>
                <w:rFonts w:hint="eastAsia" w:eastAsia="宋体" w:cs="Times New Roman"/>
                <w:color w:val="000000"/>
                <w:kern w:val="0"/>
                <w:sz w:val="13"/>
                <w:szCs w:val="13"/>
                <w:lang w:eastAsia="zh-CN" w:bidi="ar"/>
              </w:rPr>
              <w:t>.5</w:t>
            </w:r>
            <w:r>
              <w:rPr>
                <w:rFonts w:hint="default" w:ascii="Times New Roman" w:hAnsi="Times New Roman" w:eastAsia="宋体" w:cs="Times New Roman"/>
                <w:color w:val="000000"/>
                <w:kern w:val="0"/>
                <w:sz w:val="13"/>
                <w:szCs w:val="13"/>
                <w:lang w:bidi="ar"/>
              </w:rPr>
              <w:t>分，根据评分标准得1</w:t>
            </w:r>
            <w:r>
              <w:rPr>
                <w:rFonts w:hint="eastAsia" w:eastAsia="宋体" w:cs="Times New Roman"/>
                <w:color w:val="000000"/>
                <w:kern w:val="0"/>
                <w:sz w:val="13"/>
                <w:szCs w:val="13"/>
                <w:lang w:eastAsia="zh-CN" w:bidi="ar"/>
              </w:rPr>
              <w:t>.5</w:t>
            </w:r>
            <w:r>
              <w:rPr>
                <w:rFonts w:hint="default" w:ascii="Times New Roman" w:hAnsi="Times New Roman" w:eastAsia="宋体" w:cs="Times New Roman"/>
                <w:color w:val="000000"/>
                <w:kern w:val="0"/>
                <w:sz w:val="13"/>
                <w:szCs w:val="13"/>
                <w:lang w:bidi="ar"/>
              </w:rPr>
              <w:t>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合理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合理</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1</w:t>
            </w:r>
            <w:r>
              <w:rPr>
                <w:rFonts w:hint="eastAsia" w:eastAsia="宋体" w:cs="Times New Roman"/>
                <w:color w:val="000000"/>
                <w:kern w:val="0"/>
                <w:sz w:val="13"/>
                <w:szCs w:val="13"/>
                <w:lang w:eastAsia="zh-CN" w:bidi="ar"/>
              </w:rPr>
              <w:t>.5</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1</w:t>
            </w:r>
            <w:r>
              <w:rPr>
                <w:rFonts w:hint="eastAsia" w:eastAsia="宋体" w:cs="Times New Roman"/>
                <w:color w:val="000000"/>
                <w:kern w:val="0"/>
                <w:sz w:val="13"/>
                <w:szCs w:val="13"/>
                <w:lang w:eastAsia="zh-CN" w:bidi="ar"/>
              </w:rPr>
              <w:t>.5</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26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小计</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000000"/>
                <w:kern w:val="0"/>
                <w:sz w:val="13"/>
                <w:szCs w:val="13"/>
                <w:lang w:bidi="ar"/>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10</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9</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90%</w:t>
            </w:r>
          </w:p>
        </w:tc>
      </w:tr>
      <w:tr>
        <w:tblPrEx>
          <w:tblCellMar>
            <w:top w:w="0" w:type="dxa"/>
            <w:left w:w="51" w:type="dxa"/>
            <w:bottom w:w="0" w:type="dxa"/>
            <w:right w:w="51" w:type="dxa"/>
          </w:tblCellMar>
        </w:tblPrEx>
        <w:trPr>
          <w:trHeight w:val="261"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B过程（25分）</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B1 资金管理（13分）　</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B11资金到位率</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实际到位资金与预算资金的比率，用以反映和考核资金落实情况对项目实施的总体保障程度。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资金到位率=（实际到位资金/预算资金）×100%。</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项目完成且资金到位数满足年度预算规模需求，得3分；项目尚未完成，资金到位率小于100%且大于等于80%的得2分，资金到位率小于80%且大于等于60%的得1</w:t>
            </w:r>
            <w:r>
              <w:rPr>
                <w:rFonts w:hint="eastAsia" w:eastAsia="宋体" w:cs="Times New Roman"/>
                <w:color w:val="000000"/>
                <w:kern w:val="0"/>
                <w:sz w:val="13"/>
                <w:szCs w:val="13"/>
                <w:lang w:eastAsia="zh-CN" w:bidi="ar"/>
              </w:rPr>
              <w:t>.5</w:t>
            </w:r>
            <w:r>
              <w:rPr>
                <w:rFonts w:hint="default" w:ascii="Times New Roman" w:hAnsi="Times New Roman" w:eastAsia="宋体" w:cs="Times New Roman"/>
                <w:color w:val="000000"/>
                <w:kern w:val="0"/>
                <w:sz w:val="13"/>
                <w:szCs w:val="13"/>
                <w:lang w:bidi="ar"/>
              </w:rPr>
              <w:t>分，资金到位率小于60%的不得分。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经查阅《关于下达财政收支预算指标的通知》及项目资金拨付文件资料，项目纳入年初预算，年初预算安排194.68万元，年中追加项目预算584.04万元，调整后项目全年预算共778.72万元。2023年度实际到位资金778.72万元。资金到位率100%。</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该指标满分为3分，根据评分标准得3分。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3</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3</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B12预算执行率</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项目预算资金是否按照计划执行，用以反映或考核项目预算执行情况。</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预算执行率=（实际支出资金/实际到位资金）×100%。</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项目完成且执行数控制在年度预算规模之内的，得5分；项目尚未完成，预算执行率小于100%且大于等于80%的得3分，预算执行率小于80%且大于等于60%的得2分，预算执行率小于60%的不得分。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经查阅项目资金拨付文件资料，项目实际支出778.72万元，其中2023年内共支出648.94万元，2024年1月支出129.78万元，预算执行率100%。根据评价标准，得满分。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该指标满分为5分，根据评分标准得5分。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5</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5</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B13资金使用合规性</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考察项目单位资金的使用规范程度。项目资金使用是否符合相关法律法规、制度和规定，用以反映和考核项目资金使用的规范性和安全性。</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评价要点：</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①是否符合国家财经法规和财务管理制度以及有关专项资金管理办法的规定；</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②是否符合项目预算批复或合同规定的用途；</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③是否存在截留、挤占、挪用、虚列支出等情况；</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④资金的拨付是否有完整的审批程序和手续。</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以上四项不满足①或②或③时属于严重违规事项，本项指标不得分，在符合①、②和③的条件下，其他各项符合则得分，否则，每发现一处不符扣0.5分，扣完为止。</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经查阅项目资料，项目实施单位根据环卫公司提交的工资表、绩效考核等项目资料，编制资金支付申请，经党组会议通过后，向巴楚县财政局提交资金支付申请报告，经国库支付中心审核审批后办理支付，资金的拨付有完整的审批程序和手续，均用于支付石河子市瑞祥居物业服务有限公司运用费用，项目资金使用符合项目预算和合同规定的用途。</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该指标满分为5分，根据评分标准得5分。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合规</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合规</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5</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5</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B2 组织实施（12分）　</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B21管理制度健全性</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项目实施单位的财务和业务管理制度是否健全，用以反映和考核财务和业务管理制度对项目顺利实施的保障情况。</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评价要点：</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①是否已制定或具有相应的财务和业务管理制度；</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②财务和业务管理制度是否合法、合规、完整。</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③财务监督有效性</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以上两项分别占50%的权重分，符合则得分；存在部分制度缺失、内容不完整或不满足管理要求的，每发现一处不符扣0.5分，各权重分扣完为止。</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经查阅，项目实施单位已建立《巴楚县住房和城乡建设局财务管理制度》《巴楚县住房和城乡建设局合同管理制度》《巴楚县住房和城乡建设局内部控制制度管理制度》，从预算审批、支付审批、合同管理、采购流程等方面进行规范，以上制度内容相对完整。并且项目实施单位按照《巴楚县城区环卫市场化运营合同》服务内容编制了《巴楚县住房和城乡建设局2023年度城区环卫市场化项目工作计划》《巴楚县住房和城乡建设局2023年度城区环卫市场化项目实施方案》，对项目实施内容、组织保障、监督规范等内容进行明确，指导项目规范实施。</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该指标满分为4分，根据评分标准得4分。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健全</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健全</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4</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B22制度执行有效性</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项目实施是否符合相关管理规定，用以反映和考核相关管理制度的有效执行情况。</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评价要点：</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①项目采购管理是否规范，购买主体按照要求公开购买服务信息；是否按照政府采购法等有关规定，通过公平公正择优确认承接主体；</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②合同管理是否规范，合同签订要素是否完整，时限未超3年；内容符合政府购买服务政策、履职范围、服务内容、指导性目录等有关规定；政府购买服务合同依法予以公告；</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③项目履约管理规范性，购买主体建立履约管理机制，开展绩效执行监控，及时掌握项目进度和绩效目标实现情况，督促承接主体严格履行合同；按照合同等约定和执行进度支付款项；</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④项目实施管理规范性，承接主体项目，项目实施符合相关项目管理规定；建立了实施领导机制并建立了完善的实施方案；建立了项目台账，台账记录全面、完整；能接受和配合相关部门的监督检查及绩效评价；</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⑤项目实施监督的有效性，不存在将由政府自身直接履职的事项采取政府购买服务实施；不存在政府购买服务履约管理不力；不存在借政府购买服务名义变相用工；政府购买服务过程中不存在增加政府债务风险情况；</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⑥承接能力、资质需求相适配性，承接主体具备相关法律法规规定的资质要求；人员和设施设备等资源配置状况满足提供公共服务需求，每符合一项得1/2权重分；</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⑦项目质量可控性，购买主体建立项目验收结算机制；承接主体为达到项目质量要求而采取了必要的措施，且不存在项目转包行为。</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以上发现任意一处制度执行不到位的扣0.5分，扣完为止。</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项目为延续性项目，项目以巴楚县住房和城乡建设局为购买主体，采购环卫市场化服务，符合项目单位部门职责以及《政府购买服务管理办法》等相关规定。巴楚县住房和城乡建设局按照《巴楚县城区环卫市场化购买服务项目合同》实施内容，成立项目领导小组，负责项目全过程实施、管理及监督，按月随机抽查环卫公司作业区域开展作业质量考核，现场审核打分，并依据考核结果完成服务付费。</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但在调研了解项目实施情况过程中，项目实施单位在执行程序中存在以下情况：</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根据《巴楚县城区环卫市场化购买服务项目合同》《巴楚县住房和城乡建设局2023年度城区环卫市场化项目实施方案》等相关工作要求，应当由住房和城乡和建设局、卫生和健康委员会、市场监督管理局对乙方每月度实施考核，作为核拨经费的依据，经核查，项目实施单位未开展联合考评工作，未严格履行合同约定，考核职责履行不到位。</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经实际调研了解，2023年巴楚县新增一座公园纳入环卫公司日常保洁及垃圾清运管理，经双方协商，2023年增加的公园清扫工作量不进行费用追加。关于新增公园环卫工作量增加部分，且环卫公司人员减少情况下，未见项目实施单位对环卫公司运营成本进行必要成本分析，对新增作业区域环卫工作保障程度缺少必要的评估，且未对新增作业区域的相关事项签订补充协议。</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③根据《巴楚县城区环卫市场化购买服务项目合同》及项目支付材料，项目实施单位应当按月支付合同约定服务费用，实际支付费用频次约为两月一次，未按月及时拨付合同费用。</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该指标满分为8分，根据评分标准得4分。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有效</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较有效</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8</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50%</w:t>
            </w:r>
          </w:p>
        </w:tc>
      </w:tr>
      <w:tr>
        <w:tblPrEx>
          <w:tblCellMar>
            <w:top w:w="0" w:type="dxa"/>
            <w:left w:w="51" w:type="dxa"/>
            <w:bottom w:w="0" w:type="dxa"/>
            <w:right w:w="51" w:type="dxa"/>
          </w:tblCellMar>
        </w:tblPrEx>
        <w:trPr>
          <w:trHeight w:val="261" w:hRule="atLeast"/>
        </w:trPr>
        <w:tc>
          <w:tcPr>
            <w:tcW w:w="226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小计</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000000"/>
                <w:kern w:val="0"/>
                <w:sz w:val="13"/>
                <w:szCs w:val="13"/>
                <w:lang w:bidi="ar"/>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25</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21</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84%</w:t>
            </w:r>
          </w:p>
        </w:tc>
      </w:tr>
      <w:tr>
        <w:tblPrEx>
          <w:tblCellMar>
            <w:top w:w="0" w:type="dxa"/>
            <w:left w:w="51" w:type="dxa"/>
            <w:bottom w:w="0" w:type="dxa"/>
            <w:right w:w="51" w:type="dxa"/>
          </w:tblCellMar>
        </w:tblPrEx>
        <w:trPr>
          <w:trHeight w:val="261"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C产出（35分）</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C1产出数量（16分）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C11参与环卫服务工作人员数量</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项目实施的实际产出数与计划产出数的比率，用以反映和考核项目产出数量目标的实现程度。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实际完成率=（实际产出数/计划产出数）×100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①绩效目标超额完成，得满分；</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②绩效目标未完成，若60%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完成率&lt;100%，得分=（实际完成率-60%）/（</w:t>
            </w:r>
            <w:r>
              <w:rPr>
                <w:rFonts w:hint="eastAsia" w:eastAsia="宋体" w:cs="Times New Roman"/>
                <w:color w:val="000000"/>
                <w:kern w:val="0"/>
                <w:sz w:val="13"/>
                <w:szCs w:val="13"/>
                <w:lang w:eastAsia="zh-CN" w:bidi="ar"/>
              </w:rPr>
              <w:t>1-60%</w:t>
            </w:r>
            <w:r>
              <w:rPr>
                <w:rFonts w:hint="default" w:ascii="Times New Roman" w:hAnsi="Times New Roman" w:eastAsia="宋体" w:cs="Times New Roman"/>
                <w:color w:val="000000"/>
                <w:kern w:val="0"/>
                <w:sz w:val="13"/>
                <w:szCs w:val="13"/>
                <w:lang w:bidi="ar"/>
              </w:rPr>
              <w:t>）×权重分值；若完成率&lt;60%，得0分。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经查阅《巴楚县城区环卫市场化购买服务项目合同》，项目计划保障日常参与环卫服务工作人员152名。根据环卫公司2023年</w:t>
            </w:r>
            <w:r>
              <w:rPr>
                <w:rFonts w:hint="eastAsia" w:eastAsia="宋体" w:cs="Times New Roman"/>
                <w:color w:val="000000"/>
                <w:kern w:val="0"/>
                <w:sz w:val="13"/>
                <w:szCs w:val="13"/>
                <w:lang w:eastAsia="zh-CN" w:bidi="ar"/>
              </w:rPr>
              <w:t>1~12</w:t>
            </w:r>
            <w:r>
              <w:rPr>
                <w:rFonts w:hint="default" w:ascii="Times New Roman" w:hAnsi="Times New Roman" w:eastAsia="宋体" w:cs="Times New Roman"/>
                <w:color w:val="000000"/>
                <w:kern w:val="0"/>
                <w:sz w:val="13"/>
                <w:szCs w:val="13"/>
                <w:lang w:bidi="ar"/>
              </w:rPr>
              <w:t>月工资表，环卫人员存在变动，平均保障参与日常环卫服务工作人员146名，实际完成率96.05%，根据评分标准，得分=（实际完成率-60%）/（</w:t>
            </w:r>
            <w:r>
              <w:rPr>
                <w:rFonts w:hint="eastAsia" w:eastAsia="宋体" w:cs="Times New Roman"/>
                <w:color w:val="000000"/>
                <w:kern w:val="0"/>
                <w:sz w:val="13"/>
                <w:szCs w:val="13"/>
                <w:lang w:eastAsia="zh-CN" w:bidi="ar"/>
              </w:rPr>
              <w:t>1-60%</w:t>
            </w:r>
            <w:r>
              <w:rPr>
                <w:rFonts w:hint="default" w:ascii="Times New Roman" w:hAnsi="Times New Roman" w:eastAsia="宋体" w:cs="Times New Roman"/>
                <w:color w:val="000000"/>
                <w:kern w:val="0"/>
                <w:sz w:val="13"/>
                <w:szCs w:val="13"/>
                <w:lang w:bidi="ar"/>
              </w:rPr>
              <w:t>）×权重分值=（96.05%</w:t>
            </w:r>
            <w:r>
              <w:rPr>
                <w:rFonts w:hint="eastAsia" w:eastAsia="宋体" w:cs="Times New Roman"/>
                <w:color w:val="000000"/>
                <w:kern w:val="0"/>
                <w:sz w:val="13"/>
                <w:szCs w:val="13"/>
                <w:lang w:val="en-US" w:eastAsia="zh-CN" w:bidi="ar"/>
              </w:rPr>
              <w:t>-</w:t>
            </w:r>
            <w:r>
              <w:rPr>
                <w:rFonts w:hint="default" w:ascii="Times New Roman" w:hAnsi="Times New Roman" w:eastAsia="宋体" w:cs="Times New Roman"/>
                <w:color w:val="000000"/>
                <w:kern w:val="0"/>
                <w:sz w:val="13"/>
                <w:szCs w:val="13"/>
                <w:lang w:bidi="ar"/>
              </w:rPr>
              <w:t>60%）/（</w:t>
            </w:r>
            <w:r>
              <w:rPr>
                <w:rFonts w:hint="eastAsia" w:eastAsia="宋体" w:cs="Times New Roman"/>
                <w:color w:val="000000"/>
                <w:kern w:val="0"/>
                <w:sz w:val="13"/>
                <w:szCs w:val="13"/>
                <w:lang w:eastAsia="zh-CN" w:bidi="ar"/>
              </w:rPr>
              <w:t>1-60%</w:t>
            </w:r>
            <w:r>
              <w:rPr>
                <w:rFonts w:hint="default" w:ascii="Times New Roman" w:hAnsi="Times New Roman" w:eastAsia="宋体" w:cs="Times New Roman"/>
                <w:color w:val="000000"/>
                <w:kern w:val="0"/>
                <w:sz w:val="13"/>
                <w:szCs w:val="13"/>
                <w:lang w:bidi="ar"/>
              </w:rPr>
              <w:t>）×5=4.51分。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该指标满分为4分，根据评分标准得3.61分。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152人</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146人</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4</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3.61</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90.25%</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C12保障城区道路清洁数量</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项目实施的实际产出数与计划产出数的比率，用以反映和考核项目产出数量目标的实现程度。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实际完成率=（实际产出数/计划产出数）×100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①绩效目标超额完成，得满分；</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②绩效目标未完成，若60%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完成率&lt;100%，得分=（实际完成率-60%）/（</w:t>
            </w:r>
            <w:r>
              <w:rPr>
                <w:rFonts w:hint="eastAsia" w:eastAsia="宋体" w:cs="Times New Roman"/>
                <w:color w:val="000000"/>
                <w:kern w:val="0"/>
                <w:sz w:val="13"/>
                <w:szCs w:val="13"/>
                <w:lang w:eastAsia="zh-CN" w:bidi="ar"/>
              </w:rPr>
              <w:t>1-60%</w:t>
            </w:r>
            <w:r>
              <w:rPr>
                <w:rFonts w:hint="default" w:ascii="Times New Roman" w:hAnsi="Times New Roman" w:eastAsia="宋体" w:cs="Times New Roman"/>
                <w:color w:val="000000"/>
                <w:kern w:val="0"/>
                <w:sz w:val="13"/>
                <w:szCs w:val="13"/>
                <w:lang w:bidi="ar"/>
              </w:rPr>
              <w:t>）×权重分值；若完成率&lt;60%，得0分。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经查阅《巴楚县城区环卫市场化购买服务项目合同》以及项目实施月度绩效考核记录和相关工作总结等资料，项目运营单位按照日常工作完成巴楚县23条道路及工业园区道路的清扫保洁及公共设施的维护管理工作，达成预期指标，根据评分标准，得满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该指标满分为4分，根据评分标准得4分。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23条</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23条</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4</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C13保障广场公园清洁数量</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项目实施的实际产出数与计划产出数的比率，用以反映和考核项目产出数量目标的实现程度。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实际完成率=（实际产出数/计划产出数）×100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①绩效目标超额完成，得满分；</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②绩效目标未完成，若60%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完成率&lt;100%，得分=（实际完成率-60%）/（</w:t>
            </w:r>
            <w:r>
              <w:rPr>
                <w:rFonts w:hint="eastAsia" w:eastAsia="宋体" w:cs="Times New Roman"/>
                <w:color w:val="000000"/>
                <w:kern w:val="0"/>
                <w:sz w:val="13"/>
                <w:szCs w:val="13"/>
                <w:lang w:eastAsia="zh-CN" w:bidi="ar"/>
              </w:rPr>
              <w:t>1-60%</w:t>
            </w:r>
            <w:r>
              <w:rPr>
                <w:rFonts w:hint="default" w:ascii="Times New Roman" w:hAnsi="Times New Roman" w:eastAsia="宋体" w:cs="Times New Roman"/>
                <w:color w:val="000000"/>
                <w:kern w:val="0"/>
                <w:sz w:val="13"/>
                <w:szCs w:val="13"/>
                <w:lang w:bidi="ar"/>
              </w:rPr>
              <w:t>）×权重分值；若完成率&lt;60%，得0分。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经查阅《巴楚县城区环卫市场化购买服务项目合同》以及项目实施月度绩效考核记录和相关工作总结等资料，项目运营单位按照日常工作完成巴楚县6个公园广场的清扫保洁及公共设施的维护管理工作。其中，2023年巴楚县新增一个公园，纳入环卫公司清扫工作范围。根据评分标准，得满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该指标满分为4分，根据评分标准得4分。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5个</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6个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4</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C14日产清运垃圾量</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项目实施的实际产出数与计划产出数的比率，用以反映和考核项目产出数量目标的实现程度。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实际完成率=（实际产出数/计划产出数）×100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①绩效目标超额完成，得满分；</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②绩效目标未完成，若60%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完成率&lt;100%，得分=（实际完成率-60%）/（</w:t>
            </w:r>
            <w:r>
              <w:rPr>
                <w:rFonts w:hint="eastAsia" w:eastAsia="宋体" w:cs="Times New Roman"/>
                <w:color w:val="000000"/>
                <w:kern w:val="0"/>
                <w:sz w:val="13"/>
                <w:szCs w:val="13"/>
                <w:lang w:eastAsia="zh-CN" w:bidi="ar"/>
              </w:rPr>
              <w:t>1-60%</w:t>
            </w:r>
            <w:r>
              <w:rPr>
                <w:rFonts w:hint="default" w:ascii="Times New Roman" w:hAnsi="Times New Roman" w:eastAsia="宋体" w:cs="Times New Roman"/>
                <w:color w:val="000000"/>
                <w:kern w:val="0"/>
                <w:sz w:val="13"/>
                <w:szCs w:val="13"/>
                <w:lang w:bidi="ar"/>
              </w:rPr>
              <w:t>）×权重分值；若完成率&lt;60%，得0分。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经查阅项目工作计划、《巴楚县城区环卫市场化购买服务项目合同》《2023年瑞祥居生活垃圾填埋汇总表》，项目运营单位2023年平均日产清运垃圾18.83吨，未达到日产清运垃圾23吨，实际完成率81.87%，得分=（实际完成率-60%）/（</w:t>
            </w:r>
            <w:r>
              <w:rPr>
                <w:rFonts w:hint="eastAsia" w:eastAsia="宋体" w:cs="Times New Roman"/>
                <w:color w:val="000000"/>
                <w:kern w:val="0"/>
                <w:sz w:val="13"/>
                <w:szCs w:val="13"/>
                <w:lang w:eastAsia="zh-CN" w:bidi="ar"/>
              </w:rPr>
              <w:t>1-60%</w:t>
            </w:r>
            <w:r>
              <w:rPr>
                <w:rFonts w:hint="default" w:ascii="Times New Roman" w:hAnsi="Times New Roman" w:eastAsia="宋体" w:cs="Times New Roman"/>
                <w:color w:val="000000"/>
                <w:kern w:val="0"/>
                <w:sz w:val="13"/>
                <w:szCs w:val="13"/>
                <w:lang w:bidi="ar"/>
              </w:rPr>
              <w:t>）×权重分值=（</w:t>
            </w:r>
            <w:r>
              <w:rPr>
                <w:rFonts w:hint="eastAsia" w:eastAsia="宋体" w:cs="Times New Roman"/>
                <w:color w:val="000000"/>
                <w:kern w:val="0"/>
                <w:sz w:val="13"/>
                <w:szCs w:val="13"/>
                <w:lang w:eastAsia="zh-CN" w:bidi="ar"/>
              </w:rPr>
              <w:t>81.87%</w:t>
            </w:r>
            <w:r>
              <w:rPr>
                <w:rFonts w:hint="eastAsia" w:eastAsia="宋体" w:cs="Times New Roman"/>
                <w:color w:val="000000"/>
                <w:kern w:val="0"/>
                <w:sz w:val="13"/>
                <w:szCs w:val="13"/>
                <w:lang w:val="en-US" w:eastAsia="zh-CN" w:bidi="ar"/>
              </w:rPr>
              <w:t>-</w:t>
            </w:r>
            <w:r>
              <w:rPr>
                <w:rFonts w:hint="eastAsia" w:eastAsia="宋体" w:cs="Times New Roman"/>
                <w:color w:val="000000"/>
                <w:kern w:val="0"/>
                <w:sz w:val="13"/>
                <w:szCs w:val="13"/>
                <w:lang w:eastAsia="zh-CN" w:bidi="ar"/>
              </w:rPr>
              <w:t>60</w:t>
            </w:r>
            <w:r>
              <w:rPr>
                <w:rFonts w:hint="default" w:ascii="Times New Roman" w:hAnsi="Times New Roman" w:eastAsia="宋体" w:cs="Times New Roman"/>
                <w:color w:val="000000"/>
                <w:kern w:val="0"/>
                <w:sz w:val="13"/>
                <w:szCs w:val="13"/>
                <w:lang w:bidi="ar"/>
              </w:rPr>
              <w:t>%）/（</w:t>
            </w:r>
            <w:r>
              <w:rPr>
                <w:rFonts w:hint="eastAsia" w:eastAsia="宋体" w:cs="Times New Roman"/>
                <w:color w:val="000000"/>
                <w:kern w:val="0"/>
                <w:sz w:val="13"/>
                <w:szCs w:val="13"/>
                <w:lang w:eastAsia="zh-CN" w:bidi="ar"/>
              </w:rPr>
              <w:t>1-60%</w:t>
            </w:r>
            <w:r>
              <w:rPr>
                <w:rFonts w:hint="default" w:ascii="Times New Roman" w:hAnsi="Times New Roman" w:eastAsia="宋体" w:cs="Times New Roman"/>
                <w:color w:val="000000"/>
                <w:kern w:val="0"/>
                <w:sz w:val="13"/>
                <w:szCs w:val="13"/>
                <w:lang w:bidi="ar"/>
              </w:rPr>
              <w:t>）×5=2.19分。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该指标满分为4分，根据评分标准得2.19分。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23吨</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18.83吨</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4</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2.19</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54.75%</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restart"/>
            <w:tcBorders>
              <w:top w:val="single" w:color="000000" w:sz="4" w:space="0"/>
              <w:left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C2产出质量（</w:t>
            </w:r>
            <w:r>
              <w:rPr>
                <w:rFonts w:hint="default" w:ascii="Times New Roman" w:hAnsi="Times New Roman" w:eastAsia="宋体" w:cs="Times New Roman"/>
                <w:color w:val="000000"/>
                <w:kern w:val="0"/>
                <w:sz w:val="13"/>
                <w:szCs w:val="13"/>
                <w:lang w:val="en-US" w:eastAsia="zh-CN" w:bidi="ar"/>
              </w:rPr>
              <w:t>7</w:t>
            </w:r>
            <w:r>
              <w:rPr>
                <w:rFonts w:hint="default" w:ascii="Times New Roman" w:hAnsi="Times New Roman" w:eastAsia="宋体" w:cs="Times New Roman"/>
                <w:color w:val="000000"/>
                <w:kern w:val="0"/>
                <w:sz w:val="13"/>
                <w:szCs w:val="13"/>
                <w:lang w:bidi="ar"/>
              </w:rPr>
              <w:t>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C21月度工作考核合格率</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项目完成的质量达标产出数与实际产出数的比率，用以反映和考核项目产出质量目标的实现程度。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实际完成率=实际合格数/计划数×100%。</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实际完成率符合预期指标值得满分；预期指标未完成，且实际完成率大于60%的，按超过的比重赋分，计算公式为：得分=（实际完成率-60%）/（</w:t>
            </w:r>
            <w:r>
              <w:rPr>
                <w:rFonts w:hint="eastAsia" w:eastAsia="宋体" w:cs="Times New Roman"/>
                <w:color w:val="000000"/>
                <w:kern w:val="0"/>
                <w:sz w:val="13"/>
                <w:szCs w:val="13"/>
                <w:lang w:eastAsia="zh-CN" w:bidi="ar"/>
              </w:rPr>
              <w:t>1-60%</w:t>
            </w:r>
            <w:r>
              <w:rPr>
                <w:rFonts w:hint="default" w:ascii="Times New Roman" w:hAnsi="Times New Roman" w:eastAsia="宋体" w:cs="Times New Roman"/>
                <w:color w:val="000000"/>
                <w:kern w:val="0"/>
                <w:sz w:val="13"/>
                <w:szCs w:val="13"/>
                <w:lang w:bidi="ar"/>
              </w:rPr>
              <w:t>）×指标分值；完成率小于60%为不及格，不得分。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根据项目实施单位提供202年度</w:t>
            </w:r>
            <w:r>
              <w:rPr>
                <w:rFonts w:hint="eastAsia" w:eastAsia="宋体" w:cs="Times New Roman"/>
                <w:color w:val="000000"/>
                <w:kern w:val="0"/>
                <w:sz w:val="13"/>
                <w:szCs w:val="13"/>
                <w:lang w:eastAsia="zh-CN" w:bidi="ar"/>
              </w:rPr>
              <w:t>1~12</w:t>
            </w:r>
            <w:r>
              <w:rPr>
                <w:rFonts w:hint="default" w:ascii="Times New Roman" w:hAnsi="Times New Roman" w:eastAsia="宋体" w:cs="Times New Roman"/>
                <w:color w:val="000000"/>
                <w:kern w:val="0"/>
                <w:sz w:val="13"/>
                <w:szCs w:val="13"/>
                <w:lang w:bidi="ar"/>
              </w:rPr>
              <w:t>月份的《城区道路清扫保洁及垃圾清运项目考核表》及考核细则，2023年</w:t>
            </w:r>
            <w:r>
              <w:rPr>
                <w:rFonts w:hint="eastAsia" w:eastAsia="宋体" w:cs="Times New Roman"/>
                <w:color w:val="000000"/>
                <w:kern w:val="0"/>
                <w:sz w:val="13"/>
                <w:szCs w:val="13"/>
                <w:lang w:eastAsia="zh-CN" w:bidi="ar"/>
              </w:rPr>
              <w:t>1月~12月</w:t>
            </w:r>
            <w:r>
              <w:rPr>
                <w:rFonts w:hint="default" w:ascii="Times New Roman" w:hAnsi="Times New Roman" w:eastAsia="宋体" w:cs="Times New Roman"/>
                <w:color w:val="000000"/>
                <w:kern w:val="0"/>
                <w:sz w:val="13"/>
                <w:szCs w:val="13"/>
                <w:lang w:bidi="ar"/>
              </w:rPr>
              <w:t>城区日常工作考核成绩均在90分以上，平均分91.23分，考核结果均为优秀。达成预期指标，根据评分标准，得满分。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该指标满分为4分，根据评分标准得4分。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val="en-US" w:eastAsia="zh-CN" w:bidi="ar"/>
              </w:rPr>
              <w:t>4</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val="en-US" w:eastAsia="zh-CN"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continue"/>
            <w:tcBorders>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i w:val="0"/>
                <w:iCs w:val="0"/>
                <w:color w:val="000000"/>
                <w:kern w:val="0"/>
                <w:sz w:val="13"/>
                <w:szCs w:val="13"/>
                <w:u w:val="none"/>
                <w:lang w:val="en-US" w:eastAsia="zh-CN" w:bidi="ar"/>
              </w:rPr>
              <w:t>C22作业绩效考核完整性</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i w:val="0"/>
                <w:iCs w:val="0"/>
                <w:color w:val="000000"/>
                <w:kern w:val="0"/>
                <w:sz w:val="13"/>
                <w:szCs w:val="13"/>
                <w:u w:val="none"/>
                <w:lang w:val="en-US" w:eastAsia="zh-CN" w:bidi="ar"/>
              </w:rPr>
              <w:t>项目完成的质量达标产出数与实际产出数的比率，用以反映和考核项目产出质量目标的实现程度。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both"/>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i w:val="0"/>
                <w:iCs w:val="0"/>
                <w:color w:val="000000"/>
                <w:kern w:val="0"/>
                <w:sz w:val="13"/>
                <w:szCs w:val="13"/>
                <w:u w:val="none"/>
                <w:lang w:val="en-US" w:eastAsia="zh-CN" w:bidi="ar"/>
              </w:rPr>
              <w:t>实际完成率=实际合格数/计划数×100%。</w:t>
            </w:r>
            <w:r>
              <w:rPr>
                <w:rFonts w:hint="default" w:ascii="Times New Roman" w:hAnsi="Times New Roman" w:eastAsia="宋体" w:cs="Times New Roman"/>
                <w:i w:val="0"/>
                <w:iCs w:val="0"/>
                <w:color w:val="000000"/>
                <w:kern w:val="0"/>
                <w:sz w:val="13"/>
                <w:szCs w:val="13"/>
                <w:u w:val="none"/>
                <w:lang w:val="en-US" w:eastAsia="zh-CN" w:bidi="ar"/>
              </w:rPr>
              <w:br w:type="textWrapping"/>
            </w:r>
            <w:r>
              <w:rPr>
                <w:rFonts w:hint="default" w:ascii="Times New Roman" w:hAnsi="Times New Roman" w:eastAsia="宋体" w:cs="Times New Roman"/>
                <w:i w:val="0"/>
                <w:iCs w:val="0"/>
                <w:color w:val="000000"/>
                <w:kern w:val="0"/>
                <w:sz w:val="13"/>
                <w:szCs w:val="13"/>
                <w:u w:val="none"/>
                <w:lang w:val="en-US" w:eastAsia="zh-CN" w:bidi="ar"/>
              </w:rPr>
              <w:t>实际完成率符合预期指标值得满分；预期指标未完成，且实际完成率大于60%的，按超过的比重赋分，计算公式为：得分=（实际完成率-60%）/（</w:t>
            </w:r>
            <w:r>
              <w:rPr>
                <w:rFonts w:hint="eastAsia" w:eastAsia="宋体" w:cs="Times New Roman"/>
                <w:i w:val="0"/>
                <w:iCs w:val="0"/>
                <w:color w:val="000000"/>
                <w:kern w:val="0"/>
                <w:sz w:val="13"/>
                <w:szCs w:val="13"/>
                <w:u w:val="none"/>
                <w:lang w:val="en-US" w:eastAsia="zh-CN" w:bidi="ar"/>
              </w:rPr>
              <w:t>1-60%</w:t>
            </w:r>
            <w:r>
              <w:rPr>
                <w:rFonts w:hint="default" w:ascii="Times New Roman" w:hAnsi="Times New Roman" w:eastAsia="宋体" w:cs="Times New Roman"/>
                <w:i w:val="0"/>
                <w:iCs w:val="0"/>
                <w:color w:val="000000"/>
                <w:kern w:val="0"/>
                <w:sz w:val="13"/>
                <w:szCs w:val="13"/>
                <w:u w:val="none"/>
                <w:lang w:val="en-US" w:eastAsia="zh-CN" w:bidi="ar"/>
              </w:rPr>
              <w:t>）×指标分值；完成率小于60%为不及格，不得分。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both"/>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根据服务合同、《城区道路清扫保洁及垃圾清运项目考核表》及考核细则，巴楚县住房和城乡建设局负责人根据合同约定作业内容，结合《巴楚县城区保洁作业标准及考核标准》和《巴楚县环境卫生作业质量标准》，针对作业现场机械及人员落实情况、是否统一着装、道路干净程度、垃圾是否及时收集及清运、垃圾箱清掏及周围卫生是否达标、沿街广告是否及时清理、群众是否投诉等方面进行了全面考核，作业绩效考核完整。达成预期指标，根据评分标准，得满分。</w:t>
            </w:r>
          </w:p>
          <w:p>
            <w:pPr>
              <w:keepNext w:val="0"/>
              <w:keepLines w:val="0"/>
              <w:pageBreakBefore w:val="0"/>
              <w:widowControl/>
              <w:suppressLineNumbers w:val="0"/>
              <w:kinsoku/>
              <w:wordWrap/>
              <w:overflowPunct/>
              <w:topLinePunct w:val="0"/>
              <w:autoSpaceDE/>
              <w:autoSpaceDN/>
              <w:bidi w:val="0"/>
              <w:spacing w:line="360" w:lineRule="exact"/>
              <w:ind w:firstLine="0" w:firstLineChars="0"/>
              <w:jc w:val="both"/>
              <w:textAlignment w:val="center"/>
              <w:rPr>
                <w:rFonts w:hint="default" w:ascii="Times New Roman" w:hAnsi="Times New Roman" w:eastAsia="宋体" w:cs="Times New Roman"/>
                <w:i w:val="0"/>
                <w:iCs w:val="0"/>
                <w:color w:val="000000"/>
                <w:kern w:val="0"/>
                <w:sz w:val="13"/>
                <w:szCs w:val="13"/>
                <w:u w:val="none"/>
                <w:lang w:val="en-US" w:eastAsia="zh-CN" w:bidi="ar"/>
              </w:rPr>
            </w:pPr>
            <w:r>
              <w:rPr>
                <w:rFonts w:hint="default" w:ascii="Times New Roman" w:hAnsi="Times New Roman" w:eastAsia="宋体" w:cs="Times New Roman"/>
                <w:i w:val="0"/>
                <w:iCs w:val="0"/>
                <w:color w:val="000000"/>
                <w:kern w:val="0"/>
                <w:sz w:val="13"/>
                <w:szCs w:val="13"/>
                <w:u w:val="none"/>
                <w:lang w:val="en-US" w:eastAsia="zh-CN" w:bidi="ar"/>
              </w:rPr>
              <w:t>该指标满分为3分，根据评分标准得3分。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i w:val="0"/>
                <w:iCs w:val="0"/>
                <w:color w:val="000000"/>
                <w:kern w:val="0"/>
                <w:sz w:val="13"/>
                <w:szCs w:val="13"/>
                <w:u w:val="none"/>
                <w:lang w:val="en-US" w:eastAsia="zh-CN" w:bidi="ar"/>
              </w:rPr>
              <w:t>100%</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i w:val="0"/>
                <w:iCs w:val="0"/>
                <w:color w:val="000000"/>
                <w:kern w:val="0"/>
                <w:sz w:val="13"/>
                <w:szCs w:val="13"/>
                <w:u w:val="none"/>
                <w:lang w:val="en-US" w:eastAsia="zh-CN" w:bidi="ar"/>
              </w:rPr>
              <w:t>100%</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i w:val="0"/>
                <w:iCs w:val="0"/>
                <w:color w:val="000000"/>
                <w:kern w:val="0"/>
                <w:sz w:val="13"/>
                <w:szCs w:val="13"/>
                <w:u w:val="none"/>
                <w:lang w:val="en-US" w:eastAsia="zh-CN" w:bidi="ar"/>
              </w:rPr>
              <w:t xml:space="preserve">3 </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i w:val="0"/>
                <w:iCs w:val="0"/>
                <w:color w:val="000000"/>
                <w:kern w:val="0"/>
                <w:sz w:val="13"/>
                <w:szCs w:val="13"/>
                <w:u w:val="none"/>
                <w:lang w:val="en-US" w:eastAsia="zh-CN" w:bidi="ar"/>
              </w:rPr>
              <w:t xml:space="preserve">3 </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i w:val="0"/>
                <w:iCs w:val="0"/>
                <w:color w:val="000000"/>
                <w:kern w:val="0"/>
                <w:sz w:val="13"/>
                <w:szCs w:val="13"/>
                <w:u w:val="none"/>
                <w:lang w:val="en-US" w:eastAsia="zh-CN"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C3产出时效（</w:t>
            </w:r>
            <w:r>
              <w:rPr>
                <w:rFonts w:hint="default" w:ascii="Times New Roman" w:hAnsi="Times New Roman" w:eastAsia="宋体" w:cs="Times New Roman"/>
                <w:color w:val="000000"/>
                <w:kern w:val="0"/>
                <w:sz w:val="13"/>
                <w:szCs w:val="13"/>
                <w:lang w:val="en-US" w:eastAsia="zh-CN" w:bidi="ar"/>
              </w:rPr>
              <w:t>7</w:t>
            </w:r>
            <w:r>
              <w:rPr>
                <w:rFonts w:hint="default" w:ascii="Times New Roman" w:hAnsi="Times New Roman" w:eastAsia="宋体" w:cs="Times New Roman"/>
                <w:color w:val="000000"/>
                <w:kern w:val="0"/>
                <w:sz w:val="13"/>
                <w:szCs w:val="13"/>
                <w:lang w:bidi="ar"/>
              </w:rPr>
              <w:t>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C31服务时长</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项目实际完成时间与计划完成时间的比较，用以反映和考核项目产出时效目标的实现程度。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实际完成率=实际服务时长/计划服务时长×100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实际完成率符合预期指标值得满分；预期指标未完成，且实际完成率大于60%的，按超过的比重赋分，计算公式为：得分=（实际完成率-60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w:t>
            </w:r>
            <w:r>
              <w:rPr>
                <w:rFonts w:hint="eastAsia" w:eastAsia="宋体" w:cs="Times New Roman"/>
                <w:color w:val="000000"/>
                <w:kern w:val="0"/>
                <w:sz w:val="13"/>
                <w:szCs w:val="13"/>
                <w:lang w:eastAsia="zh-CN" w:bidi="ar"/>
              </w:rPr>
              <w:t>（1-60%）</w:t>
            </w:r>
            <w:r>
              <w:rPr>
                <w:rFonts w:hint="default" w:ascii="Times New Roman" w:hAnsi="Times New Roman" w:eastAsia="宋体" w:cs="Times New Roman"/>
                <w:color w:val="000000"/>
                <w:kern w:val="0"/>
                <w:sz w:val="13"/>
                <w:szCs w:val="13"/>
                <w:lang w:bidi="ar"/>
              </w:rPr>
              <w:t>×指标分值；完成率小于60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为不及格，不得分。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根据工资表、《城区道路清扫保洁及垃圾清运项目考核表》及相关总结等资料，2023年完成</w:t>
            </w:r>
            <w:r>
              <w:rPr>
                <w:rFonts w:hint="eastAsia" w:eastAsia="宋体" w:cs="Times New Roman"/>
                <w:color w:val="000000"/>
                <w:kern w:val="0"/>
                <w:sz w:val="13"/>
                <w:szCs w:val="13"/>
                <w:lang w:eastAsia="zh-CN" w:bidi="ar"/>
              </w:rPr>
              <w:t>1月~12月</w:t>
            </w:r>
            <w:r>
              <w:rPr>
                <w:rFonts w:hint="default" w:ascii="Times New Roman" w:hAnsi="Times New Roman" w:eastAsia="宋体" w:cs="Times New Roman"/>
                <w:color w:val="000000"/>
                <w:kern w:val="0"/>
                <w:sz w:val="13"/>
                <w:szCs w:val="13"/>
                <w:lang w:bidi="ar"/>
              </w:rPr>
              <w:t>城区道路清扫保洁及垃圾清运等日常工作，服务时长达到12个月，根据评分标准，得满分。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该指标满分为4分，根据评分标准得4分。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=12个月</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12个月</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4</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4</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C32绩效考核及时率</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项目实际完成时间与计划完成时间的比较，用以反映和考核项目产出时效目标的实现程度。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实际完成率=实际及时开展次数/应开展次数×100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实际完成率符合预期指标值得满分；预期指标未完成，且实际完成率大于60%的，按超过的比重赋分，计算公式为：得分=（实际完成率-60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w:t>
            </w:r>
            <w:r>
              <w:rPr>
                <w:rFonts w:hint="eastAsia" w:eastAsia="宋体" w:cs="Times New Roman"/>
                <w:color w:val="000000"/>
                <w:kern w:val="0"/>
                <w:sz w:val="13"/>
                <w:szCs w:val="13"/>
                <w:lang w:eastAsia="zh-CN" w:bidi="ar"/>
              </w:rPr>
              <w:t>（1-60%）</w:t>
            </w:r>
            <w:r>
              <w:rPr>
                <w:rFonts w:hint="default" w:ascii="Times New Roman" w:hAnsi="Times New Roman" w:eastAsia="宋体" w:cs="Times New Roman"/>
                <w:color w:val="000000"/>
                <w:kern w:val="0"/>
                <w:sz w:val="13"/>
                <w:szCs w:val="13"/>
                <w:lang w:bidi="ar"/>
              </w:rPr>
              <w:t>×指标分值；完成率小于60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为不及格，不得分。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根据《巴楚县城区环卫市场化购买服务项目合同》《城区道路清扫保洁及垃圾清运项目考核表》，项目实施单位负责人每月底随机抽查作业区域开展作业质量考核，现场审核打分并整改到位，项目实施单位绩效考核及时，达成预期指标，根据评分标准，得满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该指标满分为3分，根据评分标准得3分。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val="en-US" w:eastAsia="zh-CN" w:bidi="ar"/>
              </w:rPr>
              <w:t>3</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val="en-US" w:eastAsia="zh-CN" w:bidi="ar"/>
              </w:rPr>
              <w:t>3</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C4产出成本（5分）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C41月度服务费用</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完成项目实际成本与计划成本的比率，用以反映和考核项目的成本控制程度。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指标完成率=</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实际成本/计划成本</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×100%；若指标完成率</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100%，按指标完成率作为权重得分；若指标完成率大于100%，不得分。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经查阅《巴楚县城区环卫市场化购买服务项目合同》、资金支付材料，项目全年运营费用778.72万元，每月应支付64.89万元，实际每月支付64.89万元，根据评分标准，得满分。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该指标满分为4分，根据评分标准得4分。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=64.89万元/月</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64.89万元/月</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5</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5</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26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小计</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000000"/>
                <w:kern w:val="0"/>
                <w:sz w:val="13"/>
                <w:szCs w:val="13"/>
                <w:lang w:bidi="ar"/>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35</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32</w:t>
            </w:r>
            <w:r>
              <w:rPr>
                <w:rFonts w:hint="eastAsia" w:eastAsia="宋体" w:cs="Times New Roman"/>
                <w:color w:val="000000"/>
                <w:kern w:val="0"/>
                <w:sz w:val="13"/>
                <w:szCs w:val="13"/>
                <w:lang w:eastAsia="zh-CN" w:bidi="ar"/>
              </w:rPr>
              <w:t>.8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93.71%</w:t>
            </w:r>
          </w:p>
        </w:tc>
      </w:tr>
      <w:tr>
        <w:tblPrEx>
          <w:tblCellMar>
            <w:top w:w="0" w:type="dxa"/>
            <w:left w:w="51" w:type="dxa"/>
            <w:bottom w:w="0" w:type="dxa"/>
            <w:right w:w="51" w:type="dxa"/>
          </w:tblCellMar>
        </w:tblPrEx>
        <w:trPr>
          <w:trHeight w:val="261"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D效益（30分）</w:t>
            </w: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D1社会效益指标（20分）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D11优化城区公共区域卫生环境，提高环卫服务水平</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社会公众或服务对象对项目实施效果的满意程度。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指标完成率=∑样本数（“显著”×1.0+“较大”×0.8+“一般”×0.6+“较差”×0.3+“无”×0）/总样本数×100%。</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实际完成值分为基本达成目标、部分实现目标、实现目标程度较低三个档次</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并分别按照该指标对应分值区间</w:t>
            </w:r>
            <w:r>
              <w:rPr>
                <w:rFonts w:hint="eastAsia" w:eastAsia="宋体" w:cs="Times New Roman"/>
                <w:color w:val="000000"/>
                <w:kern w:val="0"/>
                <w:sz w:val="13"/>
                <w:szCs w:val="13"/>
                <w:lang w:eastAsia="zh-CN" w:bidi="ar"/>
              </w:rPr>
              <w:t>100%~80%（</w:t>
            </w:r>
            <w:r>
              <w:rPr>
                <w:rFonts w:hint="default" w:ascii="Times New Roman" w:hAnsi="Times New Roman" w:eastAsia="宋体" w:cs="Times New Roman"/>
                <w:color w:val="000000"/>
                <w:kern w:val="0"/>
                <w:sz w:val="13"/>
                <w:szCs w:val="13"/>
                <w:lang w:bidi="ar"/>
              </w:rPr>
              <w:t>含</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、80%-60%（含</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w:t>
            </w:r>
            <w:r>
              <w:rPr>
                <w:rFonts w:hint="eastAsia" w:eastAsia="宋体" w:cs="Times New Roman"/>
                <w:color w:val="000000"/>
                <w:kern w:val="0"/>
                <w:sz w:val="13"/>
                <w:szCs w:val="13"/>
                <w:lang w:eastAsia="zh-CN" w:bidi="ar"/>
              </w:rPr>
              <w:t>60%~0%</w:t>
            </w:r>
            <w:r>
              <w:rPr>
                <w:rFonts w:hint="default" w:ascii="Times New Roman" w:hAnsi="Times New Roman" w:eastAsia="宋体" w:cs="Times New Roman"/>
                <w:color w:val="000000"/>
                <w:kern w:val="0"/>
                <w:sz w:val="13"/>
                <w:szCs w:val="13"/>
                <w:lang w:bidi="ar"/>
              </w:rPr>
              <w:t>合理确定分值。</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①指标完成率在</w:t>
            </w:r>
            <w:r>
              <w:rPr>
                <w:rFonts w:hint="eastAsia" w:eastAsia="宋体" w:cs="Times New Roman"/>
                <w:color w:val="000000"/>
                <w:kern w:val="0"/>
                <w:sz w:val="13"/>
                <w:szCs w:val="13"/>
                <w:lang w:eastAsia="zh-CN" w:bidi="ar"/>
              </w:rPr>
              <w:t>100%~80%</w:t>
            </w:r>
            <w:r>
              <w:rPr>
                <w:rFonts w:hint="default" w:ascii="Times New Roman" w:hAnsi="Times New Roman" w:eastAsia="宋体" w:cs="Times New Roman"/>
                <w:color w:val="000000"/>
                <w:kern w:val="0"/>
                <w:sz w:val="13"/>
                <w:szCs w:val="13"/>
                <w:lang w:bidi="ar"/>
              </w:rPr>
              <w:t>之间，得满分；</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②指标完成率在</w:t>
            </w:r>
            <w:r>
              <w:rPr>
                <w:rFonts w:hint="eastAsia" w:eastAsia="宋体" w:cs="Times New Roman"/>
                <w:color w:val="000000"/>
                <w:kern w:val="0"/>
                <w:sz w:val="13"/>
                <w:szCs w:val="13"/>
                <w:lang w:eastAsia="zh-CN" w:bidi="ar"/>
              </w:rPr>
              <w:t>80%~60%之间</w:t>
            </w:r>
            <w:r>
              <w:rPr>
                <w:rFonts w:hint="default" w:ascii="Times New Roman" w:hAnsi="Times New Roman" w:eastAsia="宋体" w:cs="Times New Roman"/>
                <w:color w:val="000000"/>
                <w:kern w:val="0"/>
                <w:sz w:val="13"/>
                <w:szCs w:val="13"/>
                <w:lang w:bidi="ar"/>
              </w:rPr>
              <w:t>，得分=指标完成率×标杆分值；</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③指标完成率小于60%为不及格，不得分。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根据《巴楚县住房和城乡建设局2023年度城区环卫市场化项目调研问卷-公众》统计结果，满意度调研问卷对象巴楚县社会公众，共发放</w:t>
            </w:r>
            <w:r>
              <w:rPr>
                <w:rFonts w:hint="eastAsia" w:eastAsia="宋体" w:cs="Times New Roman"/>
                <w:color w:val="000000"/>
                <w:kern w:val="0"/>
                <w:sz w:val="13"/>
                <w:szCs w:val="13"/>
                <w:lang w:eastAsia="zh-CN" w:bidi="ar"/>
              </w:rPr>
              <w:t>145份</w:t>
            </w:r>
            <w:r>
              <w:rPr>
                <w:rFonts w:hint="default" w:ascii="Times New Roman" w:hAnsi="Times New Roman" w:eastAsia="宋体" w:cs="Times New Roman"/>
                <w:color w:val="000000"/>
                <w:kern w:val="0"/>
                <w:sz w:val="13"/>
                <w:szCs w:val="13"/>
                <w:lang w:bidi="ar"/>
              </w:rPr>
              <w:t>，收回有效问卷145份。根据问题7：“您认为通过2023年度环卫工作的开展，是否达到优化城区公共区域卫生环境，提高环卫服务水平的效果”统计结果，按照社会公众认可程度计算指标完成率为93.45%，基本达成目标。根据评分标准，指标完成率在</w:t>
            </w:r>
            <w:r>
              <w:rPr>
                <w:rFonts w:hint="eastAsia" w:eastAsia="宋体" w:cs="Times New Roman"/>
                <w:color w:val="000000"/>
                <w:kern w:val="0"/>
                <w:sz w:val="13"/>
                <w:szCs w:val="13"/>
                <w:lang w:eastAsia="zh-CN" w:bidi="ar"/>
              </w:rPr>
              <w:t>100%~80%</w:t>
            </w:r>
            <w:r>
              <w:rPr>
                <w:rFonts w:hint="default" w:ascii="Times New Roman" w:hAnsi="Times New Roman" w:eastAsia="宋体" w:cs="Times New Roman"/>
                <w:color w:val="000000"/>
                <w:kern w:val="0"/>
                <w:sz w:val="13"/>
                <w:szCs w:val="13"/>
                <w:lang w:bidi="ar"/>
              </w:rPr>
              <w:t>之间，得满分。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该指标满分为10分，根据评分标准得10分。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有效优化</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基本达成目标</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10</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10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D12提高环卫工人生活水平</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社会公众或服务对象对项目实施效果的满意程度。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指标完成率=∑样本数（“显著”×1.0+“较大”×0.8+“一般”×0.6+“较差”×0.3+“无”×0）/总样本数×100%。</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实际完成值分为基本达成目标、部分实现目标、实现目标程度较低三个档次</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并分别按照该指标对应分值区间</w:t>
            </w:r>
            <w:r>
              <w:rPr>
                <w:rFonts w:hint="eastAsia" w:eastAsia="宋体" w:cs="Times New Roman"/>
                <w:color w:val="000000"/>
                <w:kern w:val="0"/>
                <w:sz w:val="13"/>
                <w:szCs w:val="13"/>
                <w:lang w:eastAsia="zh-CN" w:bidi="ar"/>
              </w:rPr>
              <w:t>100%~80%（</w:t>
            </w:r>
            <w:r>
              <w:rPr>
                <w:rFonts w:hint="default" w:ascii="Times New Roman" w:hAnsi="Times New Roman" w:eastAsia="宋体" w:cs="Times New Roman"/>
                <w:color w:val="000000"/>
                <w:kern w:val="0"/>
                <w:sz w:val="13"/>
                <w:szCs w:val="13"/>
                <w:lang w:bidi="ar"/>
              </w:rPr>
              <w:t>含</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、80%-60%（含</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w:t>
            </w:r>
            <w:r>
              <w:rPr>
                <w:rFonts w:hint="eastAsia" w:eastAsia="宋体" w:cs="Times New Roman"/>
                <w:color w:val="000000"/>
                <w:kern w:val="0"/>
                <w:sz w:val="13"/>
                <w:szCs w:val="13"/>
                <w:lang w:eastAsia="zh-CN" w:bidi="ar"/>
              </w:rPr>
              <w:t>60%~0%</w:t>
            </w:r>
            <w:r>
              <w:rPr>
                <w:rFonts w:hint="default" w:ascii="Times New Roman" w:hAnsi="Times New Roman" w:eastAsia="宋体" w:cs="Times New Roman"/>
                <w:color w:val="000000"/>
                <w:kern w:val="0"/>
                <w:sz w:val="13"/>
                <w:szCs w:val="13"/>
                <w:lang w:bidi="ar"/>
              </w:rPr>
              <w:t>合理确定分值。</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①指标完成率在</w:t>
            </w:r>
            <w:r>
              <w:rPr>
                <w:rFonts w:hint="eastAsia" w:eastAsia="宋体" w:cs="Times New Roman"/>
                <w:color w:val="000000"/>
                <w:kern w:val="0"/>
                <w:sz w:val="13"/>
                <w:szCs w:val="13"/>
                <w:lang w:eastAsia="zh-CN" w:bidi="ar"/>
              </w:rPr>
              <w:t>100%~80%</w:t>
            </w:r>
            <w:r>
              <w:rPr>
                <w:rFonts w:hint="default" w:ascii="Times New Roman" w:hAnsi="Times New Roman" w:eastAsia="宋体" w:cs="Times New Roman"/>
                <w:color w:val="000000"/>
                <w:kern w:val="0"/>
                <w:sz w:val="13"/>
                <w:szCs w:val="13"/>
                <w:lang w:bidi="ar"/>
              </w:rPr>
              <w:t>之间，得满分；</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②指标完成率在</w:t>
            </w:r>
            <w:r>
              <w:rPr>
                <w:rFonts w:hint="eastAsia" w:eastAsia="宋体" w:cs="Times New Roman"/>
                <w:color w:val="000000"/>
                <w:kern w:val="0"/>
                <w:sz w:val="13"/>
                <w:szCs w:val="13"/>
                <w:lang w:eastAsia="zh-CN" w:bidi="ar"/>
              </w:rPr>
              <w:t>80%~60%之间</w:t>
            </w:r>
            <w:r>
              <w:rPr>
                <w:rFonts w:hint="default" w:ascii="Times New Roman" w:hAnsi="Times New Roman" w:eastAsia="宋体" w:cs="Times New Roman"/>
                <w:color w:val="000000"/>
                <w:kern w:val="0"/>
                <w:sz w:val="13"/>
                <w:szCs w:val="13"/>
                <w:lang w:bidi="ar"/>
              </w:rPr>
              <w:t>，得分=指标完成率×标杆分值；</w:t>
            </w:r>
          </w:p>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③指标完成率小于60%为不及格，不得分。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根据《巴楚县住房和城乡建设局2023年度城区环卫市场化项目调研问卷-环卫工人》统计结果，满意度调研问卷对象环卫工人，共发放</w:t>
            </w:r>
            <w:r>
              <w:rPr>
                <w:rFonts w:hint="eastAsia" w:eastAsia="宋体" w:cs="Times New Roman"/>
                <w:color w:val="000000"/>
                <w:kern w:val="0"/>
                <w:sz w:val="13"/>
                <w:szCs w:val="13"/>
                <w:lang w:eastAsia="zh-CN" w:bidi="ar"/>
              </w:rPr>
              <w:t>151份</w:t>
            </w:r>
            <w:r>
              <w:rPr>
                <w:rFonts w:hint="default" w:ascii="Times New Roman" w:hAnsi="Times New Roman" w:eastAsia="宋体" w:cs="Times New Roman"/>
                <w:color w:val="000000"/>
                <w:kern w:val="0"/>
                <w:sz w:val="13"/>
                <w:szCs w:val="13"/>
                <w:lang w:bidi="ar"/>
              </w:rPr>
              <w:t>，收回有效问卷151份。根据问题6：“您认为通过2023年环卫工作的开展，是否达到提高环卫工人生活水平的效果？”统计结果，按照环卫工人认可程度计算指标完成率为90.66%，基本达成目标，根据评分标准，指标完成率在</w:t>
            </w:r>
            <w:r>
              <w:rPr>
                <w:rFonts w:hint="eastAsia" w:eastAsia="宋体" w:cs="Times New Roman"/>
                <w:color w:val="000000"/>
                <w:kern w:val="0"/>
                <w:sz w:val="13"/>
                <w:szCs w:val="13"/>
                <w:lang w:eastAsia="zh-CN" w:bidi="ar"/>
              </w:rPr>
              <w:t>100%~80%</w:t>
            </w:r>
            <w:r>
              <w:rPr>
                <w:rFonts w:hint="default" w:ascii="Times New Roman" w:hAnsi="Times New Roman" w:eastAsia="宋体" w:cs="Times New Roman"/>
                <w:color w:val="000000"/>
                <w:kern w:val="0"/>
                <w:sz w:val="13"/>
                <w:szCs w:val="13"/>
                <w:lang w:bidi="ar"/>
              </w:rPr>
              <w:t>之间，得满分。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该指标满分为10分，根据评分标准得10分。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有效提高</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基本达成目标</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10</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10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D2服务对象满意度指标（10分）</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D21社会公众满意度</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社会公众对项目实施效果的满意程度。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据满意度问卷统计情况计算满意度，满意度调查结果大于等于90%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得满分；满意度调查结果大于60%且小于90%的，按超过的比重赋分，计算公式为：得分=（实际完成率-60%）/（</w:t>
            </w:r>
            <w:r>
              <w:rPr>
                <w:rFonts w:hint="eastAsia" w:eastAsia="宋体" w:cs="Times New Roman"/>
                <w:color w:val="000000"/>
                <w:kern w:val="0"/>
                <w:sz w:val="13"/>
                <w:szCs w:val="13"/>
                <w:lang w:eastAsia="zh-CN" w:bidi="ar"/>
              </w:rPr>
              <w:t>1-60%</w:t>
            </w:r>
            <w:r>
              <w:rPr>
                <w:rFonts w:hint="default" w:ascii="Times New Roman" w:hAnsi="Times New Roman" w:eastAsia="宋体" w:cs="Times New Roman"/>
                <w:color w:val="000000"/>
                <w:kern w:val="0"/>
                <w:sz w:val="13"/>
                <w:szCs w:val="13"/>
                <w:lang w:bidi="ar"/>
              </w:rPr>
              <w:t>）×指标分值；完成率小于60%为不及格，不得分。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根据《巴楚县住房和城乡建设局2023年度城区环卫市场化项目调研问卷-公众》统计结果，满意度调研问卷对象为巴楚县社会公众，共发放145份，收回有效问卷145份，问卷共设计8个问题，从巴楚县路面清扫情况、垃圾处理、广告清理、设施摆放等方面进行满意度调研，根据问卷统计结果，取综合满意度为96.41%，根据评分标准，得满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该指标满分为5分，根据评分标准得5分。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90%</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96.41%</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5</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5</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D22环卫工人满意度</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环卫工人对项目实施效果的满意程度。</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据满意度问卷统计情况计算满意度，满意度调查结果大于等于90%</w:t>
            </w: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得满分；满意度调查结果大于60%且小于90%的，按超过的比重赋分，计算公式为：得分=（实际完成率-60%）/（</w:t>
            </w:r>
            <w:r>
              <w:rPr>
                <w:rFonts w:hint="eastAsia" w:eastAsia="宋体" w:cs="Times New Roman"/>
                <w:color w:val="000000"/>
                <w:kern w:val="0"/>
                <w:sz w:val="13"/>
                <w:szCs w:val="13"/>
                <w:lang w:eastAsia="zh-CN" w:bidi="ar"/>
              </w:rPr>
              <w:t>1-60%</w:t>
            </w:r>
            <w:r>
              <w:rPr>
                <w:rFonts w:hint="default" w:ascii="Times New Roman" w:hAnsi="Times New Roman" w:eastAsia="宋体" w:cs="Times New Roman"/>
                <w:color w:val="000000"/>
                <w:kern w:val="0"/>
                <w:sz w:val="13"/>
                <w:szCs w:val="13"/>
                <w:lang w:bidi="ar"/>
              </w:rPr>
              <w:t>）×指标分值；完成率小于60%为不及格，不得分。</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根据《巴楚县住房和城乡建设局2023年度城区环卫市场化项目调研问卷-环卫工人》统计结果，满意度调研问卷对象环卫工人，共发放</w:t>
            </w:r>
            <w:r>
              <w:rPr>
                <w:rFonts w:hint="eastAsia" w:eastAsia="宋体" w:cs="Times New Roman"/>
                <w:color w:val="000000"/>
                <w:kern w:val="0"/>
                <w:sz w:val="13"/>
                <w:szCs w:val="13"/>
                <w:lang w:eastAsia="zh-CN" w:bidi="ar"/>
              </w:rPr>
              <w:t>151份</w:t>
            </w:r>
            <w:r>
              <w:rPr>
                <w:rFonts w:hint="default" w:ascii="Times New Roman" w:hAnsi="Times New Roman" w:eastAsia="宋体" w:cs="Times New Roman"/>
                <w:color w:val="000000"/>
                <w:kern w:val="0"/>
                <w:sz w:val="13"/>
                <w:szCs w:val="13"/>
                <w:lang w:bidi="ar"/>
              </w:rPr>
              <w:t>，收回有效问卷151份，问卷共设计7个问题，从岗前培训、用具发放、工资福利、表彰活动等方面进行满意度调研，根据问卷统计结果，取综合满意度为91.17%，根据评分标准，得满分。</w:t>
            </w:r>
          </w:p>
          <w:p>
            <w:pPr>
              <w:pageBreakBefore w:val="0"/>
              <w:widowControl/>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该指标满分为5分，根据评分标准得5分。</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eastAsia" w:eastAsia="宋体" w:cs="Times New Roman"/>
                <w:color w:val="000000"/>
                <w:kern w:val="0"/>
                <w:sz w:val="13"/>
                <w:szCs w:val="13"/>
                <w:lang w:eastAsia="zh-CN" w:bidi="ar"/>
              </w:rPr>
              <w:t>≥</w:t>
            </w:r>
            <w:r>
              <w:rPr>
                <w:rFonts w:hint="default" w:ascii="Times New Roman" w:hAnsi="Times New Roman" w:eastAsia="宋体" w:cs="Times New Roman"/>
                <w:color w:val="000000"/>
                <w:kern w:val="0"/>
                <w:sz w:val="13"/>
                <w:szCs w:val="13"/>
                <w:lang w:bidi="ar"/>
              </w:rPr>
              <w:t>90%</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91.17%</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5</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5</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26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小计</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000000"/>
                <w:kern w:val="0"/>
                <w:sz w:val="13"/>
                <w:szCs w:val="13"/>
                <w:lang w:bidi="ar"/>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30</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30</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100%</w:t>
            </w:r>
          </w:p>
        </w:tc>
      </w:tr>
      <w:tr>
        <w:tblPrEx>
          <w:tblCellMar>
            <w:top w:w="0" w:type="dxa"/>
            <w:left w:w="51" w:type="dxa"/>
            <w:bottom w:w="0" w:type="dxa"/>
            <w:right w:w="51" w:type="dxa"/>
          </w:tblCellMar>
        </w:tblPrEx>
        <w:trPr>
          <w:trHeight w:val="261" w:hRule="atLeast"/>
        </w:trPr>
        <w:tc>
          <w:tcPr>
            <w:tcW w:w="226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合计</w:t>
            </w:r>
          </w:p>
        </w:tc>
        <w:tc>
          <w:tcPr>
            <w:tcW w:w="133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color w:val="000000"/>
                <w:kern w:val="0"/>
                <w:sz w:val="13"/>
                <w:szCs w:val="13"/>
                <w:lang w:bidi="ar"/>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100</w:t>
            </w:r>
          </w:p>
        </w:tc>
        <w:tc>
          <w:tcPr>
            <w:tcW w:w="22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color w:val="000000"/>
                <w:kern w:val="0"/>
                <w:sz w:val="13"/>
                <w:szCs w:val="13"/>
                <w:lang w:eastAsia="zh-CN" w:bidi="ar"/>
              </w:rPr>
            </w:pPr>
            <w:r>
              <w:rPr>
                <w:rFonts w:hint="default" w:ascii="Times New Roman" w:hAnsi="Times New Roman" w:eastAsia="宋体" w:cs="Times New Roman"/>
                <w:color w:val="000000"/>
                <w:kern w:val="0"/>
                <w:sz w:val="13"/>
                <w:szCs w:val="13"/>
                <w:lang w:bidi="ar"/>
              </w:rPr>
              <w:t>92</w:t>
            </w:r>
            <w:r>
              <w:rPr>
                <w:rFonts w:hint="eastAsia" w:eastAsia="宋体" w:cs="Times New Roman"/>
                <w:color w:val="000000"/>
                <w:kern w:val="0"/>
                <w:sz w:val="13"/>
                <w:szCs w:val="13"/>
                <w:lang w:eastAsia="zh-CN" w:bidi="ar"/>
              </w:rPr>
              <w:t>.8</w:t>
            </w:r>
          </w:p>
        </w:tc>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color w:val="000000"/>
                <w:kern w:val="0"/>
                <w:sz w:val="13"/>
                <w:szCs w:val="13"/>
                <w:lang w:bidi="ar"/>
              </w:rPr>
            </w:pPr>
            <w:r>
              <w:rPr>
                <w:rFonts w:hint="default" w:ascii="Times New Roman" w:hAnsi="Times New Roman" w:eastAsia="宋体" w:cs="Times New Roman"/>
                <w:color w:val="000000"/>
                <w:kern w:val="0"/>
                <w:sz w:val="13"/>
                <w:szCs w:val="13"/>
                <w:lang w:bidi="ar"/>
              </w:rPr>
              <w:t>92</w:t>
            </w:r>
            <w:r>
              <w:rPr>
                <w:rFonts w:hint="eastAsia" w:eastAsia="宋体" w:cs="Times New Roman"/>
                <w:color w:val="000000"/>
                <w:kern w:val="0"/>
                <w:sz w:val="13"/>
                <w:szCs w:val="13"/>
                <w:lang w:eastAsia="zh-CN" w:bidi="ar"/>
              </w:rPr>
              <w:t>.8</w:t>
            </w:r>
            <w:r>
              <w:rPr>
                <w:rFonts w:hint="default" w:ascii="Times New Roman" w:hAnsi="Times New Roman" w:eastAsia="宋体" w:cs="Times New Roman"/>
                <w:color w:val="000000"/>
                <w:kern w:val="0"/>
                <w:sz w:val="13"/>
                <w:szCs w:val="13"/>
                <w:lang w:bidi="ar"/>
              </w:rPr>
              <w:t>%</w:t>
            </w:r>
          </w:p>
        </w:tc>
      </w:tr>
    </w:tbl>
    <w:p>
      <w:pPr>
        <w:pageBreakBefore w:val="0"/>
        <w:kinsoku/>
        <w:wordWrap/>
        <w:overflowPunct/>
        <w:topLinePunct w:val="0"/>
        <w:autoSpaceDE/>
        <w:autoSpaceDN/>
        <w:bidi w:val="0"/>
        <w:spacing w:line="360" w:lineRule="exact"/>
        <w:ind w:firstLine="420"/>
      </w:pPr>
    </w:p>
    <w:p>
      <w:pPr>
        <w:pageBreakBefore w:val="0"/>
        <w:kinsoku/>
        <w:wordWrap/>
        <w:overflowPunct/>
        <w:topLinePunct w:val="0"/>
        <w:autoSpaceDE/>
        <w:autoSpaceDN/>
        <w:bidi w:val="0"/>
        <w:spacing w:line="360" w:lineRule="exact"/>
        <w:ind w:firstLine="420"/>
        <w:sectPr>
          <w:footerReference r:id="rId13" w:type="default"/>
          <w:pgSz w:w="16838" w:h="11906" w:orient="landscape"/>
          <w:pgMar w:top="1800" w:right="1440" w:bottom="1800" w:left="1440" w:header="851" w:footer="907" w:gutter="0"/>
          <w:cols w:space="425" w:num="1"/>
          <w:docGrid w:type="lines" w:linePitch="312" w:charSpace="0"/>
        </w:sectPr>
      </w:pPr>
    </w:p>
    <w:p>
      <w:pPr>
        <w:pStyle w:val="5"/>
        <w:pageBreakBefore w:val="0"/>
        <w:kinsoku/>
        <w:wordWrap/>
        <w:overflowPunct/>
        <w:topLinePunct w:val="0"/>
        <w:autoSpaceDE/>
        <w:autoSpaceDN/>
        <w:bidi w:val="0"/>
        <w:spacing w:line="360" w:lineRule="exact"/>
        <w:ind w:firstLine="482"/>
      </w:pPr>
      <w:bookmarkStart w:id="312" w:name="_Toc22946"/>
      <w:bookmarkStart w:id="313" w:name="_Toc23346"/>
      <w:bookmarkStart w:id="314" w:name="_Toc19918"/>
      <w:bookmarkStart w:id="315" w:name="_Toc1381"/>
      <w:bookmarkStart w:id="316" w:name="_Toc9100"/>
      <w:r>
        <w:rPr>
          <w:rFonts w:hint="eastAsia"/>
        </w:rPr>
        <w:t>附件2：</w:t>
      </w:r>
      <w:bookmarkEnd w:id="312"/>
      <w:bookmarkEnd w:id="313"/>
      <w:bookmarkEnd w:id="314"/>
      <w:bookmarkEnd w:id="315"/>
      <w:bookmarkEnd w:id="316"/>
    </w:p>
    <w:p>
      <w:pPr>
        <w:pageBreakBefore w:val="0"/>
        <w:kinsoku/>
        <w:wordWrap/>
        <w:overflowPunct/>
        <w:topLinePunct w:val="0"/>
        <w:autoSpaceDE/>
        <w:autoSpaceDN/>
        <w:bidi w:val="0"/>
        <w:spacing w:line="360" w:lineRule="exact"/>
        <w:ind w:firstLine="0" w:firstLineChars="0"/>
        <w:jc w:val="center"/>
        <w:rPr>
          <w:b/>
          <w:bCs/>
        </w:rPr>
      </w:pPr>
      <w:r>
        <w:rPr>
          <w:rFonts w:hint="eastAsia"/>
          <w:b/>
          <w:bCs/>
        </w:rPr>
        <w:t>基础表</w:t>
      </w:r>
      <w:r>
        <w:rPr>
          <w:rFonts w:hint="eastAsia"/>
          <w:b/>
          <w:bCs/>
          <w:lang w:val="en-US" w:eastAsia="zh-CN"/>
        </w:rPr>
        <w:t>1</w:t>
      </w:r>
      <w:r>
        <w:rPr>
          <w:rFonts w:hint="eastAsia"/>
          <w:b/>
          <w:bCs/>
        </w:rPr>
        <w:t>：</w:t>
      </w:r>
      <w:r>
        <w:rPr>
          <w:rFonts w:hint="eastAsia"/>
          <w:b/>
          <w:bCs/>
          <w:szCs w:val="22"/>
        </w:rPr>
        <w:t>巴楚县住房和城乡建设局2023年度城区环卫市场化项目资金支付明细表</w:t>
      </w:r>
    </w:p>
    <w:p>
      <w:pPr>
        <w:pageBreakBefore w:val="0"/>
        <w:kinsoku/>
        <w:wordWrap/>
        <w:overflowPunct/>
        <w:topLinePunct w:val="0"/>
        <w:autoSpaceDE/>
        <w:autoSpaceDN/>
        <w:bidi w:val="0"/>
        <w:spacing w:line="360" w:lineRule="exact"/>
        <w:ind w:firstLine="420"/>
        <w:jc w:val="right"/>
      </w:pPr>
      <w:r>
        <w:rPr>
          <w:rFonts w:hint="eastAsia"/>
        </w:rPr>
        <w:t>单位：万元</w:t>
      </w:r>
    </w:p>
    <w:tbl>
      <w:tblPr>
        <w:tblStyle w:val="19"/>
        <w:tblW w:w="4996" w:type="pct"/>
        <w:tblInd w:w="0" w:type="dxa"/>
        <w:tblLayout w:type="autofit"/>
        <w:tblCellMar>
          <w:top w:w="0" w:type="dxa"/>
          <w:left w:w="108" w:type="dxa"/>
          <w:bottom w:w="0" w:type="dxa"/>
          <w:right w:w="108" w:type="dxa"/>
        </w:tblCellMar>
      </w:tblPr>
      <w:tblGrid>
        <w:gridCol w:w="2829"/>
        <w:gridCol w:w="1570"/>
        <w:gridCol w:w="1321"/>
        <w:gridCol w:w="1437"/>
        <w:gridCol w:w="2029"/>
        <w:gridCol w:w="1706"/>
        <w:gridCol w:w="1567"/>
        <w:gridCol w:w="1704"/>
      </w:tblGrid>
      <w:tr>
        <w:tblPrEx>
          <w:tblCellMar>
            <w:top w:w="0" w:type="dxa"/>
            <w:left w:w="108" w:type="dxa"/>
            <w:bottom w:w="0" w:type="dxa"/>
            <w:right w:w="108" w:type="dxa"/>
          </w:tblCellMar>
        </w:tblPrEx>
        <w:trPr>
          <w:trHeight w:val="560" w:hRule="atLeast"/>
        </w:trPr>
        <w:tc>
          <w:tcPr>
            <w:tcW w:w="9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支付时间</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作业月份</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人数（人）</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日常作业考核分数</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kern w:val="0"/>
                <w:lang w:bidi="ar"/>
              </w:rPr>
            </w:pPr>
            <w:r>
              <w:rPr>
                <w:rFonts w:hint="default" w:ascii="Times New Roman" w:hAnsi="Times New Roman" w:eastAsia="宋体" w:cs="Times New Roman"/>
                <w:b/>
                <w:bCs/>
                <w:kern w:val="0"/>
                <w:lang w:bidi="ar"/>
              </w:rPr>
              <w:t>绩效考核时间</w:t>
            </w: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计划支付资金</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已支付资金</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资金执行率</w:t>
            </w:r>
          </w:p>
        </w:tc>
      </w:tr>
      <w:tr>
        <w:tblPrEx>
          <w:tblCellMar>
            <w:top w:w="0" w:type="dxa"/>
            <w:left w:w="108" w:type="dxa"/>
            <w:bottom w:w="0" w:type="dxa"/>
            <w:right w:w="108" w:type="dxa"/>
          </w:tblCellMar>
        </w:tblPrEx>
        <w:trPr>
          <w:trHeight w:val="280" w:hRule="atLeast"/>
        </w:trPr>
        <w:tc>
          <w:tcPr>
            <w:tcW w:w="99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2023年3月17日</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1月</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146</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lang w:eastAsia="zh-CN"/>
              </w:rPr>
            </w:pPr>
            <w:r>
              <w:rPr>
                <w:rFonts w:hint="default" w:ascii="Times New Roman" w:hAnsi="Times New Roman" w:eastAsia="宋体" w:cs="Times New Roman"/>
                <w:kern w:val="0"/>
                <w:lang w:bidi="ar"/>
              </w:rPr>
              <w:t>91</w:t>
            </w:r>
            <w:r>
              <w:rPr>
                <w:rFonts w:hint="eastAsia" w:eastAsia="宋体" w:cs="Times New Roman"/>
                <w:kern w:val="0"/>
                <w:lang w:eastAsia="zh-CN" w:bidi="ar"/>
              </w:rPr>
              <w:t>.7</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lang w:bidi="ar"/>
              </w:rPr>
            </w:pPr>
            <w:r>
              <w:rPr>
                <w:rFonts w:hint="default" w:ascii="Times New Roman" w:hAnsi="Times New Roman" w:eastAsia="宋体" w:cs="Times New Roman"/>
                <w:kern w:val="0"/>
                <w:lang w:bidi="ar"/>
              </w:rPr>
              <w:t>2023年1月30日</w:t>
            </w: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280" w:hRule="atLeast"/>
        </w:trPr>
        <w:tc>
          <w:tcPr>
            <w:tcW w:w="99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2月</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149</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lang w:eastAsia="zh-CN"/>
              </w:rPr>
            </w:pPr>
            <w:r>
              <w:rPr>
                <w:rFonts w:hint="default" w:ascii="Times New Roman" w:hAnsi="Times New Roman" w:eastAsia="宋体" w:cs="Times New Roman"/>
                <w:kern w:val="0"/>
                <w:lang w:bidi="ar"/>
              </w:rPr>
              <w:t>91</w:t>
            </w:r>
            <w:r>
              <w:rPr>
                <w:rFonts w:hint="eastAsia" w:eastAsia="宋体" w:cs="Times New Roman"/>
                <w:kern w:val="0"/>
                <w:lang w:eastAsia="zh-CN" w:bidi="ar"/>
              </w:rPr>
              <w:t>.7</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lang w:bidi="ar"/>
              </w:rPr>
            </w:pPr>
            <w:r>
              <w:rPr>
                <w:rFonts w:hint="default" w:ascii="Times New Roman" w:hAnsi="Times New Roman" w:eastAsia="宋体" w:cs="Times New Roman"/>
                <w:kern w:val="0"/>
                <w:lang w:bidi="ar"/>
              </w:rPr>
              <w:t>2023年2月27日</w:t>
            </w: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280" w:hRule="atLeast"/>
        </w:trPr>
        <w:tc>
          <w:tcPr>
            <w:tcW w:w="99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2023年5月10日</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3月</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155</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lang w:eastAsia="zh-CN"/>
              </w:rPr>
            </w:pPr>
            <w:r>
              <w:rPr>
                <w:rFonts w:hint="default" w:ascii="Times New Roman" w:hAnsi="Times New Roman" w:eastAsia="宋体" w:cs="Times New Roman"/>
                <w:kern w:val="0"/>
                <w:lang w:bidi="ar"/>
              </w:rPr>
              <w:t>91</w:t>
            </w:r>
            <w:r>
              <w:rPr>
                <w:rFonts w:hint="eastAsia" w:eastAsia="宋体" w:cs="Times New Roman"/>
                <w:kern w:val="0"/>
                <w:lang w:eastAsia="zh-CN" w:bidi="ar"/>
              </w:rPr>
              <w:t>.2</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lang w:bidi="ar"/>
              </w:rPr>
            </w:pPr>
            <w:r>
              <w:rPr>
                <w:rFonts w:hint="default" w:ascii="Times New Roman" w:hAnsi="Times New Roman" w:eastAsia="宋体" w:cs="Times New Roman"/>
                <w:kern w:val="0"/>
                <w:lang w:bidi="ar"/>
              </w:rPr>
              <w:t>2023年3月22日</w:t>
            </w: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280" w:hRule="atLeast"/>
        </w:trPr>
        <w:tc>
          <w:tcPr>
            <w:tcW w:w="99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4月</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149</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lang w:eastAsia="zh-CN"/>
              </w:rPr>
            </w:pPr>
            <w:r>
              <w:rPr>
                <w:rFonts w:hint="default" w:ascii="Times New Roman" w:hAnsi="Times New Roman" w:eastAsia="宋体" w:cs="Times New Roman"/>
                <w:kern w:val="0"/>
                <w:lang w:bidi="ar"/>
              </w:rPr>
              <w:t>90</w:t>
            </w:r>
            <w:r>
              <w:rPr>
                <w:rFonts w:hint="eastAsia" w:eastAsia="宋体" w:cs="Times New Roman"/>
                <w:kern w:val="0"/>
                <w:lang w:eastAsia="zh-CN" w:bidi="ar"/>
              </w:rPr>
              <w:t>.6</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lang w:bidi="ar"/>
              </w:rPr>
            </w:pPr>
            <w:r>
              <w:rPr>
                <w:rFonts w:hint="default" w:ascii="Times New Roman" w:hAnsi="Times New Roman" w:eastAsia="宋体" w:cs="Times New Roman"/>
                <w:kern w:val="0"/>
                <w:lang w:bidi="ar"/>
              </w:rPr>
              <w:t>2023年4月22日</w:t>
            </w: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280" w:hRule="atLeast"/>
        </w:trPr>
        <w:tc>
          <w:tcPr>
            <w:tcW w:w="99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2023年6月12日</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5月</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150</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lang w:eastAsia="zh-CN"/>
              </w:rPr>
            </w:pPr>
            <w:r>
              <w:rPr>
                <w:rFonts w:hint="default" w:ascii="Times New Roman" w:hAnsi="Times New Roman" w:eastAsia="宋体" w:cs="Times New Roman"/>
                <w:kern w:val="0"/>
                <w:lang w:bidi="ar"/>
              </w:rPr>
              <w:t>90</w:t>
            </w:r>
            <w:r>
              <w:rPr>
                <w:rFonts w:hint="eastAsia" w:eastAsia="宋体" w:cs="Times New Roman"/>
                <w:kern w:val="0"/>
                <w:lang w:eastAsia="zh-CN" w:bidi="ar"/>
              </w:rPr>
              <w:t>.6</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lang w:bidi="ar"/>
              </w:rPr>
            </w:pPr>
            <w:r>
              <w:rPr>
                <w:rFonts w:hint="default" w:ascii="Times New Roman" w:hAnsi="Times New Roman" w:eastAsia="宋体" w:cs="Times New Roman"/>
                <w:kern w:val="0"/>
                <w:lang w:bidi="ar"/>
              </w:rPr>
              <w:t>2023年5月25日</w:t>
            </w: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280" w:hRule="atLeast"/>
        </w:trPr>
        <w:tc>
          <w:tcPr>
            <w:tcW w:w="99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6月</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149</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lang w:eastAsia="zh-CN"/>
              </w:rPr>
            </w:pPr>
            <w:r>
              <w:rPr>
                <w:rFonts w:hint="default" w:ascii="Times New Roman" w:hAnsi="Times New Roman" w:eastAsia="宋体" w:cs="Times New Roman"/>
                <w:kern w:val="0"/>
                <w:lang w:bidi="ar"/>
              </w:rPr>
              <w:t>90</w:t>
            </w:r>
            <w:r>
              <w:rPr>
                <w:rFonts w:hint="eastAsia" w:eastAsia="宋体" w:cs="Times New Roman"/>
                <w:kern w:val="0"/>
                <w:lang w:eastAsia="zh-CN" w:bidi="ar"/>
              </w:rPr>
              <w:t>.9</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lang w:bidi="ar"/>
              </w:rPr>
            </w:pPr>
            <w:r>
              <w:rPr>
                <w:rFonts w:hint="default" w:ascii="Times New Roman" w:hAnsi="Times New Roman" w:eastAsia="宋体" w:cs="Times New Roman"/>
                <w:kern w:val="0"/>
                <w:lang w:bidi="ar"/>
              </w:rPr>
              <w:t>2023年6月22日</w:t>
            </w: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280" w:hRule="atLeast"/>
        </w:trPr>
        <w:tc>
          <w:tcPr>
            <w:tcW w:w="99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2023年11月7日</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7月</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151</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lang w:eastAsia="zh-CN"/>
              </w:rPr>
            </w:pPr>
            <w:r>
              <w:rPr>
                <w:rFonts w:hint="default" w:ascii="Times New Roman" w:hAnsi="Times New Roman" w:eastAsia="宋体" w:cs="Times New Roman"/>
                <w:kern w:val="0"/>
                <w:lang w:bidi="ar"/>
              </w:rPr>
              <w:t>91</w:t>
            </w:r>
            <w:r>
              <w:rPr>
                <w:rFonts w:hint="eastAsia" w:eastAsia="宋体" w:cs="Times New Roman"/>
                <w:kern w:val="0"/>
                <w:lang w:eastAsia="zh-CN" w:bidi="ar"/>
              </w:rPr>
              <w:t>.7</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lang w:bidi="ar"/>
              </w:rPr>
            </w:pPr>
            <w:r>
              <w:rPr>
                <w:rFonts w:hint="default" w:ascii="Times New Roman" w:hAnsi="Times New Roman" w:eastAsia="宋体" w:cs="Times New Roman"/>
                <w:kern w:val="0"/>
                <w:lang w:bidi="ar"/>
              </w:rPr>
              <w:t>2023年7月28日</w:t>
            </w: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280" w:hRule="atLeast"/>
        </w:trPr>
        <w:tc>
          <w:tcPr>
            <w:tcW w:w="99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8月</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148</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lang w:eastAsia="zh-CN"/>
              </w:rPr>
            </w:pPr>
            <w:r>
              <w:rPr>
                <w:rFonts w:hint="default" w:ascii="Times New Roman" w:hAnsi="Times New Roman" w:eastAsia="宋体" w:cs="Times New Roman"/>
                <w:kern w:val="0"/>
                <w:lang w:bidi="ar"/>
              </w:rPr>
              <w:t>91</w:t>
            </w:r>
            <w:r>
              <w:rPr>
                <w:rFonts w:hint="eastAsia" w:eastAsia="宋体" w:cs="Times New Roman"/>
                <w:kern w:val="0"/>
                <w:lang w:eastAsia="zh-CN" w:bidi="ar"/>
              </w:rPr>
              <w:t>.7</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lang w:bidi="ar"/>
              </w:rPr>
            </w:pPr>
            <w:r>
              <w:rPr>
                <w:rFonts w:hint="default" w:ascii="Times New Roman" w:hAnsi="Times New Roman" w:eastAsia="宋体" w:cs="Times New Roman"/>
                <w:kern w:val="0"/>
                <w:lang w:bidi="ar"/>
              </w:rPr>
              <w:t>2023年8月28日</w:t>
            </w: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280" w:hRule="atLeast"/>
        </w:trPr>
        <w:tc>
          <w:tcPr>
            <w:tcW w:w="99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2023年11月8日</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9月</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147</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lang w:eastAsia="zh-CN"/>
              </w:rPr>
            </w:pPr>
            <w:r>
              <w:rPr>
                <w:rFonts w:hint="default" w:ascii="Times New Roman" w:hAnsi="Times New Roman" w:eastAsia="宋体" w:cs="Times New Roman"/>
                <w:kern w:val="0"/>
                <w:lang w:bidi="ar"/>
              </w:rPr>
              <w:t>91</w:t>
            </w:r>
            <w:r>
              <w:rPr>
                <w:rFonts w:hint="eastAsia" w:eastAsia="宋体" w:cs="Times New Roman"/>
                <w:kern w:val="0"/>
                <w:lang w:eastAsia="zh-CN" w:bidi="ar"/>
              </w:rPr>
              <w:t>.7</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lang w:bidi="ar"/>
              </w:rPr>
            </w:pPr>
            <w:r>
              <w:rPr>
                <w:rFonts w:hint="default" w:ascii="Times New Roman" w:hAnsi="Times New Roman" w:eastAsia="宋体" w:cs="Times New Roman"/>
                <w:kern w:val="0"/>
                <w:lang w:bidi="ar"/>
              </w:rPr>
              <w:t>2023年9月27日</w:t>
            </w: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280" w:hRule="atLeast"/>
        </w:trPr>
        <w:tc>
          <w:tcPr>
            <w:tcW w:w="99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10月</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140</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lang w:eastAsia="zh-CN"/>
              </w:rPr>
            </w:pPr>
            <w:r>
              <w:rPr>
                <w:rFonts w:hint="default" w:ascii="Times New Roman" w:hAnsi="Times New Roman" w:eastAsia="宋体" w:cs="Times New Roman"/>
                <w:kern w:val="0"/>
                <w:lang w:bidi="ar"/>
              </w:rPr>
              <w:t>90</w:t>
            </w:r>
            <w:r>
              <w:rPr>
                <w:rFonts w:hint="eastAsia" w:eastAsia="宋体" w:cs="Times New Roman"/>
                <w:kern w:val="0"/>
                <w:lang w:eastAsia="zh-CN" w:bidi="ar"/>
              </w:rPr>
              <w:t>.6</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lang w:bidi="ar"/>
              </w:rPr>
            </w:pPr>
            <w:r>
              <w:rPr>
                <w:rFonts w:hint="default" w:ascii="Times New Roman" w:hAnsi="Times New Roman" w:eastAsia="宋体" w:cs="Times New Roman"/>
                <w:kern w:val="0"/>
                <w:lang w:bidi="ar"/>
              </w:rPr>
              <w:t>2023年10月29日</w:t>
            </w: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280" w:hRule="atLeast"/>
        </w:trPr>
        <w:tc>
          <w:tcPr>
            <w:tcW w:w="99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2024年1月6日</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11月</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136</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lang w:eastAsia="zh-CN"/>
              </w:rPr>
            </w:pPr>
            <w:r>
              <w:rPr>
                <w:rFonts w:hint="default" w:ascii="Times New Roman" w:hAnsi="Times New Roman" w:eastAsia="宋体" w:cs="Times New Roman"/>
                <w:kern w:val="0"/>
                <w:lang w:bidi="ar"/>
              </w:rPr>
              <w:t>90</w:t>
            </w:r>
            <w:r>
              <w:rPr>
                <w:rFonts w:hint="eastAsia" w:eastAsia="宋体" w:cs="Times New Roman"/>
                <w:kern w:val="0"/>
                <w:lang w:eastAsia="zh-CN" w:bidi="ar"/>
              </w:rPr>
              <w:t>.6</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lang w:bidi="ar"/>
              </w:rPr>
            </w:pPr>
            <w:r>
              <w:rPr>
                <w:rFonts w:hint="default" w:ascii="Times New Roman" w:hAnsi="Times New Roman" w:eastAsia="宋体" w:cs="Times New Roman"/>
                <w:kern w:val="0"/>
                <w:lang w:bidi="ar"/>
              </w:rPr>
              <w:t>2023年11月29日</w:t>
            </w: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280" w:hRule="atLeast"/>
        </w:trPr>
        <w:tc>
          <w:tcPr>
            <w:tcW w:w="99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rPr>
                <w:rFonts w:ascii="Times New Roman" w:hAnsi="Times New Roman" w:eastAsia="宋体" w:cs="Times New Roman"/>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12月</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140</w:t>
            </w:r>
          </w:p>
        </w:tc>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hint="eastAsia" w:ascii="Times New Roman" w:hAnsi="Times New Roman" w:eastAsia="宋体" w:cs="Times New Roman"/>
                <w:lang w:eastAsia="zh-CN"/>
              </w:rPr>
            </w:pPr>
            <w:r>
              <w:rPr>
                <w:rFonts w:hint="default" w:ascii="Times New Roman" w:hAnsi="Times New Roman" w:eastAsia="宋体" w:cs="Times New Roman"/>
                <w:kern w:val="0"/>
                <w:lang w:bidi="ar"/>
              </w:rPr>
              <w:t>91</w:t>
            </w:r>
            <w:r>
              <w:rPr>
                <w:rFonts w:hint="eastAsia" w:eastAsia="宋体" w:cs="Times New Roman"/>
                <w:kern w:val="0"/>
                <w:lang w:eastAsia="zh-CN" w:bidi="ar"/>
              </w:rPr>
              <w:t>.7</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kern w:val="0"/>
                <w:lang w:bidi="ar"/>
              </w:rPr>
            </w:pPr>
            <w:r>
              <w:rPr>
                <w:rFonts w:hint="default" w:ascii="Times New Roman" w:hAnsi="Times New Roman" w:eastAsia="宋体" w:cs="Times New Roman"/>
                <w:kern w:val="0"/>
                <w:lang w:bidi="ar"/>
              </w:rPr>
              <w:t>2023年12月29日</w:t>
            </w: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 xml:space="preserve">64.89 </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280" w:hRule="atLeast"/>
        </w:trPr>
        <w:tc>
          <w:tcPr>
            <w:tcW w:w="252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合计</w:t>
            </w:r>
          </w:p>
        </w:tc>
        <w:tc>
          <w:tcPr>
            <w:tcW w:w="7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b/>
                <w:bCs/>
                <w:kern w:val="0"/>
                <w:lang w:bidi="ar"/>
              </w:rPr>
            </w:pPr>
          </w:p>
        </w:tc>
        <w:tc>
          <w:tcPr>
            <w:tcW w:w="6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 xml:space="preserve">778.72 </w:t>
            </w:r>
          </w:p>
        </w:tc>
        <w:tc>
          <w:tcPr>
            <w:tcW w:w="5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 xml:space="preserve">778.72 </w:t>
            </w:r>
          </w:p>
        </w:tc>
        <w:tc>
          <w:tcPr>
            <w:tcW w:w="6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right"/>
              <w:textAlignment w:val="center"/>
              <w:rPr>
                <w:rFonts w:ascii="Times New Roman" w:hAnsi="Times New Roman" w:eastAsia="宋体" w:cs="Times New Roman"/>
                <w:b/>
                <w:bCs/>
              </w:rPr>
            </w:pPr>
            <w:r>
              <w:rPr>
                <w:rFonts w:hint="default" w:ascii="Times New Roman" w:hAnsi="Times New Roman" w:eastAsia="宋体" w:cs="Times New Roman"/>
                <w:b/>
                <w:bCs/>
                <w:kern w:val="0"/>
                <w:lang w:bidi="ar"/>
              </w:rPr>
              <w:t>100%</w:t>
            </w:r>
          </w:p>
        </w:tc>
      </w:tr>
    </w:tbl>
    <w:p>
      <w:pPr>
        <w:pageBreakBefore w:val="0"/>
        <w:kinsoku/>
        <w:wordWrap/>
        <w:overflowPunct/>
        <w:topLinePunct w:val="0"/>
        <w:autoSpaceDE/>
        <w:autoSpaceDN/>
        <w:bidi w:val="0"/>
        <w:spacing w:line="360" w:lineRule="exact"/>
        <w:ind w:firstLine="420"/>
        <w:sectPr>
          <w:footerReference r:id="rId14" w:type="default"/>
          <w:pgSz w:w="16838" w:h="11906" w:orient="landscape"/>
          <w:pgMar w:top="1800" w:right="1440" w:bottom="1800" w:left="1440" w:header="851" w:footer="907" w:gutter="0"/>
          <w:cols w:space="425" w:num="1"/>
          <w:docGrid w:type="lines" w:linePitch="312" w:charSpace="0"/>
        </w:sectPr>
      </w:pPr>
    </w:p>
    <w:p>
      <w:pPr>
        <w:pStyle w:val="7"/>
        <w:pageBreakBefore w:val="0"/>
        <w:kinsoku/>
        <w:wordWrap/>
        <w:overflowPunct/>
        <w:topLinePunct w:val="0"/>
        <w:autoSpaceDE/>
        <w:autoSpaceDN/>
        <w:bidi w:val="0"/>
        <w:spacing w:line="360" w:lineRule="exact"/>
        <w:ind w:firstLine="0" w:firstLineChars="0"/>
        <w:jc w:val="center"/>
        <w:rPr>
          <w:rFonts w:hint="eastAsia" w:ascii="宋体" w:hAnsi="宋体" w:eastAsia="宋体" w:cs="宋体"/>
          <w:b/>
          <w:bCs/>
          <w:sz w:val="21"/>
          <w:szCs w:val="22"/>
          <w:lang w:eastAsia="zh-CN"/>
        </w:rPr>
      </w:pPr>
      <w:bookmarkStart w:id="317" w:name="_Toc28376"/>
      <w:bookmarkStart w:id="318" w:name="_Toc27029"/>
      <w:bookmarkStart w:id="319" w:name="_Toc5088"/>
      <w:bookmarkStart w:id="320" w:name="_Toc29169"/>
      <w:bookmarkStart w:id="321" w:name="_Toc29161"/>
      <w:bookmarkStart w:id="322" w:name="_Toc14337"/>
      <w:r>
        <w:rPr>
          <w:rFonts w:hint="eastAsia" w:ascii="宋体" w:hAnsi="宋体" w:eastAsia="宋体" w:cs="宋体"/>
          <w:b/>
          <w:bCs/>
          <w:sz w:val="21"/>
          <w:szCs w:val="22"/>
          <w:lang w:val="en-US" w:eastAsia="zh-CN"/>
        </w:rPr>
        <w:t>基础</w:t>
      </w:r>
      <w:r>
        <w:rPr>
          <w:rFonts w:hint="eastAsia" w:ascii="宋体" w:hAnsi="宋体" w:eastAsia="宋体" w:cs="宋体"/>
          <w:b/>
          <w:bCs/>
          <w:sz w:val="21"/>
          <w:szCs w:val="22"/>
        </w:rPr>
        <w:t xml:space="preserve">表 </w:t>
      </w:r>
      <w:r>
        <w:rPr>
          <w:rFonts w:hint="eastAsia" w:ascii="宋体" w:hAnsi="宋体" w:eastAsia="宋体" w:cs="宋体"/>
          <w:b/>
          <w:bCs/>
          <w:sz w:val="21"/>
          <w:szCs w:val="22"/>
          <w:lang w:val="en-US" w:eastAsia="zh-CN"/>
        </w:rPr>
        <w:t>2：城区道路清扫保洁及垃圾清运项目考核表</w:t>
      </w:r>
    </w:p>
    <w:tbl>
      <w:tblPr>
        <w:tblStyle w:val="19"/>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5"/>
        <w:gridCol w:w="1915"/>
        <w:gridCol w:w="589"/>
        <w:gridCol w:w="3158"/>
        <w:gridCol w:w="916"/>
        <w:gridCol w:w="581"/>
        <w:gridCol w:w="7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blHeader/>
        </w:trPr>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编号</w:t>
            </w:r>
          </w:p>
        </w:tc>
        <w:tc>
          <w:tcPr>
            <w:tcW w:w="11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项目</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分值</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考评标准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000000"/>
                <w:kern w:val="0"/>
                <w:sz w:val="18"/>
                <w:szCs w:val="18"/>
                <w:u w:val="none"/>
                <w:lang w:val="en-US" w:eastAsia="zh-CN" w:bidi="ar"/>
              </w:rPr>
            </w:pPr>
            <w:r>
              <w:rPr>
                <w:rFonts w:hint="default" w:ascii="Times New Roman" w:hAnsi="Times New Roman" w:eastAsia="宋体" w:cs="Times New Roman"/>
                <w:b/>
                <w:bCs/>
                <w:i w:val="0"/>
                <w:iCs w:val="0"/>
                <w:color w:val="000000"/>
                <w:kern w:val="0"/>
                <w:sz w:val="18"/>
                <w:szCs w:val="18"/>
                <w:u w:val="none"/>
                <w:lang w:val="en-US" w:eastAsia="zh-CN" w:bidi="ar"/>
              </w:rPr>
              <w:t>未达标</w:t>
            </w:r>
          </w:p>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eastAsia" w:eastAsia="宋体" w:cs="Times New Roman"/>
                <w:b/>
                <w:bCs/>
                <w:i w:val="0"/>
                <w:iCs w:val="0"/>
                <w:color w:val="000000"/>
                <w:kern w:val="0"/>
                <w:sz w:val="18"/>
                <w:szCs w:val="18"/>
                <w:u w:val="none"/>
                <w:lang w:val="en-US" w:eastAsia="zh-CN" w:bidi="ar"/>
              </w:rPr>
              <w:t>（</w:t>
            </w:r>
            <w:r>
              <w:rPr>
                <w:rFonts w:hint="default" w:ascii="Times New Roman" w:hAnsi="Times New Roman" w:eastAsia="宋体" w:cs="Times New Roman"/>
                <w:b/>
                <w:bCs/>
                <w:i w:val="0"/>
                <w:iCs w:val="0"/>
                <w:color w:val="000000"/>
                <w:kern w:val="0"/>
                <w:sz w:val="18"/>
                <w:szCs w:val="18"/>
                <w:u w:val="none"/>
                <w:lang w:val="en-US" w:eastAsia="zh-CN" w:bidi="ar"/>
              </w:rPr>
              <w:t>次/处</w:t>
            </w:r>
            <w:r>
              <w:rPr>
                <w:rFonts w:hint="eastAsia" w:eastAsia="宋体" w:cs="Times New Roman"/>
                <w:b/>
                <w:bCs/>
                <w:i w:val="0"/>
                <w:iCs w:val="0"/>
                <w:color w:val="000000"/>
                <w:kern w:val="0"/>
                <w:sz w:val="18"/>
                <w:szCs w:val="18"/>
                <w:u w:val="none"/>
                <w:lang w:val="en-US" w:eastAsia="zh-CN" w:bidi="ar"/>
              </w:rPr>
              <w:t>）</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扣分</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该项得分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1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按投标时的机械和人员作业安排方案，落实机械和人员到位到点。</w:t>
            </w:r>
          </w:p>
        </w:tc>
        <w:tc>
          <w:tcPr>
            <w:tcW w:w="3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lang w:val="en-US"/>
              </w:rPr>
            </w:pPr>
            <w:r>
              <w:rPr>
                <w:rFonts w:hint="default" w:ascii="Times New Roman" w:hAnsi="Times New Roman" w:eastAsia="宋体" w:cs="Times New Roman"/>
                <w:i w:val="0"/>
                <w:iCs w:val="0"/>
                <w:color w:val="000000"/>
                <w:kern w:val="0"/>
                <w:sz w:val="18"/>
                <w:szCs w:val="18"/>
                <w:u w:val="none"/>
                <w:lang w:val="en-US" w:eastAsia="zh-CN" w:bidi="ar"/>
              </w:rPr>
              <w:t>（1）发现机械不到位，每少一台扣1分。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（2）发现人员不足，每少一人扣0.1分。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1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清扫时必须穿戴环卫专业服装，文明作业。</w:t>
            </w:r>
          </w:p>
        </w:tc>
        <w:tc>
          <w:tcPr>
            <w:tcW w:w="3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（1）上班时无穿标志服，每人扣1分。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（2）工作中有与他人吵架、恶语伤人，经查实每例扣2分。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（3）不文明作业、故意用尘污染别人，经查实每例扣2分。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1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道路干净整洁，保洁率100%。</w:t>
            </w:r>
          </w:p>
        </w:tc>
        <w:tc>
          <w:tcPr>
            <w:tcW w:w="3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（1）10米以内漏扫，每处扣0.5分。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（2）10米-50米漏扫，每处扣1分。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（3）50米以上漏扫，该项扣2分。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（4）10米以下扫不干净，每处扣0.5分。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（5）10米以上扫不干净，每处扣分。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11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路面干净见本色</w:t>
            </w:r>
            <w:r>
              <w:rPr>
                <w:rFonts w:hint="eastAsia" w:ascii="Times New Roman" w:hAnsi="Times New Roman"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肮脏地段的冲洗</w:t>
            </w:r>
            <w:r>
              <w:rPr>
                <w:rFonts w:hint="eastAsia" w:ascii="Times New Roman" w:hAnsi="Times New Roman" w:eastAsia="宋体" w:cs="Times New Roman"/>
                <w:i w:val="0"/>
                <w:iCs w:val="0"/>
                <w:color w:val="000000"/>
                <w:kern w:val="0"/>
                <w:sz w:val="18"/>
                <w:szCs w:val="18"/>
                <w:u w:val="none"/>
                <w:lang w:val="en-US" w:eastAsia="zh-CN" w:bidi="ar"/>
              </w:rPr>
              <w:t>）</w:t>
            </w:r>
          </w:p>
        </w:tc>
        <w:tc>
          <w:tcPr>
            <w:tcW w:w="3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30</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（1）路沿浮土、污泥、未扫清，10米以内每处扣0.5分；10米以上扣1分。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（2）路面扫不干净，发现有砖头石块、杂草、烟头、纸屑、瓜果皮渣、包装壳、塑料袋、痰迹、砖瓦、石头、粪便、呕吐物、动物尸体、废弃物等肮脏的地段，每处扣0.1分；如出现垃圾包，每处扣1分。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（3）有成堆垃圾，每处扣1分。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（4）公路绿地隔离带扫不干净，每处的扣0.5分，20米以上扣1分。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11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做到垃圾日产日清，按时清运，清扫后的垃圾及时收集，收集率100%</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不无故拖延和漏扫，做到垃圾收集点</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转运点</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干净，车走地净。</w:t>
            </w:r>
          </w:p>
        </w:tc>
        <w:tc>
          <w:tcPr>
            <w:tcW w:w="3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12</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（1）漏收一处垃圾，每处扣1分。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（2）垃圾桶摆放处地面不净，每处扣1分。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（3）收集</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转运</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点地面不净，每处扣1分。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（4）停车处地面不净，每处扣0.5分。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（5）垃圾车行车时撒漏污染路面，每处扣1分。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（6）收集作业完成后，可移动收集容器及时复位，发现不复位一次扣0.5分。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（7）垃圾桶不及时清运有外溢每发现一处扣1分。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11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果皮箱、垃圾桶按规定每班清掏一次，做到周围及箱底干净，果皮箱、垃圾桶体随时清洗，保持干净。</w:t>
            </w:r>
          </w:p>
        </w:tc>
        <w:tc>
          <w:tcPr>
            <w:tcW w:w="3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（1）未按规定清理，每处扣1分。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（2）未按规定清洗，</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每处扣1分。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（3）周围及箱</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桶</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底不净，每处扣0.5分。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（4）果皮箱、垃圾桶破损未及时维护更换，每处扣2分。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7</w:t>
            </w:r>
          </w:p>
        </w:tc>
        <w:tc>
          <w:tcPr>
            <w:tcW w:w="11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保洁车干净整洁，性能好，安全有保障。</w:t>
            </w:r>
          </w:p>
        </w:tc>
        <w:tc>
          <w:tcPr>
            <w:tcW w:w="3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（1）保洁车不净，悬挂杂物，每次扣1分。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（2）保洁车性能差而引发事故，每例扣2分。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三根净</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墙根、树根、电杆根</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两沟口清</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下水道口、明沟</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w:t>
            </w:r>
          </w:p>
        </w:tc>
        <w:tc>
          <w:tcPr>
            <w:tcW w:w="3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（1）墙根、电杆桶、树穴扫不干净，每处扣0.5分。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top"/>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（2）明沟不净，10米以内扣0.5分；10米以上扣1分。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（3）雨水井口不净，每次</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处</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扣0.5分。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1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spacing w:line="360" w:lineRule="exact"/>
              <w:jc w:val="center"/>
              <w:rPr>
                <w:rFonts w:hint="default" w:ascii="Times New Roman" w:hAnsi="Times New Roman" w:eastAsia="宋体" w:cs="Times New Roman"/>
                <w:i w:val="0"/>
                <w:iCs w:val="0"/>
                <w:color w:val="000000"/>
                <w:sz w:val="18"/>
                <w:szCs w:val="18"/>
                <w:u w:val="none"/>
              </w:rPr>
            </w:pP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（4）将公路垃圾扫入雨水井，每次</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处</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扣1分。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w:t>
            </w:r>
          </w:p>
        </w:tc>
        <w:tc>
          <w:tcPr>
            <w:tcW w:w="11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无群众投诉、上级批示。</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有群众投诉且经查属实的，每处扣1分。领导批示每次扣2分。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9</w:t>
            </w:r>
          </w:p>
        </w:tc>
        <w:tc>
          <w:tcPr>
            <w:tcW w:w="11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沿街两侧建筑物无小广告</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包括门店、大门</w:t>
            </w:r>
            <w:r>
              <w:rPr>
                <w:rFonts w:hint="eastAsia" w:eastAsia="宋体" w:cs="Times New Roman"/>
                <w:i w:val="0"/>
                <w:iCs w:val="0"/>
                <w:color w:val="000000"/>
                <w:kern w:val="0"/>
                <w:sz w:val="18"/>
                <w:szCs w:val="18"/>
                <w:u w:val="none"/>
                <w:lang w:val="en-US" w:eastAsia="zh-CN" w:bidi="ar"/>
              </w:rPr>
              <w:t>）</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18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在保洁路段肉眼可见的范围内不得出现小广告、乱张贴现象发现一处扣0.2分。</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3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合计</w:t>
            </w:r>
          </w:p>
        </w:tc>
        <w:tc>
          <w:tcPr>
            <w:tcW w:w="341"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top"/>
          </w:tcPr>
          <w:p>
            <w:pPr>
              <w:pageBreakBefore w:val="0"/>
              <w:kinsoku/>
              <w:wordWrap/>
              <w:overflowPunct/>
              <w:topLinePunct w:val="0"/>
              <w:autoSpaceDE/>
              <w:autoSpaceDN/>
              <w:bidi w:val="0"/>
              <w:spacing w:line="360" w:lineRule="exact"/>
              <w:jc w:val="left"/>
              <w:rPr>
                <w:rFonts w:hint="default" w:ascii="Times New Roman" w:hAnsi="Times New Roman" w:eastAsia="宋体" w:cs="Times New Roman"/>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说明：考核实行百分制，按照检查结果扣除相应分数，直到该项分值扣完为止，最终合计得分为本次检查所得分数，每次考核得分的平均值为该月得分，月平均分数在90分</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含90分</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以上为优秀，全部返还奖惩金；月平均分数在80分</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含80分</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以上至90分以下为合格，拨付当月奖惩金的80%；月平均分数在80分以下为不合格，扣除当月奖惩金。从每月拨款额中抽取1%作为考核奖金。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检查人签字：                               负责人签字：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360" w:lineRule="exact"/>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考核日期：      年    月      日</w:t>
            </w:r>
          </w:p>
        </w:tc>
      </w:tr>
    </w:tbl>
    <w:p>
      <w:pPr>
        <w:pStyle w:val="5"/>
        <w:pageBreakBefore w:val="0"/>
        <w:kinsoku/>
        <w:wordWrap/>
        <w:overflowPunct/>
        <w:topLinePunct w:val="0"/>
        <w:autoSpaceDE/>
        <w:autoSpaceDN/>
        <w:bidi w:val="0"/>
        <w:spacing w:line="360" w:lineRule="exact"/>
        <w:ind w:firstLine="0" w:firstLineChars="0"/>
        <w:sectPr>
          <w:pgSz w:w="11906" w:h="16838"/>
          <w:pgMar w:top="1440" w:right="1800" w:bottom="1440" w:left="1800" w:header="851" w:footer="907" w:gutter="0"/>
          <w:cols w:space="425" w:num="1"/>
          <w:docGrid w:type="lines" w:linePitch="312" w:charSpace="0"/>
        </w:sectPr>
      </w:pPr>
    </w:p>
    <w:p>
      <w:pPr>
        <w:pStyle w:val="5"/>
        <w:pageBreakBefore w:val="0"/>
        <w:kinsoku/>
        <w:wordWrap/>
        <w:overflowPunct/>
        <w:topLinePunct w:val="0"/>
        <w:autoSpaceDE/>
        <w:autoSpaceDN/>
        <w:bidi w:val="0"/>
        <w:spacing w:line="360" w:lineRule="exact"/>
        <w:ind w:firstLine="0" w:firstLineChars="0"/>
      </w:pPr>
      <w:bookmarkStart w:id="323" w:name="_Toc26958"/>
      <w:bookmarkStart w:id="324" w:name="_Toc23223"/>
      <w:r>
        <w:t>附件3：问卷调查分析报告</w:t>
      </w:r>
      <w:bookmarkEnd w:id="317"/>
      <w:bookmarkEnd w:id="318"/>
      <w:bookmarkEnd w:id="319"/>
      <w:bookmarkEnd w:id="320"/>
      <w:bookmarkEnd w:id="321"/>
      <w:bookmarkEnd w:id="322"/>
      <w:bookmarkEnd w:id="323"/>
      <w:bookmarkEnd w:id="324"/>
    </w:p>
    <w:p>
      <w:pPr>
        <w:pageBreakBefore w:val="0"/>
        <w:kinsoku/>
        <w:wordWrap/>
        <w:overflowPunct/>
        <w:topLinePunct w:val="0"/>
        <w:autoSpaceDE/>
        <w:autoSpaceDN/>
        <w:bidi w:val="0"/>
        <w:spacing w:line="360" w:lineRule="exact"/>
        <w:ind w:firstLine="420"/>
      </w:pPr>
      <w:r>
        <w:t>本次绩效评价的对象为</w:t>
      </w:r>
      <w:r>
        <w:rPr>
          <w:rFonts w:hint="eastAsia"/>
        </w:rPr>
        <w:t>巴楚县住房和城乡建设局2023年度城区环卫市场化项目</w:t>
      </w:r>
      <w:r>
        <w:t>，为客观评价该项目的社会效果，绩效评价小组依据公共支出绩效评价</w:t>
      </w:r>
      <w:r>
        <w:rPr>
          <w:rFonts w:hint="eastAsia"/>
        </w:rPr>
        <w:t>“</w:t>
      </w:r>
      <w:r>
        <w:t>为顾客服务</w:t>
      </w:r>
      <w:r>
        <w:rPr>
          <w:rFonts w:hint="eastAsia"/>
        </w:rPr>
        <w:t>”</w:t>
      </w:r>
      <w:r>
        <w:t>原理，引入</w:t>
      </w:r>
      <w:r>
        <w:rPr>
          <w:rFonts w:hint="eastAsia"/>
        </w:rPr>
        <w:t>“社会公众满意度”、“环卫工人满意度”</w:t>
      </w:r>
      <w:r>
        <w:t>等效益指标，了解</w:t>
      </w:r>
      <w:r>
        <w:rPr>
          <w:rFonts w:hint="eastAsia"/>
        </w:rPr>
        <w:t>社会公众、环卫工人</w:t>
      </w:r>
      <w:r>
        <w:t>对项目的评价情况，对本项目展开满意度问卷调查。问卷调查工作情况如下：</w:t>
      </w:r>
    </w:p>
    <w:p>
      <w:pPr>
        <w:pageBreakBefore w:val="0"/>
        <w:kinsoku/>
        <w:wordWrap/>
        <w:overflowPunct/>
        <w:topLinePunct w:val="0"/>
        <w:autoSpaceDE/>
        <w:autoSpaceDN/>
        <w:bidi w:val="0"/>
        <w:spacing w:line="360" w:lineRule="exact"/>
        <w:ind w:firstLine="422"/>
        <w:rPr>
          <w:b/>
          <w:bCs/>
        </w:rPr>
      </w:pPr>
      <w:bookmarkStart w:id="325" w:name="_Toc529373321"/>
      <w:bookmarkStart w:id="326" w:name="_Toc529373554"/>
      <w:r>
        <w:rPr>
          <w:b/>
          <w:bCs/>
        </w:rPr>
        <w:t>1.调</w:t>
      </w:r>
      <w:r>
        <w:rPr>
          <w:rFonts w:hint="eastAsia"/>
          <w:b/>
          <w:bCs/>
        </w:rPr>
        <w:t>查</w:t>
      </w:r>
      <w:r>
        <w:rPr>
          <w:b/>
          <w:bCs/>
        </w:rPr>
        <w:t>对象</w:t>
      </w:r>
      <w:bookmarkEnd w:id="325"/>
      <w:bookmarkEnd w:id="326"/>
    </w:p>
    <w:p>
      <w:pPr>
        <w:pageBreakBefore w:val="0"/>
        <w:kinsoku/>
        <w:wordWrap/>
        <w:overflowPunct/>
        <w:topLinePunct w:val="0"/>
        <w:autoSpaceDE/>
        <w:autoSpaceDN/>
        <w:bidi w:val="0"/>
        <w:spacing w:line="360" w:lineRule="exact"/>
        <w:ind w:firstLine="420"/>
      </w:pPr>
      <w:r>
        <w:rPr>
          <w:rFonts w:hint="eastAsia"/>
        </w:rPr>
        <w:t>结合巴楚县住房和城乡建设局2023年度城区环卫市场化项目工作开展情况及实际问卷调查可操作性，本次满意度问卷旨在考察社会公众、环卫工人对项目环卫工作的质量、作业培训、福利待遇等方面满意度情况。因此，</w:t>
      </w:r>
      <w:r>
        <w:t>本次</w:t>
      </w:r>
      <w:r>
        <w:rPr>
          <w:rFonts w:hint="eastAsia"/>
        </w:rPr>
        <w:t>满意度调查</w:t>
      </w:r>
      <w:r>
        <w:t>的</w:t>
      </w:r>
      <w:r>
        <w:rPr>
          <w:rFonts w:hint="eastAsia"/>
        </w:rPr>
        <w:t>对象</w:t>
      </w:r>
      <w:r>
        <w:t>为</w:t>
      </w:r>
      <w:r>
        <w:rPr>
          <w:rFonts w:hint="eastAsia"/>
        </w:rPr>
        <w:t>社会公众、环卫工人</w:t>
      </w:r>
      <w:r>
        <w:t>。</w:t>
      </w:r>
    </w:p>
    <w:p>
      <w:pPr>
        <w:pageBreakBefore w:val="0"/>
        <w:kinsoku/>
        <w:wordWrap/>
        <w:overflowPunct/>
        <w:topLinePunct w:val="0"/>
        <w:autoSpaceDE/>
        <w:autoSpaceDN/>
        <w:bidi w:val="0"/>
        <w:spacing w:line="360" w:lineRule="exact"/>
        <w:ind w:firstLine="422"/>
        <w:rPr>
          <w:b/>
          <w:bCs/>
        </w:rPr>
      </w:pPr>
      <w:bookmarkStart w:id="327" w:name="_Toc529373555"/>
      <w:bookmarkStart w:id="328" w:name="_Toc529373322"/>
      <w:r>
        <w:rPr>
          <w:b/>
          <w:bCs/>
        </w:rPr>
        <w:t>2.调</w:t>
      </w:r>
      <w:r>
        <w:rPr>
          <w:rFonts w:hint="eastAsia"/>
          <w:b/>
          <w:bCs/>
        </w:rPr>
        <w:t>查</w:t>
      </w:r>
      <w:r>
        <w:rPr>
          <w:b/>
          <w:bCs/>
        </w:rPr>
        <w:t>内容</w:t>
      </w:r>
      <w:bookmarkEnd w:id="327"/>
      <w:bookmarkEnd w:id="328"/>
    </w:p>
    <w:p>
      <w:pPr>
        <w:pageBreakBefore w:val="0"/>
        <w:kinsoku/>
        <w:wordWrap/>
        <w:overflowPunct/>
        <w:topLinePunct w:val="0"/>
        <w:autoSpaceDE/>
        <w:autoSpaceDN/>
        <w:bidi w:val="0"/>
        <w:spacing w:line="360" w:lineRule="exact"/>
        <w:ind w:firstLine="420"/>
      </w:pPr>
      <w:r>
        <w:t>（1）对</w:t>
      </w:r>
      <w:r>
        <w:rPr>
          <w:rFonts w:hint="eastAsia"/>
        </w:rPr>
        <w:t>巴楚县住房和城乡建设局2023年度城区环卫市场化项目</w:t>
      </w:r>
      <w:r>
        <w:t>实施后的满意度，包括对项目情况是否了解、知晓和满意、</w:t>
      </w:r>
      <w:r>
        <w:rPr>
          <w:rFonts w:hint="eastAsia"/>
        </w:rPr>
        <w:t>对巴楚县环卫工作</w:t>
      </w:r>
      <w:r>
        <w:t>是否了解和满意等。</w:t>
      </w:r>
    </w:p>
    <w:p>
      <w:pPr>
        <w:pageBreakBefore w:val="0"/>
        <w:kinsoku/>
        <w:wordWrap/>
        <w:overflowPunct/>
        <w:topLinePunct w:val="0"/>
        <w:autoSpaceDE/>
        <w:autoSpaceDN/>
        <w:bidi w:val="0"/>
        <w:spacing w:line="360" w:lineRule="exact"/>
        <w:ind w:firstLine="420"/>
      </w:pPr>
      <w:r>
        <w:t>（2）对</w:t>
      </w:r>
      <w:r>
        <w:rPr>
          <w:rFonts w:hint="eastAsia"/>
        </w:rPr>
        <w:t>巴楚县住房和城乡建设局2023年度城区环卫市场化项目</w:t>
      </w:r>
      <w:r>
        <w:t>的意见和建议，通过开放式问答收集，涵盖各个方面。</w:t>
      </w:r>
    </w:p>
    <w:p>
      <w:pPr>
        <w:pageBreakBefore w:val="0"/>
        <w:kinsoku/>
        <w:wordWrap/>
        <w:overflowPunct/>
        <w:topLinePunct w:val="0"/>
        <w:autoSpaceDE/>
        <w:autoSpaceDN/>
        <w:bidi w:val="0"/>
        <w:spacing w:line="360" w:lineRule="exact"/>
        <w:ind w:firstLine="422"/>
        <w:rPr>
          <w:b/>
          <w:bCs/>
        </w:rPr>
      </w:pPr>
      <w:bookmarkStart w:id="329" w:name="_Toc529373323"/>
      <w:bookmarkStart w:id="330" w:name="_Toc529373556"/>
      <w:r>
        <w:rPr>
          <w:b/>
          <w:bCs/>
        </w:rPr>
        <w:t>3.调</w:t>
      </w:r>
      <w:r>
        <w:rPr>
          <w:rFonts w:hint="eastAsia"/>
          <w:b/>
          <w:bCs/>
        </w:rPr>
        <w:t>查</w:t>
      </w:r>
      <w:r>
        <w:rPr>
          <w:b/>
          <w:bCs/>
        </w:rPr>
        <w:t>方法</w:t>
      </w:r>
      <w:bookmarkEnd w:id="329"/>
      <w:bookmarkEnd w:id="330"/>
    </w:p>
    <w:p>
      <w:pPr>
        <w:pageBreakBefore w:val="0"/>
        <w:kinsoku/>
        <w:wordWrap/>
        <w:overflowPunct/>
        <w:topLinePunct w:val="0"/>
        <w:autoSpaceDE/>
        <w:autoSpaceDN/>
        <w:bidi w:val="0"/>
        <w:spacing w:line="360" w:lineRule="exact"/>
        <w:ind w:firstLine="420"/>
      </w:pPr>
      <w:r>
        <w:t>为确保问卷</w:t>
      </w:r>
      <w:r>
        <w:rPr>
          <w:rFonts w:hint="eastAsia"/>
        </w:rPr>
        <w:t>调查</w:t>
      </w:r>
      <w:r>
        <w:t>的全面性和代表性，在全面调研开展之前会先进行论证，依据论证结果对问卷和抽样方案再进行一次修改和调整。本次问卷调查采取</w:t>
      </w:r>
      <w:r>
        <w:rPr>
          <w:rFonts w:hint="eastAsia"/>
        </w:rPr>
        <w:t>随机抽样的方式</w:t>
      </w:r>
      <w:r>
        <w:t>，</w:t>
      </w:r>
      <w:r>
        <w:rPr>
          <w:rFonts w:hint="eastAsia"/>
        </w:rPr>
        <w:t>以</w:t>
      </w:r>
      <w:r>
        <w:t>20</w:t>
      </w:r>
      <w:r>
        <w:rPr>
          <w:rFonts w:hint="eastAsia"/>
        </w:rPr>
        <w:t>23</w:t>
      </w:r>
      <w:r>
        <w:t>年度受益</w:t>
      </w:r>
      <w:r>
        <w:rPr>
          <w:rFonts w:hint="eastAsia"/>
        </w:rPr>
        <w:t>社会公众、环卫工人</w:t>
      </w:r>
      <w:r>
        <w:t>为样本，</w:t>
      </w:r>
      <w:r>
        <w:rPr>
          <w:rFonts w:hint="eastAsia"/>
        </w:rPr>
        <w:t>各</w:t>
      </w:r>
      <w:r>
        <w:t>发放问卷</w:t>
      </w:r>
      <w:r>
        <w:rPr>
          <w:rFonts w:hint="eastAsia"/>
        </w:rPr>
        <w:t>145份、151</w:t>
      </w:r>
      <w:r>
        <w:t>份。</w:t>
      </w:r>
    </w:p>
    <w:p>
      <w:pPr>
        <w:pageBreakBefore w:val="0"/>
        <w:kinsoku/>
        <w:wordWrap/>
        <w:overflowPunct/>
        <w:topLinePunct w:val="0"/>
        <w:autoSpaceDE/>
        <w:autoSpaceDN/>
        <w:bidi w:val="0"/>
        <w:spacing w:line="360" w:lineRule="exact"/>
        <w:ind w:firstLine="422"/>
        <w:rPr>
          <w:b/>
          <w:bCs/>
        </w:rPr>
      </w:pPr>
      <w:bookmarkStart w:id="331" w:name="_Toc529373325"/>
      <w:bookmarkStart w:id="332" w:name="_Toc529373558"/>
      <w:r>
        <w:rPr>
          <w:rFonts w:hint="eastAsia"/>
          <w:b/>
          <w:bCs/>
        </w:rPr>
        <w:t>4</w:t>
      </w:r>
      <w:r>
        <w:rPr>
          <w:b/>
          <w:bCs/>
        </w:rPr>
        <w:t>.问卷的发放和回收</w:t>
      </w:r>
      <w:bookmarkEnd w:id="331"/>
      <w:bookmarkEnd w:id="332"/>
    </w:p>
    <w:p>
      <w:pPr>
        <w:pageBreakBefore w:val="0"/>
        <w:kinsoku/>
        <w:wordWrap/>
        <w:overflowPunct/>
        <w:topLinePunct w:val="0"/>
        <w:autoSpaceDE/>
        <w:autoSpaceDN/>
        <w:bidi w:val="0"/>
        <w:spacing w:line="360" w:lineRule="exact"/>
        <w:ind w:firstLine="420"/>
        <w:jc w:val="left"/>
      </w:pPr>
      <w:r>
        <w:t>为充分采集</w:t>
      </w:r>
      <w:r>
        <w:rPr>
          <w:rFonts w:hint="eastAsia"/>
        </w:rPr>
        <w:t>调查</w:t>
      </w:r>
      <w:r>
        <w:t>对象的真实想法，保证</w:t>
      </w:r>
      <w:r>
        <w:rPr>
          <w:rFonts w:hint="eastAsia"/>
        </w:rPr>
        <w:t>问卷调查</w:t>
      </w:r>
      <w:r>
        <w:t>的公平性和科学性，本次问卷</w:t>
      </w:r>
      <w:r>
        <w:rPr>
          <w:rFonts w:hint="eastAsia"/>
        </w:rPr>
        <w:t>通过线上问卷形式进行</w:t>
      </w:r>
      <w:r>
        <w:t>发放与回收。</w:t>
      </w:r>
    </w:p>
    <w:p>
      <w:pPr>
        <w:pageBreakBefore w:val="0"/>
        <w:kinsoku/>
        <w:wordWrap/>
        <w:overflowPunct/>
        <w:topLinePunct w:val="0"/>
        <w:autoSpaceDE/>
        <w:autoSpaceDN/>
        <w:bidi w:val="0"/>
        <w:spacing w:line="360" w:lineRule="exact"/>
        <w:ind w:left="420" w:leftChars="200" w:firstLine="0" w:firstLineChars="0"/>
        <w:jc w:val="left"/>
        <w:rPr>
          <w:b/>
          <w:bCs/>
        </w:rPr>
      </w:pPr>
      <w:r>
        <w:rPr>
          <w:rFonts w:hint="eastAsia"/>
          <w:b/>
          <w:bCs/>
        </w:rPr>
        <w:t>5.</w:t>
      </w:r>
      <w:r>
        <w:rPr>
          <w:b/>
          <w:bCs/>
        </w:rPr>
        <w:t>问卷调查分析结果</w:t>
      </w:r>
    </w:p>
    <w:p>
      <w:pPr>
        <w:pageBreakBefore w:val="0"/>
        <w:kinsoku/>
        <w:wordWrap/>
        <w:overflowPunct/>
        <w:topLinePunct w:val="0"/>
        <w:autoSpaceDE/>
        <w:autoSpaceDN/>
        <w:bidi w:val="0"/>
        <w:spacing w:line="360" w:lineRule="exact"/>
        <w:ind w:firstLine="420"/>
        <w:jc w:val="left"/>
      </w:pPr>
      <w:r>
        <w:t>本次调研过程中，</w:t>
      </w:r>
      <w:r>
        <w:rPr>
          <w:rFonts w:hint="eastAsia"/>
        </w:rPr>
        <w:t>《巴楚县住房和城乡建设局2023年度城区环卫市场化项目调研问卷-公众》，评价组</w:t>
      </w:r>
      <w:r>
        <w:t>实际发放问卷</w:t>
      </w:r>
      <w:r>
        <w:rPr>
          <w:rFonts w:hint="eastAsia"/>
        </w:rPr>
        <w:t>145</w:t>
      </w:r>
      <w:r>
        <w:t>份，回收问卷</w:t>
      </w:r>
      <w:r>
        <w:rPr>
          <w:rFonts w:hint="eastAsia"/>
        </w:rPr>
        <w:t>145</w:t>
      </w:r>
      <w:r>
        <w:t>份，问卷回收率为</w:t>
      </w:r>
      <w:r>
        <w:rPr>
          <w:rFonts w:hint="eastAsia"/>
        </w:rPr>
        <w:t>100</w:t>
      </w:r>
      <w:r>
        <w:t>%，有效问卷</w:t>
      </w:r>
      <w:r>
        <w:rPr>
          <w:rFonts w:hint="eastAsia"/>
        </w:rPr>
        <w:t>145</w:t>
      </w:r>
      <w:r>
        <w:t>份，有效回收率</w:t>
      </w:r>
      <w:r>
        <w:rPr>
          <w:rFonts w:hint="eastAsia"/>
        </w:rPr>
        <w:t>100</w:t>
      </w:r>
      <w:r>
        <w:t>%，</w:t>
      </w:r>
      <w:r>
        <w:rPr>
          <w:rFonts w:hint="eastAsia"/>
        </w:rPr>
        <w:t>调研问卷总体满意度为96.41%。根据问卷调查结果反馈，巴楚县社会公众对环卫工作的规范、工作质量相对来说比较满意。</w:t>
      </w:r>
      <w:r>
        <w:t>本次调研的</w:t>
      </w:r>
      <w:r>
        <w:rPr>
          <w:rFonts w:hint="eastAsia"/>
        </w:rPr>
        <w:t>具体</w:t>
      </w:r>
      <w:r>
        <w:t>情况如下：</w:t>
      </w:r>
    </w:p>
    <w:tbl>
      <w:tblPr>
        <w:tblStyle w:val="19"/>
        <w:tblW w:w="7530" w:type="dxa"/>
        <w:tblInd w:w="98" w:type="dxa"/>
        <w:tblLayout w:type="autofit"/>
        <w:tblCellMar>
          <w:top w:w="0" w:type="dxa"/>
          <w:left w:w="108" w:type="dxa"/>
          <w:bottom w:w="0" w:type="dxa"/>
          <w:right w:w="108" w:type="dxa"/>
        </w:tblCellMar>
      </w:tblPr>
      <w:tblGrid>
        <w:gridCol w:w="1711"/>
        <w:gridCol w:w="2509"/>
        <w:gridCol w:w="4204"/>
      </w:tblGrid>
      <w:tr>
        <w:tblPrEx>
          <w:tblCellMar>
            <w:top w:w="0" w:type="dxa"/>
            <w:left w:w="108" w:type="dxa"/>
            <w:bottom w:w="0" w:type="dxa"/>
            <w:right w:w="108" w:type="dxa"/>
          </w:tblCellMar>
        </w:tblPrEx>
        <w:trPr>
          <w:trHeight w:val="310" w:hRule="atLeast"/>
        </w:trPr>
        <w:tc>
          <w:tcPr>
            <w:tcW w:w="75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1</w:t>
            </w:r>
            <w:r>
              <w:rPr>
                <w:rFonts w:hint="eastAsia" w:eastAsia="宋体" w:cs="Times New Roman"/>
                <w:kern w:val="0"/>
                <w:lang w:eastAsia="zh-CN" w:bidi="ar"/>
              </w:rPr>
              <w:t>.2</w:t>
            </w:r>
            <w:r>
              <w:rPr>
                <w:rFonts w:hint="default" w:ascii="Times New Roman" w:hAnsi="Times New Roman" w:eastAsia="宋体" w:cs="Times New Roman"/>
                <w:kern w:val="0"/>
                <w:lang w:bidi="ar"/>
              </w:rPr>
              <w:t>23年度环卫工作人员工作期间是否穿着带有反光标志的统一制服上岗?</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是</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144</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31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否</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0%</w:t>
            </w:r>
          </w:p>
        </w:tc>
      </w:tr>
      <w:tr>
        <w:tblPrEx>
          <w:tblCellMar>
            <w:top w:w="0" w:type="dxa"/>
            <w:left w:w="108" w:type="dxa"/>
            <w:bottom w:w="0" w:type="dxa"/>
            <w:right w:w="108" w:type="dxa"/>
          </w:tblCellMar>
        </w:tblPrEx>
        <w:trPr>
          <w:trHeight w:val="310" w:hRule="atLeast"/>
        </w:trPr>
        <w:tc>
          <w:tcPr>
            <w:tcW w:w="842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2</w:t>
            </w:r>
            <w:r>
              <w:rPr>
                <w:rFonts w:hint="eastAsia" w:eastAsia="宋体" w:cs="Times New Roman"/>
                <w:kern w:val="0"/>
                <w:lang w:eastAsia="zh-CN" w:bidi="ar"/>
              </w:rPr>
              <w:t>.2</w:t>
            </w:r>
            <w:r>
              <w:rPr>
                <w:rFonts w:hint="default" w:ascii="Times New Roman" w:hAnsi="Times New Roman" w:eastAsia="宋体" w:cs="Times New Roman"/>
                <w:kern w:val="0"/>
                <w:lang w:bidi="ar"/>
              </w:rPr>
              <w:t>23年度城区内线杆、墙体张贴的小广告是否得到及时清理？</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是</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141</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97.24%</w:t>
            </w:r>
          </w:p>
        </w:tc>
      </w:tr>
      <w:tr>
        <w:tblPrEx>
          <w:tblCellMar>
            <w:top w:w="0" w:type="dxa"/>
            <w:left w:w="108" w:type="dxa"/>
            <w:bottom w:w="0" w:type="dxa"/>
            <w:right w:w="108" w:type="dxa"/>
          </w:tblCellMar>
        </w:tblPrEx>
        <w:trPr>
          <w:trHeight w:val="31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否</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4</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2.76%</w:t>
            </w:r>
          </w:p>
        </w:tc>
      </w:tr>
      <w:tr>
        <w:tblPrEx>
          <w:tblCellMar>
            <w:top w:w="0" w:type="dxa"/>
            <w:left w:w="108" w:type="dxa"/>
            <w:bottom w:w="0" w:type="dxa"/>
            <w:right w:w="108" w:type="dxa"/>
          </w:tblCellMar>
        </w:tblPrEx>
        <w:trPr>
          <w:trHeight w:val="310" w:hRule="atLeast"/>
        </w:trPr>
        <w:tc>
          <w:tcPr>
            <w:tcW w:w="842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3</w:t>
            </w:r>
            <w:r>
              <w:rPr>
                <w:rFonts w:hint="eastAsia" w:eastAsia="宋体" w:cs="Times New Roman"/>
                <w:kern w:val="0"/>
                <w:lang w:eastAsia="zh-CN" w:bidi="ar"/>
              </w:rPr>
              <w:t>.2</w:t>
            </w:r>
            <w:r>
              <w:rPr>
                <w:rFonts w:hint="default" w:ascii="Times New Roman" w:hAnsi="Times New Roman" w:eastAsia="宋体" w:cs="Times New Roman"/>
                <w:kern w:val="0"/>
                <w:lang w:bidi="ar"/>
              </w:rPr>
              <w:t>23年度城区内道路路面、广场、绿化带、道路两侧及排水沟是否做到无垃圾、无人畜粪便、无碎砖瓦、无塑料袋等白色污染等？</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是</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139</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95.86%</w:t>
            </w:r>
          </w:p>
        </w:tc>
      </w:tr>
      <w:tr>
        <w:tblPrEx>
          <w:tblCellMar>
            <w:top w:w="0" w:type="dxa"/>
            <w:left w:w="108" w:type="dxa"/>
            <w:bottom w:w="0" w:type="dxa"/>
            <w:right w:w="108" w:type="dxa"/>
          </w:tblCellMar>
        </w:tblPrEx>
        <w:trPr>
          <w:trHeight w:val="31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否</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6</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4.14%</w:t>
            </w:r>
          </w:p>
        </w:tc>
      </w:tr>
      <w:tr>
        <w:tblPrEx>
          <w:tblCellMar>
            <w:top w:w="0" w:type="dxa"/>
            <w:left w:w="108" w:type="dxa"/>
            <w:bottom w:w="0" w:type="dxa"/>
            <w:right w:w="108" w:type="dxa"/>
          </w:tblCellMar>
        </w:tblPrEx>
        <w:trPr>
          <w:trHeight w:val="310" w:hRule="atLeast"/>
        </w:trPr>
        <w:tc>
          <w:tcPr>
            <w:tcW w:w="842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4</w:t>
            </w:r>
            <w:r>
              <w:rPr>
                <w:rFonts w:hint="eastAsia" w:eastAsia="宋体" w:cs="Times New Roman"/>
                <w:kern w:val="0"/>
                <w:lang w:eastAsia="zh-CN" w:bidi="ar"/>
              </w:rPr>
              <w:t>.2</w:t>
            </w:r>
            <w:r>
              <w:rPr>
                <w:rFonts w:hint="default" w:ascii="Times New Roman" w:hAnsi="Times New Roman" w:eastAsia="宋体" w:cs="Times New Roman"/>
                <w:kern w:val="0"/>
                <w:lang w:bidi="ar"/>
              </w:rPr>
              <w:t>23年度城区内垃圾桶是否定期进行擦洗，垃圾桶周围是否做到无散落垃圾？</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是</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141</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97.24%</w:t>
            </w:r>
          </w:p>
        </w:tc>
      </w:tr>
      <w:tr>
        <w:tblPrEx>
          <w:tblCellMar>
            <w:top w:w="0" w:type="dxa"/>
            <w:left w:w="108" w:type="dxa"/>
            <w:bottom w:w="0" w:type="dxa"/>
            <w:right w:w="108" w:type="dxa"/>
          </w:tblCellMar>
        </w:tblPrEx>
        <w:trPr>
          <w:trHeight w:val="31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否</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4</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2.76%</w:t>
            </w:r>
          </w:p>
        </w:tc>
      </w:tr>
      <w:tr>
        <w:tblPrEx>
          <w:tblCellMar>
            <w:top w:w="0" w:type="dxa"/>
            <w:left w:w="108" w:type="dxa"/>
            <w:bottom w:w="0" w:type="dxa"/>
            <w:right w:w="108" w:type="dxa"/>
          </w:tblCellMar>
        </w:tblPrEx>
        <w:trPr>
          <w:trHeight w:val="310" w:hRule="atLeast"/>
        </w:trPr>
        <w:tc>
          <w:tcPr>
            <w:tcW w:w="7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5</w:t>
            </w:r>
            <w:r>
              <w:rPr>
                <w:rFonts w:hint="eastAsia" w:eastAsia="宋体" w:cs="Times New Roman"/>
                <w:kern w:val="0"/>
                <w:lang w:eastAsia="zh-CN" w:bidi="ar"/>
              </w:rPr>
              <w:t>.2</w:t>
            </w:r>
            <w:r>
              <w:rPr>
                <w:rFonts w:hint="default" w:ascii="Times New Roman" w:hAnsi="Times New Roman" w:eastAsia="宋体" w:cs="Times New Roman"/>
                <w:kern w:val="0"/>
                <w:lang w:bidi="ar"/>
              </w:rPr>
              <w:t>23年度开展环卫工作期间，垃圾车是否做到车走地净；车容整洁，车体外无污物、灰垢标识清晰，无洒、漏、抛现象，并按规定运输至生活垃圾场，不随意倾倒，做到日产日清？</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是</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140</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96.55%</w:t>
            </w:r>
          </w:p>
        </w:tc>
      </w:tr>
      <w:tr>
        <w:tblPrEx>
          <w:tblCellMar>
            <w:top w:w="0" w:type="dxa"/>
            <w:left w:w="108" w:type="dxa"/>
            <w:bottom w:w="0" w:type="dxa"/>
            <w:right w:w="108" w:type="dxa"/>
          </w:tblCellMar>
        </w:tblPrEx>
        <w:trPr>
          <w:trHeight w:val="31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否</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5</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3.45%</w:t>
            </w:r>
          </w:p>
        </w:tc>
      </w:tr>
      <w:tr>
        <w:tblPrEx>
          <w:tblCellMar>
            <w:top w:w="0" w:type="dxa"/>
            <w:left w:w="108" w:type="dxa"/>
            <w:bottom w:w="0" w:type="dxa"/>
            <w:right w:w="108" w:type="dxa"/>
          </w:tblCellMar>
        </w:tblPrEx>
        <w:trPr>
          <w:trHeight w:val="310" w:hRule="atLeast"/>
        </w:trPr>
        <w:tc>
          <w:tcPr>
            <w:tcW w:w="7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6.您认为2023年度城区环卫设施设备数量是否充足，摆放是否合理？</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是</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137</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94.48%</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否</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8</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5.52%</w:t>
            </w:r>
          </w:p>
        </w:tc>
      </w:tr>
      <w:tr>
        <w:tblPrEx>
          <w:tblCellMar>
            <w:top w:w="0" w:type="dxa"/>
            <w:left w:w="108" w:type="dxa"/>
            <w:bottom w:w="0" w:type="dxa"/>
            <w:right w:w="108" w:type="dxa"/>
          </w:tblCellMar>
        </w:tblPrEx>
        <w:trPr>
          <w:trHeight w:val="310" w:hRule="atLeast"/>
        </w:trPr>
        <w:tc>
          <w:tcPr>
            <w:tcW w:w="7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7.您认为通过2023年度环卫工作的开展，是否达到优化城区公共区域卫生环境，提高环卫服务水平的效果？</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1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显著优化</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118</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81.38%</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有所优化</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17</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62.96%</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优化效果一般</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6</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4.14%</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优化效果较差</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0.78%</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未优化</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3</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2.11%</w:t>
            </w:r>
          </w:p>
        </w:tc>
      </w:tr>
      <w:tr>
        <w:tblPrEx>
          <w:tblCellMar>
            <w:top w:w="0" w:type="dxa"/>
            <w:left w:w="108" w:type="dxa"/>
            <w:bottom w:w="0" w:type="dxa"/>
            <w:right w:w="108" w:type="dxa"/>
          </w:tblCellMar>
        </w:tblPrEx>
        <w:trPr>
          <w:trHeight w:val="310" w:hRule="atLeast"/>
        </w:trPr>
        <w:tc>
          <w:tcPr>
            <w:tcW w:w="75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8.请问您对该2023年度城区环卫工作实施的整体情况是否满意？</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非常满意</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124</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85.52%</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满意</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15</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10.34%</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比较满意</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3</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2.07%</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不满意</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0</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0%</w:t>
            </w:r>
          </w:p>
        </w:tc>
      </w:tr>
      <w:tr>
        <w:tblPrEx>
          <w:tblCellMar>
            <w:top w:w="0" w:type="dxa"/>
            <w:left w:w="108" w:type="dxa"/>
            <w:bottom w:w="0" w:type="dxa"/>
            <w:right w:w="108" w:type="dxa"/>
          </w:tblCellMar>
        </w:tblPrEx>
        <w:trPr>
          <w:trHeight w:val="300" w:hRule="atLeast"/>
        </w:trPr>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不了解</w:t>
            </w:r>
          </w:p>
        </w:tc>
        <w:tc>
          <w:tcPr>
            <w:tcW w:w="250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3</w:t>
            </w:r>
          </w:p>
        </w:tc>
        <w:tc>
          <w:tcPr>
            <w:tcW w:w="4204"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2.07%</w:t>
            </w:r>
          </w:p>
        </w:tc>
      </w:tr>
    </w:tbl>
    <w:p>
      <w:pPr>
        <w:pageBreakBefore w:val="0"/>
        <w:kinsoku/>
        <w:wordWrap/>
        <w:overflowPunct/>
        <w:topLinePunct w:val="0"/>
        <w:autoSpaceDE/>
        <w:autoSpaceDN/>
        <w:bidi w:val="0"/>
        <w:spacing w:line="360" w:lineRule="exact"/>
        <w:ind w:firstLine="420"/>
        <w:jc w:val="left"/>
      </w:pPr>
    </w:p>
    <w:p>
      <w:pPr>
        <w:pageBreakBefore w:val="0"/>
        <w:kinsoku/>
        <w:wordWrap/>
        <w:overflowPunct/>
        <w:topLinePunct w:val="0"/>
        <w:autoSpaceDE/>
        <w:autoSpaceDN/>
        <w:bidi w:val="0"/>
        <w:spacing w:line="360" w:lineRule="exact"/>
        <w:ind w:firstLine="420"/>
        <w:jc w:val="left"/>
      </w:pPr>
      <w:r>
        <w:t>本次调研过程中，</w:t>
      </w:r>
      <w:r>
        <w:rPr>
          <w:rFonts w:hint="eastAsia"/>
        </w:rPr>
        <w:t>《巴楚县住房和城乡建设局2023年度城区环卫市场化项目调研问卷-环卫工人》，评价组</w:t>
      </w:r>
      <w:r>
        <w:t>实际发放问卷</w:t>
      </w:r>
      <w:r>
        <w:rPr>
          <w:rFonts w:hint="eastAsia"/>
        </w:rPr>
        <w:t>151</w:t>
      </w:r>
      <w:r>
        <w:t>份，回收问卷</w:t>
      </w:r>
      <w:r>
        <w:rPr>
          <w:rFonts w:hint="eastAsia"/>
        </w:rPr>
        <w:t>151</w:t>
      </w:r>
      <w:r>
        <w:t>份，问卷回收率为</w:t>
      </w:r>
      <w:r>
        <w:rPr>
          <w:rFonts w:hint="eastAsia"/>
        </w:rPr>
        <w:t>100</w:t>
      </w:r>
      <w:r>
        <w:t>%，有效问卷</w:t>
      </w:r>
      <w:r>
        <w:rPr>
          <w:rFonts w:hint="eastAsia"/>
        </w:rPr>
        <w:t>151</w:t>
      </w:r>
      <w:r>
        <w:t>份，有效回收率</w:t>
      </w:r>
      <w:r>
        <w:rPr>
          <w:rFonts w:hint="eastAsia"/>
        </w:rPr>
        <w:t>100</w:t>
      </w:r>
      <w:r>
        <w:t>%，</w:t>
      </w:r>
      <w:r>
        <w:rPr>
          <w:rFonts w:hint="eastAsia"/>
        </w:rPr>
        <w:t>调研问卷总体满意度为91.17%。根据问卷调查结果反馈，巴楚县社会公众对环卫工作的培训、规范、福利相对来说比较满意，对于提升收入水平，辞退程序方面满意度一般。</w:t>
      </w:r>
      <w:r>
        <w:t>本次调研的</w:t>
      </w:r>
      <w:r>
        <w:rPr>
          <w:rFonts w:hint="eastAsia"/>
        </w:rPr>
        <w:t>具体</w:t>
      </w:r>
      <w:r>
        <w:t>情况如下：</w:t>
      </w:r>
    </w:p>
    <w:tbl>
      <w:tblPr>
        <w:tblStyle w:val="19"/>
        <w:tblW w:w="7580" w:type="dxa"/>
        <w:tblInd w:w="98" w:type="dxa"/>
        <w:tblLayout w:type="autofit"/>
        <w:tblCellMar>
          <w:top w:w="0" w:type="dxa"/>
          <w:left w:w="108" w:type="dxa"/>
          <w:bottom w:w="0" w:type="dxa"/>
          <w:right w:w="108" w:type="dxa"/>
        </w:tblCellMar>
      </w:tblPr>
      <w:tblGrid>
        <w:gridCol w:w="1645"/>
        <w:gridCol w:w="3140"/>
        <w:gridCol w:w="3306"/>
      </w:tblGrid>
      <w:tr>
        <w:tblPrEx>
          <w:tblCellMar>
            <w:top w:w="0" w:type="dxa"/>
            <w:left w:w="108" w:type="dxa"/>
            <w:bottom w:w="0" w:type="dxa"/>
            <w:right w:w="108" w:type="dxa"/>
          </w:tblCellMar>
        </w:tblPrEx>
        <w:trPr>
          <w:trHeight w:val="420" w:hRule="atLeast"/>
        </w:trPr>
        <w:tc>
          <w:tcPr>
            <w:tcW w:w="758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1</w:t>
            </w:r>
            <w:r>
              <w:rPr>
                <w:rFonts w:hint="eastAsia" w:eastAsia="宋体" w:cs="Times New Roman"/>
                <w:kern w:val="0"/>
                <w:lang w:eastAsia="zh-CN" w:bidi="ar"/>
              </w:rPr>
              <w:t>.2</w:t>
            </w:r>
            <w:r>
              <w:rPr>
                <w:rFonts w:hint="default" w:ascii="Times New Roman" w:hAnsi="Times New Roman" w:eastAsia="宋体" w:cs="Times New Roman"/>
                <w:kern w:val="0"/>
                <w:lang w:bidi="ar"/>
              </w:rPr>
              <w:t>23年度，在您上岗前，单位是否组织了岗前培训?</w:t>
            </w:r>
          </w:p>
        </w:tc>
      </w:tr>
      <w:tr>
        <w:tblPrEx>
          <w:tblCellMar>
            <w:top w:w="0" w:type="dxa"/>
            <w:left w:w="108" w:type="dxa"/>
            <w:bottom w:w="0" w:type="dxa"/>
            <w:right w:w="108" w:type="dxa"/>
          </w:tblCellMar>
        </w:tblPrEx>
        <w:trPr>
          <w:trHeight w:val="31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是</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140</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100%</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否</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11</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0%</w:t>
            </w:r>
          </w:p>
        </w:tc>
      </w:tr>
      <w:tr>
        <w:tblPrEx>
          <w:tblCellMar>
            <w:top w:w="0" w:type="dxa"/>
            <w:left w:w="108" w:type="dxa"/>
            <w:bottom w:w="0" w:type="dxa"/>
            <w:right w:w="108" w:type="dxa"/>
          </w:tblCellMar>
        </w:tblPrEx>
        <w:trPr>
          <w:trHeight w:val="31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2</w:t>
            </w:r>
            <w:r>
              <w:rPr>
                <w:rFonts w:hint="eastAsia" w:eastAsia="宋体" w:cs="Times New Roman"/>
                <w:kern w:val="0"/>
                <w:lang w:eastAsia="zh-CN" w:bidi="ar"/>
              </w:rPr>
              <w:t>.2</w:t>
            </w:r>
            <w:r>
              <w:rPr>
                <w:rFonts w:hint="default" w:ascii="Times New Roman" w:hAnsi="Times New Roman" w:eastAsia="宋体" w:cs="Times New Roman"/>
                <w:kern w:val="0"/>
                <w:lang w:bidi="ar"/>
              </w:rPr>
              <w:t>23年度，在您工作期间，单位是否为您提供了必要的安全护具与统一的工作制服？</w:t>
            </w:r>
          </w:p>
        </w:tc>
      </w:tr>
      <w:tr>
        <w:tblPrEx>
          <w:tblCellMar>
            <w:top w:w="0" w:type="dxa"/>
            <w:left w:w="108" w:type="dxa"/>
            <w:bottom w:w="0" w:type="dxa"/>
            <w:right w:w="108" w:type="dxa"/>
          </w:tblCellMar>
        </w:tblPrEx>
        <w:trPr>
          <w:trHeight w:val="31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是</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140</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92.72%</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否</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11</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7.28%</w:t>
            </w:r>
          </w:p>
        </w:tc>
      </w:tr>
      <w:tr>
        <w:tblPrEx>
          <w:tblCellMar>
            <w:top w:w="0" w:type="dxa"/>
            <w:left w:w="108" w:type="dxa"/>
            <w:bottom w:w="0" w:type="dxa"/>
            <w:right w:w="108" w:type="dxa"/>
          </w:tblCellMar>
        </w:tblPrEx>
        <w:trPr>
          <w:trHeight w:val="310" w:hRule="atLeast"/>
        </w:trPr>
        <w:tc>
          <w:tcPr>
            <w:tcW w:w="7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3</w:t>
            </w:r>
            <w:r>
              <w:rPr>
                <w:rFonts w:hint="eastAsia" w:eastAsia="宋体" w:cs="Times New Roman"/>
                <w:kern w:val="0"/>
                <w:lang w:eastAsia="zh-CN" w:bidi="ar"/>
              </w:rPr>
              <w:t>.2</w:t>
            </w:r>
            <w:r>
              <w:rPr>
                <w:rFonts w:hint="default" w:ascii="Times New Roman" w:hAnsi="Times New Roman" w:eastAsia="宋体" w:cs="Times New Roman"/>
                <w:kern w:val="0"/>
                <w:lang w:bidi="ar"/>
              </w:rPr>
              <w:t>23年度，在您工作期间，单位是否及时向您发放工资福利并在重大节日开展节日慰问？</w:t>
            </w:r>
          </w:p>
        </w:tc>
      </w:tr>
      <w:tr>
        <w:tblPrEx>
          <w:tblCellMar>
            <w:top w:w="0" w:type="dxa"/>
            <w:left w:w="108" w:type="dxa"/>
            <w:bottom w:w="0" w:type="dxa"/>
            <w:right w:w="108" w:type="dxa"/>
          </w:tblCellMar>
        </w:tblPrEx>
        <w:trPr>
          <w:trHeight w:val="31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是</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140</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92.72%</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否</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11</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7.28%</w:t>
            </w:r>
          </w:p>
        </w:tc>
      </w:tr>
      <w:tr>
        <w:tblPrEx>
          <w:tblCellMar>
            <w:top w:w="0" w:type="dxa"/>
            <w:left w:w="108" w:type="dxa"/>
            <w:bottom w:w="0" w:type="dxa"/>
            <w:right w:w="108" w:type="dxa"/>
          </w:tblCellMar>
        </w:tblPrEx>
        <w:trPr>
          <w:trHeight w:val="31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4</w:t>
            </w:r>
            <w:r>
              <w:rPr>
                <w:rFonts w:hint="eastAsia" w:eastAsia="宋体" w:cs="Times New Roman"/>
                <w:kern w:val="0"/>
                <w:lang w:eastAsia="zh-CN" w:bidi="ar"/>
              </w:rPr>
              <w:t>.2</w:t>
            </w:r>
            <w:r>
              <w:rPr>
                <w:rFonts w:hint="default" w:ascii="Times New Roman" w:hAnsi="Times New Roman" w:eastAsia="宋体" w:cs="Times New Roman"/>
                <w:kern w:val="0"/>
                <w:lang w:bidi="ar"/>
              </w:rPr>
              <w:t>23年度，在您工作期间，是否按程序开展考核，不无故辞退环卫工作人员？</w:t>
            </w:r>
          </w:p>
        </w:tc>
      </w:tr>
      <w:tr>
        <w:tblPrEx>
          <w:tblCellMar>
            <w:top w:w="0" w:type="dxa"/>
            <w:left w:w="108" w:type="dxa"/>
            <w:bottom w:w="0" w:type="dxa"/>
            <w:right w:w="108" w:type="dxa"/>
          </w:tblCellMar>
        </w:tblPrEx>
        <w:trPr>
          <w:trHeight w:val="31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是</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130</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86.09%</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否</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21</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13.91%</w:t>
            </w:r>
          </w:p>
        </w:tc>
      </w:tr>
      <w:tr>
        <w:tblPrEx>
          <w:tblCellMar>
            <w:top w:w="0" w:type="dxa"/>
            <w:left w:w="108" w:type="dxa"/>
            <w:bottom w:w="0" w:type="dxa"/>
            <w:right w:w="108" w:type="dxa"/>
          </w:tblCellMar>
        </w:tblPrEx>
        <w:trPr>
          <w:trHeight w:val="310" w:hRule="atLeast"/>
        </w:trPr>
        <w:tc>
          <w:tcPr>
            <w:tcW w:w="7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5</w:t>
            </w:r>
            <w:r>
              <w:rPr>
                <w:rFonts w:hint="eastAsia" w:eastAsia="宋体" w:cs="Times New Roman"/>
                <w:kern w:val="0"/>
                <w:lang w:eastAsia="zh-CN" w:bidi="ar"/>
              </w:rPr>
              <w:t>.2</w:t>
            </w:r>
            <w:r>
              <w:rPr>
                <w:rFonts w:hint="default" w:ascii="Times New Roman" w:hAnsi="Times New Roman" w:eastAsia="宋体" w:cs="Times New Roman"/>
                <w:kern w:val="0"/>
                <w:lang w:bidi="ar"/>
              </w:rPr>
              <w:t>23年度，单位是否组织开展“环卫工人节”表彰活动？</w:t>
            </w:r>
          </w:p>
        </w:tc>
      </w:tr>
      <w:tr>
        <w:tblPrEx>
          <w:tblCellMar>
            <w:top w:w="0" w:type="dxa"/>
            <w:left w:w="108" w:type="dxa"/>
            <w:bottom w:w="0" w:type="dxa"/>
            <w:right w:w="108" w:type="dxa"/>
          </w:tblCellMar>
        </w:tblPrEx>
        <w:trPr>
          <w:trHeight w:val="31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是</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140</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92.72%</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否</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11</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7.28%</w:t>
            </w:r>
          </w:p>
        </w:tc>
      </w:tr>
      <w:tr>
        <w:tblPrEx>
          <w:tblCellMar>
            <w:top w:w="0" w:type="dxa"/>
            <w:left w:w="108" w:type="dxa"/>
            <w:bottom w:w="0" w:type="dxa"/>
            <w:right w:w="108" w:type="dxa"/>
          </w:tblCellMar>
        </w:tblPrEx>
        <w:trPr>
          <w:trHeight w:val="310" w:hRule="atLeast"/>
        </w:trPr>
        <w:tc>
          <w:tcPr>
            <w:tcW w:w="7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6.您认为通过2023年环卫工作的开展，是否达到提高环卫工人生活水平的效果？</w:t>
            </w:r>
          </w:p>
        </w:tc>
      </w:tr>
      <w:tr>
        <w:tblPrEx>
          <w:tblCellMar>
            <w:top w:w="0" w:type="dxa"/>
            <w:left w:w="108" w:type="dxa"/>
            <w:bottom w:w="0" w:type="dxa"/>
            <w:right w:w="108" w:type="dxa"/>
          </w:tblCellMar>
        </w:tblPrEx>
        <w:trPr>
          <w:trHeight w:val="31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显著提高</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124</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82.12%</w:t>
            </w:r>
          </w:p>
        </w:tc>
      </w:tr>
      <w:tr>
        <w:tblPrEx>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有所提高</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33.33%</w:t>
            </w:r>
          </w:p>
        </w:tc>
      </w:tr>
      <w:tr>
        <w:tblPrEx>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提高效果一般</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9</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5.96%</w:t>
            </w:r>
          </w:p>
        </w:tc>
      </w:tr>
      <w:tr>
        <w:tblPrEx>
          <w:tblCellMar>
            <w:top w:w="0" w:type="dxa"/>
            <w:left w:w="108" w:type="dxa"/>
            <w:bottom w:w="0" w:type="dxa"/>
            <w:right w:w="108" w:type="dxa"/>
          </w:tblCellMar>
        </w:tblPrEx>
        <w:trPr>
          <w:trHeight w:val="3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提高效果较差</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0.74%</w:t>
            </w:r>
          </w:p>
        </w:tc>
      </w:tr>
      <w:tr>
        <w:tblPrEx>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未提高</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8</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5.63%</w:t>
            </w:r>
          </w:p>
        </w:tc>
      </w:tr>
      <w:tr>
        <w:tblPrEx>
          <w:tblCellMar>
            <w:top w:w="0" w:type="dxa"/>
            <w:left w:w="108" w:type="dxa"/>
            <w:bottom w:w="0" w:type="dxa"/>
            <w:right w:w="108" w:type="dxa"/>
          </w:tblCellMar>
        </w:tblPrEx>
        <w:trPr>
          <w:trHeight w:val="310" w:hRule="atLeast"/>
        </w:trPr>
        <w:tc>
          <w:tcPr>
            <w:tcW w:w="758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left"/>
              <w:textAlignment w:val="center"/>
              <w:rPr>
                <w:rFonts w:ascii="Times New Roman" w:hAnsi="Times New Roman" w:eastAsia="宋体" w:cs="Times New Roman"/>
              </w:rPr>
            </w:pPr>
            <w:r>
              <w:rPr>
                <w:rFonts w:hint="default" w:ascii="Times New Roman" w:hAnsi="Times New Roman" w:eastAsia="宋体" w:cs="Times New Roman"/>
                <w:kern w:val="0"/>
                <w:lang w:bidi="ar"/>
              </w:rPr>
              <w:t>7.请问您对该2023年度城区环卫工作实施的整体情况是否满意？</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选项</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反馈数量</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占比</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非常满意</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127</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84.11%</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满意</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7</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4.64%</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比较满意</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5</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3.31%</w:t>
            </w:r>
          </w:p>
        </w:tc>
      </w:tr>
      <w:tr>
        <w:tblPrEx>
          <w:tblCellMar>
            <w:top w:w="0" w:type="dxa"/>
            <w:left w:w="108" w:type="dxa"/>
            <w:bottom w:w="0" w:type="dxa"/>
            <w:right w:w="108" w:type="dxa"/>
          </w:tblCellMar>
        </w:tblPrEx>
        <w:trPr>
          <w:trHeight w:val="31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不满意</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4</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2.65%</w:t>
            </w:r>
          </w:p>
        </w:tc>
      </w:tr>
      <w:tr>
        <w:tblPrEx>
          <w:tblCellMar>
            <w:top w:w="0" w:type="dxa"/>
            <w:left w:w="108" w:type="dxa"/>
            <w:bottom w:w="0" w:type="dxa"/>
            <w:right w:w="108" w:type="dxa"/>
          </w:tblCellMar>
        </w:tblPrEx>
        <w:trPr>
          <w:trHeight w:val="300" w:hRule="atLeast"/>
        </w:trPr>
        <w:tc>
          <w:tcPr>
            <w:tcW w:w="1542"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不了解</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8</w:t>
            </w:r>
          </w:p>
        </w:tc>
        <w:tc>
          <w:tcPr>
            <w:tcW w:w="3099" w:type="dxa"/>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pacing w:line="360" w:lineRule="exact"/>
              <w:ind w:firstLine="0" w:firstLineChars="0"/>
              <w:jc w:val="center"/>
              <w:textAlignment w:val="center"/>
              <w:rPr>
                <w:rFonts w:ascii="Times New Roman" w:hAnsi="Times New Roman" w:eastAsia="宋体" w:cs="Times New Roman"/>
              </w:rPr>
            </w:pPr>
            <w:r>
              <w:rPr>
                <w:rFonts w:hint="default" w:ascii="Times New Roman" w:hAnsi="Times New Roman" w:eastAsia="宋体" w:cs="Times New Roman"/>
                <w:kern w:val="0"/>
                <w:lang w:bidi="ar"/>
              </w:rPr>
              <w:t>5</w:t>
            </w:r>
            <w:r>
              <w:rPr>
                <w:rFonts w:hint="eastAsia" w:eastAsia="宋体" w:cs="Times New Roman"/>
                <w:kern w:val="0"/>
                <w:lang w:eastAsia="zh-CN" w:bidi="ar"/>
              </w:rPr>
              <w:t>.3</w:t>
            </w:r>
            <w:r>
              <w:rPr>
                <w:rFonts w:hint="default" w:ascii="Times New Roman" w:hAnsi="Times New Roman" w:eastAsia="宋体" w:cs="Times New Roman"/>
                <w:kern w:val="0"/>
                <w:lang w:bidi="ar"/>
              </w:rPr>
              <w:t>%</w:t>
            </w:r>
          </w:p>
        </w:tc>
      </w:tr>
    </w:tbl>
    <w:p>
      <w:pPr>
        <w:pageBreakBefore w:val="0"/>
        <w:kinsoku/>
        <w:wordWrap/>
        <w:overflowPunct/>
        <w:topLinePunct w:val="0"/>
        <w:autoSpaceDE/>
        <w:autoSpaceDN/>
        <w:bidi w:val="0"/>
        <w:spacing w:line="360" w:lineRule="exact"/>
        <w:ind w:firstLine="0" w:firstLineChars="0"/>
        <w:rPr>
          <w:rFonts w:hint="eastAsia" w:eastAsiaTheme="minorEastAsia"/>
          <w:lang w:eastAsia="zh-CN"/>
        </w:rPr>
      </w:pPr>
    </w:p>
    <w:sectPr>
      <w:pgSz w:w="11906" w:h="16838"/>
      <w:pgMar w:top="1440" w:right="1800" w:bottom="1440" w:left="1800" w:header="851" w:footer="90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altName w:val="微软雅黑"/>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439"/>
        <w:tab w:val="right" w:pos="8999"/>
      </w:tabs>
      <w:ind w:firstLine="360"/>
    </w:pPr>
    <w:r>
      <w:rPr>
        <w:rFonts w:hint="eastAsia"/>
      </w:rPr>
      <w:tab/>
    </w:r>
    <w:r>
      <w:rPr>
        <w:rFonts w:hint="eastAsia"/>
      </w:rPr>
      <w:tab/>
    </w:r>
    <w:r>
      <w:rPr>
        <w:rFonts w:hint="eastAsia"/>
      </w:rPr>
      <w:tab/>
    </w:r>
    <w:r>
      <w:rPr>
        <w:rFonts w:hint="eastAsia"/>
      </w:rPr>
      <w:tab/>
    </w:r>
  </w:p>
  <w:p>
    <w:pPr>
      <w:pStyle w:val="13"/>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right"/>
    </w:pPr>
    <w:r>
      <mc:AlternateContent>
        <mc:Choice Requires="wps">
          <w:drawing>
            <wp:anchor distT="0" distB="0" distL="114300" distR="114300" simplePos="0" relativeHeight="251659264" behindDoc="0" locked="0" layoutInCell="1" allowOverlap="1">
              <wp:simplePos x="0" y="0"/>
              <wp:positionH relativeFrom="margin">
                <wp:posOffset>2633980</wp:posOffset>
              </wp:positionH>
              <wp:positionV relativeFrom="paragraph">
                <wp:posOffset>0</wp:posOffset>
              </wp:positionV>
              <wp:extent cx="32639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26390" cy="1828800"/>
                      </a:xfrm>
                      <a:prstGeom prst="rect">
                        <a:avLst/>
                      </a:prstGeom>
                      <a:noFill/>
                      <a:ln>
                        <a:noFill/>
                      </a:ln>
                    </wps:spPr>
                    <wps:txbx>
                      <w:txbxContent>
                        <w:p>
                          <w:pPr>
                            <w:pStyle w:val="13"/>
                            <w:spacing w:line="240" w:lineRule="auto"/>
                            <w:ind w:firstLine="0" w:firstLineChars="0"/>
                          </w:pPr>
                          <w:r>
                            <w:fldChar w:fldCharType="begin"/>
                          </w:r>
                          <w:r>
                            <w:instrText xml:space="preserve"> PAGE  \* MERGEFORMAT </w:instrText>
                          </w:r>
                          <w:r>
                            <w:fldChar w:fldCharType="separate"/>
                          </w:r>
                          <w:r>
                            <w:t>II</w:t>
                          </w:r>
                          <w:r>
                            <w:fldChar w:fldCharType="end"/>
                          </w:r>
                        </w:p>
                      </w:txbxContent>
                    </wps:txbx>
                    <wps:bodyPr lIns="0" tIns="0" rIns="0" bIns="0">
                      <a:spAutoFit/>
                    </wps:bodyPr>
                  </wps:wsp>
                </a:graphicData>
              </a:graphic>
            </wp:anchor>
          </w:drawing>
        </mc:Choice>
        <mc:Fallback>
          <w:pict>
            <v:shape id="_x0000_s1026" o:spid="_x0000_s1026" o:spt="202" type="#_x0000_t202" style="position:absolute;left:0pt;margin-left:207.4pt;margin-top:0pt;height:144pt;width:25.7pt;mso-position-horizontal-relative:margin;z-index:251659264;mso-width-relative:page;mso-height-relative:page;" filled="f" stroked="f" coordsize="21600,21600" o:gfxdata="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Gzqn9UAAAAIAQAADwAAAAAA&#10;AAABACAAAAAiAAAAZHJzL2Rvd25yZXYueG1sUEsBAhQAFAAAAAgAh07iQLGHlg6kAQAAMgMAAA4A&#10;AAAAAAAAAQAgAAAAJAEAAGRycy9lMm9Eb2MueG1sUEsFBgAAAAAGAAYAWQEAADoFAAAAAA==&#10;">
              <v:fill on="f" focussize="0,0"/>
              <v:stroke on="f"/>
              <v:imagedata o:title=""/>
              <o:lock v:ext="edit" aspectratio="f"/>
              <v:textbox inset="0mm,0mm,0mm,0mm" style="mso-fit-shape-to-text:t;">
                <w:txbxContent>
                  <w:p>
                    <w:pPr>
                      <w:pStyle w:val="13"/>
                      <w:spacing w:line="240" w:lineRule="auto"/>
                      <w:ind w:firstLine="0" w:firstLineChars="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6964453"/>
    </w:sdtPr>
    <w:sdtContent>
      <w:p>
        <w:pPr>
          <w:pStyle w:val="13"/>
          <w:ind w:firstLine="360"/>
          <w:jc w:val="center"/>
        </w:pPr>
        <w:r>
          <w:fldChar w:fldCharType="begin"/>
        </w:r>
        <w:r>
          <w:instrText xml:space="preserve">PAGE   \* MERGEFORMAT</w:instrText>
        </w:r>
        <w:r>
          <w:fldChar w:fldCharType="separate"/>
        </w:r>
        <w:r>
          <w:rPr>
            <w:lang w:val="zh-CN"/>
          </w:rPr>
          <w:t>18</w:t>
        </w:r>
        <w:r>
          <w:fldChar w:fldCharType="end"/>
        </w:r>
      </w:p>
    </w:sdtContent>
  </w:sdt>
  <w:p>
    <w:pPr>
      <w:pStyle w:val="13"/>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0654414"/>
    </w:sdtPr>
    <w:sdtContent>
      <w:p>
        <w:pPr>
          <w:pStyle w:val="13"/>
          <w:ind w:firstLine="360"/>
          <w:jc w:val="center"/>
        </w:pPr>
        <w:r>
          <w:fldChar w:fldCharType="begin"/>
        </w:r>
        <w:r>
          <w:instrText xml:space="preserve">PAGE   \* MERGEFORMAT</w:instrText>
        </w:r>
        <w:r>
          <w:fldChar w:fldCharType="separate"/>
        </w:r>
        <w:r>
          <w:rPr>
            <w:lang w:val="zh-CN"/>
          </w:rPr>
          <w:t>20</w:t>
        </w:r>
        <w:r>
          <w:fldChar w:fldCharType="end"/>
        </w:r>
      </w:p>
    </w:sdtContent>
  </w:sdt>
  <w:p>
    <w:pPr>
      <w:pStyle w:val="13"/>
      <w:ind w:firstLine="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9251423"/>
    </w:sdtPr>
    <w:sdtContent>
      <w:p>
        <w:pPr>
          <w:pStyle w:val="13"/>
          <w:ind w:firstLine="360"/>
          <w:jc w:val="center"/>
        </w:pPr>
        <w:r>
          <w:fldChar w:fldCharType="begin"/>
        </w:r>
        <w:r>
          <w:instrText xml:space="preserve">PAGE   \* MERGEFORMAT</w:instrText>
        </w:r>
        <w:r>
          <w:fldChar w:fldCharType="separate"/>
        </w:r>
        <w:r>
          <w:rPr>
            <w:lang w:val="zh-CN"/>
          </w:rPr>
          <w:t>31</w:t>
        </w:r>
        <w:r>
          <w:fldChar w:fldCharType="end"/>
        </w:r>
      </w:p>
    </w:sdtContent>
  </w:sdt>
  <w:p>
    <w:pPr>
      <w:pStyle w:val="13"/>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0"/>
      </w:pBdr>
      <w:ind w:firstLine="0" w:firstLineChars="0"/>
      <w:jc w:val="right"/>
      <w:rPr>
        <w:rFonts w:ascii="黑体" w:hAnsi="黑体" w:eastAsia="黑体" w:cs="黑体"/>
        <w:b/>
        <w:bCs/>
        <w:sz w:val="15"/>
        <w:szCs w:val="15"/>
      </w:rPr>
    </w:pPr>
    <w:r>
      <w:rPr>
        <w:rFonts w:hint="eastAsia" w:ascii="黑体" w:hAnsi="黑体" w:eastAsia="黑体" w:cs="黑体"/>
        <w:b/>
        <w:bCs/>
        <w:sz w:val="15"/>
        <w:szCs w:val="15"/>
      </w:rPr>
      <w:t>巴楚县住房和城乡建设局2023年度城区环卫市场化项目绩效评价报告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F7A89"/>
    <w:multiLevelType w:val="singleLevel"/>
    <w:tmpl w:val="536F7A89"/>
    <w:lvl w:ilvl="0" w:tentative="0">
      <w:start w:val="1"/>
      <w:numFmt w:val="decimal"/>
      <w:suff w:val="nothing"/>
      <w:lvlText w:val="%1."/>
      <w:lvlJc w:val="left"/>
      <w:pPr>
        <w:ind w:left="0" w:firstLine="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MWIwZGExYjFiYmEwZTI5M2Y4YmVjYmY1ZmZhYjYifQ=="/>
  </w:docVars>
  <w:rsids>
    <w:rsidRoot w:val="00A03703"/>
    <w:rsid w:val="00144E57"/>
    <w:rsid w:val="0020458F"/>
    <w:rsid w:val="00207014"/>
    <w:rsid w:val="00252009"/>
    <w:rsid w:val="002550B3"/>
    <w:rsid w:val="002E7AB5"/>
    <w:rsid w:val="0036398D"/>
    <w:rsid w:val="0041395F"/>
    <w:rsid w:val="00426245"/>
    <w:rsid w:val="00482D60"/>
    <w:rsid w:val="006C6562"/>
    <w:rsid w:val="00774338"/>
    <w:rsid w:val="007F64BD"/>
    <w:rsid w:val="00813149"/>
    <w:rsid w:val="00837A57"/>
    <w:rsid w:val="009646B6"/>
    <w:rsid w:val="00A03703"/>
    <w:rsid w:val="00A15A88"/>
    <w:rsid w:val="00C24A22"/>
    <w:rsid w:val="00C267BB"/>
    <w:rsid w:val="00C32FFE"/>
    <w:rsid w:val="00C83FDF"/>
    <w:rsid w:val="00CA14B6"/>
    <w:rsid w:val="00D265A7"/>
    <w:rsid w:val="00D50A30"/>
    <w:rsid w:val="00E12696"/>
    <w:rsid w:val="00EE50F7"/>
    <w:rsid w:val="02C620A0"/>
    <w:rsid w:val="035717DD"/>
    <w:rsid w:val="04542819"/>
    <w:rsid w:val="07CA6A21"/>
    <w:rsid w:val="089D12E9"/>
    <w:rsid w:val="08AC5824"/>
    <w:rsid w:val="08F4787A"/>
    <w:rsid w:val="09E65C14"/>
    <w:rsid w:val="0AEB4F99"/>
    <w:rsid w:val="0C394176"/>
    <w:rsid w:val="0C69230C"/>
    <w:rsid w:val="0E215C6B"/>
    <w:rsid w:val="0E5B5DCC"/>
    <w:rsid w:val="0EB41BF8"/>
    <w:rsid w:val="0EC86014"/>
    <w:rsid w:val="10F824C8"/>
    <w:rsid w:val="110411F6"/>
    <w:rsid w:val="11967035"/>
    <w:rsid w:val="11C83272"/>
    <w:rsid w:val="13513B8A"/>
    <w:rsid w:val="136A4CE7"/>
    <w:rsid w:val="153927DF"/>
    <w:rsid w:val="16090E87"/>
    <w:rsid w:val="178025FC"/>
    <w:rsid w:val="1821504C"/>
    <w:rsid w:val="18505936"/>
    <w:rsid w:val="1A6B1982"/>
    <w:rsid w:val="1B6A60FA"/>
    <w:rsid w:val="1C52126E"/>
    <w:rsid w:val="1D1A58FD"/>
    <w:rsid w:val="1D946EA9"/>
    <w:rsid w:val="1DBC6F05"/>
    <w:rsid w:val="1DF47EFC"/>
    <w:rsid w:val="1FCD30FB"/>
    <w:rsid w:val="20070B5C"/>
    <w:rsid w:val="204A047D"/>
    <w:rsid w:val="208800D4"/>
    <w:rsid w:val="20DD736E"/>
    <w:rsid w:val="236D22BB"/>
    <w:rsid w:val="23B14FE2"/>
    <w:rsid w:val="245908B0"/>
    <w:rsid w:val="25237832"/>
    <w:rsid w:val="25AF6319"/>
    <w:rsid w:val="25F7546A"/>
    <w:rsid w:val="26A3222C"/>
    <w:rsid w:val="273D4AD5"/>
    <w:rsid w:val="297F406F"/>
    <w:rsid w:val="2AAD1304"/>
    <w:rsid w:val="2CD07DE1"/>
    <w:rsid w:val="2D0B4074"/>
    <w:rsid w:val="2DB80995"/>
    <w:rsid w:val="2E1D54E7"/>
    <w:rsid w:val="2E6130F5"/>
    <w:rsid w:val="2F4E29FD"/>
    <w:rsid w:val="2FAA6DC7"/>
    <w:rsid w:val="311A3CC6"/>
    <w:rsid w:val="31FE5764"/>
    <w:rsid w:val="33484DD4"/>
    <w:rsid w:val="33A61841"/>
    <w:rsid w:val="35284101"/>
    <w:rsid w:val="355E2CAD"/>
    <w:rsid w:val="36C90E9A"/>
    <w:rsid w:val="36D64231"/>
    <w:rsid w:val="37823126"/>
    <w:rsid w:val="388A6B77"/>
    <w:rsid w:val="398D26CB"/>
    <w:rsid w:val="3AEF3BB8"/>
    <w:rsid w:val="3C161249"/>
    <w:rsid w:val="3DAF0D3F"/>
    <w:rsid w:val="3DB50D85"/>
    <w:rsid w:val="3DBA662D"/>
    <w:rsid w:val="3DD1290B"/>
    <w:rsid w:val="41A121EF"/>
    <w:rsid w:val="42380262"/>
    <w:rsid w:val="43964F0B"/>
    <w:rsid w:val="452D3B70"/>
    <w:rsid w:val="453E31AD"/>
    <w:rsid w:val="46D1728D"/>
    <w:rsid w:val="48CE0E18"/>
    <w:rsid w:val="49516307"/>
    <w:rsid w:val="4AE0586A"/>
    <w:rsid w:val="4AEC1DD8"/>
    <w:rsid w:val="4B257AB9"/>
    <w:rsid w:val="4C550081"/>
    <w:rsid w:val="4C6E6818"/>
    <w:rsid w:val="4C946088"/>
    <w:rsid w:val="4CC4300C"/>
    <w:rsid w:val="4CDB6036"/>
    <w:rsid w:val="4CE81270"/>
    <w:rsid w:val="4D2646B1"/>
    <w:rsid w:val="52BC4786"/>
    <w:rsid w:val="550A355F"/>
    <w:rsid w:val="56921B6A"/>
    <w:rsid w:val="569F2947"/>
    <w:rsid w:val="578C2D1E"/>
    <w:rsid w:val="579C5FF0"/>
    <w:rsid w:val="58DE2219"/>
    <w:rsid w:val="593F3897"/>
    <w:rsid w:val="5975743C"/>
    <w:rsid w:val="59937F40"/>
    <w:rsid w:val="59D625D1"/>
    <w:rsid w:val="59F36A85"/>
    <w:rsid w:val="5AEC77B7"/>
    <w:rsid w:val="5B2B06FA"/>
    <w:rsid w:val="5B2D2F37"/>
    <w:rsid w:val="5BED3C02"/>
    <w:rsid w:val="5C6B645D"/>
    <w:rsid w:val="5D382BE7"/>
    <w:rsid w:val="5D8D11F8"/>
    <w:rsid w:val="5DEE6DAA"/>
    <w:rsid w:val="5E484837"/>
    <w:rsid w:val="613225A7"/>
    <w:rsid w:val="632C38B3"/>
    <w:rsid w:val="64FF2692"/>
    <w:rsid w:val="655E1046"/>
    <w:rsid w:val="65FA4004"/>
    <w:rsid w:val="6631134F"/>
    <w:rsid w:val="663E75D9"/>
    <w:rsid w:val="667A1C2F"/>
    <w:rsid w:val="68D511B8"/>
    <w:rsid w:val="698536CB"/>
    <w:rsid w:val="69C72D38"/>
    <w:rsid w:val="6AA81420"/>
    <w:rsid w:val="6AAF4400"/>
    <w:rsid w:val="6AEC4C63"/>
    <w:rsid w:val="6C656E20"/>
    <w:rsid w:val="6CA65E33"/>
    <w:rsid w:val="6CB247D7"/>
    <w:rsid w:val="6D5E5248"/>
    <w:rsid w:val="6D8B3B71"/>
    <w:rsid w:val="6D8E15BD"/>
    <w:rsid w:val="6EA7498F"/>
    <w:rsid w:val="70D53AE4"/>
    <w:rsid w:val="7128564E"/>
    <w:rsid w:val="71377E1A"/>
    <w:rsid w:val="726C71D4"/>
    <w:rsid w:val="7375637F"/>
    <w:rsid w:val="74184EA7"/>
    <w:rsid w:val="7569330B"/>
    <w:rsid w:val="7858424B"/>
    <w:rsid w:val="78D173E0"/>
    <w:rsid w:val="7978402C"/>
    <w:rsid w:val="7A0E2437"/>
    <w:rsid w:val="7A7C429F"/>
    <w:rsid w:val="7BF267D8"/>
    <w:rsid w:val="7DC42DD2"/>
    <w:rsid w:val="7DF05160"/>
    <w:rsid w:val="7F3D6D23"/>
    <w:rsid w:val="7F7424B2"/>
    <w:rsid w:val="7FD82D8C"/>
    <w:rsid w:val="7FDB0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883" w:firstLineChars="200"/>
      <w:jc w:val="both"/>
    </w:pPr>
    <w:rPr>
      <w:rFonts w:ascii="Times New Roman" w:hAnsi="Times New Roman" w:cs="Times New Roman" w:eastAsiaTheme="minorEastAsia"/>
      <w:kern w:val="2"/>
      <w:sz w:val="21"/>
      <w:szCs w:val="21"/>
      <w:lang w:val="en-US" w:eastAsia="zh-CN" w:bidi="ar-SA"/>
    </w:rPr>
  </w:style>
  <w:style w:type="paragraph" w:styleId="5">
    <w:name w:val="heading 1"/>
    <w:basedOn w:val="1"/>
    <w:next w:val="1"/>
    <w:qFormat/>
    <w:uiPriority w:val="99"/>
    <w:pPr>
      <w:keepNext/>
      <w:keepLines/>
      <w:spacing w:before="260" w:after="260"/>
      <w:outlineLvl w:val="0"/>
    </w:pPr>
    <w:rPr>
      <w:b/>
      <w:bCs/>
      <w:kern w:val="44"/>
      <w:sz w:val="24"/>
      <w:szCs w:val="44"/>
    </w:rPr>
  </w:style>
  <w:style w:type="paragraph" w:styleId="6">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2">
    <w:name w:val="heading 3"/>
    <w:basedOn w:val="1"/>
    <w:next w:val="3"/>
    <w:qFormat/>
    <w:uiPriority w:val="99"/>
    <w:pPr>
      <w:keepNext/>
      <w:keepLines/>
      <w:outlineLvl w:val="2"/>
    </w:pPr>
    <w:rPr>
      <w:rFonts w:ascii="仿宋_GB2312" w:hAnsi="仿宋_GB2312"/>
      <w:b/>
      <w:bCs/>
      <w:kern w:val="0"/>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toc 4"/>
    <w:basedOn w:val="1"/>
    <w:next w:val="1"/>
    <w:qFormat/>
    <w:uiPriority w:val="0"/>
    <w:pPr>
      <w:ind w:left="1260" w:leftChars="600"/>
    </w:pPr>
  </w:style>
  <w:style w:type="paragraph" w:styleId="7">
    <w:name w:val="caption"/>
    <w:basedOn w:val="1"/>
    <w:next w:val="1"/>
    <w:semiHidden/>
    <w:unhideWhenUsed/>
    <w:qFormat/>
    <w:uiPriority w:val="35"/>
    <w:rPr>
      <w:rFonts w:ascii="Arial" w:hAnsi="Arial" w:eastAsia="黑体"/>
      <w:sz w:val="20"/>
    </w:rPr>
  </w:style>
  <w:style w:type="paragraph" w:styleId="8">
    <w:name w:val="annotation text"/>
    <w:basedOn w:val="1"/>
    <w:link w:val="34"/>
    <w:unhideWhenUsed/>
    <w:qFormat/>
    <w:uiPriority w:val="99"/>
    <w:rPr>
      <w:rFonts w:ascii="Calibri" w:hAnsi="Calibri" w:eastAsia="仿宋"/>
      <w:kern w:val="0"/>
      <w:sz w:val="24"/>
      <w:szCs w:val="20"/>
    </w:rPr>
  </w:style>
  <w:style w:type="paragraph" w:styleId="9">
    <w:name w:val="Body Text"/>
    <w:basedOn w:val="1"/>
    <w:next w:val="10"/>
    <w:qFormat/>
    <w:uiPriority w:val="0"/>
  </w:style>
  <w:style w:type="paragraph" w:styleId="10">
    <w:name w:val="Body Text 2"/>
    <w:basedOn w:val="1"/>
    <w:qFormat/>
    <w:uiPriority w:val="0"/>
    <w:pPr>
      <w:spacing w:after="120" w:line="480" w:lineRule="auto"/>
    </w:pPr>
    <w:rPr>
      <w:rFonts w:eastAsia="宋体"/>
    </w:rPr>
  </w:style>
  <w:style w:type="paragraph" w:styleId="11">
    <w:name w:val="Body Text Indent"/>
    <w:basedOn w:val="1"/>
    <w:qFormat/>
    <w:uiPriority w:val="0"/>
    <w:pPr>
      <w:ind w:firstLine="570"/>
    </w:pPr>
    <w:rPr>
      <w:rFonts w:eastAsia="宋体"/>
      <w:sz w:val="24"/>
    </w:rPr>
  </w:style>
  <w:style w:type="paragraph" w:styleId="12">
    <w:name w:val="Balloon Text"/>
    <w:basedOn w:val="1"/>
    <w:link w:val="33"/>
    <w:semiHidden/>
    <w:unhideWhenUsed/>
    <w:qFormat/>
    <w:uiPriority w:val="99"/>
    <w:pPr>
      <w:spacing w:line="240" w:lineRule="auto"/>
    </w:pPr>
    <w:rPr>
      <w:sz w:val="18"/>
      <w:szCs w:val="18"/>
    </w:rPr>
  </w:style>
  <w:style w:type="paragraph" w:styleId="13">
    <w:name w:val="footer"/>
    <w:basedOn w:val="1"/>
    <w:link w:val="25"/>
    <w:unhideWhenUsed/>
    <w:qFormat/>
    <w:uiPriority w:val="99"/>
    <w:pPr>
      <w:tabs>
        <w:tab w:val="center" w:pos="4153"/>
        <w:tab w:val="right" w:pos="8306"/>
      </w:tabs>
      <w:jc w:val="left"/>
    </w:pPr>
    <w:rPr>
      <w:sz w:val="18"/>
      <w:szCs w:val="18"/>
    </w:rPr>
  </w:style>
  <w:style w:type="paragraph" w:styleId="14">
    <w:name w:val="header"/>
    <w:basedOn w:val="1"/>
    <w:link w:val="24"/>
    <w:unhideWhenUsed/>
    <w:qFormat/>
    <w:uiPriority w:val="99"/>
    <w:pPr>
      <w:pBdr>
        <w:bottom w:val="single" w:color="auto" w:sz="6" w:space="1"/>
      </w:pBdr>
      <w:tabs>
        <w:tab w:val="center" w:pos="4153"/>
        <w:tab w:val="right" w:pos="8306"/>
      </w:tabs>
      <w:jc w:val="center"/>
    </w:pPr>
    <w:rPr>
      <w:sz w:val="18"/>
      <w:szCs w:val="18"/>
    </w:rPr>
  </w:style>
  <w:style w:type="paragraph" w:styleId="15">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6">
    <w:name w:val="toc 2"/>
    <w:basedOn w:val="1"/>
    <w:next w:val="1"/>
    <w:semiHidden/>
    <w:unhideWhenUsed/>
    <w:qFormat/>
    <w:uiPriority w:val="39"/>
    <w:pPr>
      <w:ind w:firstLine="663" w:firstLineChars="150"/>
    </w:pPr>
    <w:rPr>
      <w:sz w:val="24"/>
    </w:rPr>
  </w:style>
  <w:style w:type="paragraph" w:styleId="17">
    <w:name w:val="annotation subject"/>
    <w:basedOn w:val="8"/>
    <w:next w:val="8"/>
    <w:link w:val="35"/>
    <w:semiHidden/>
    <w:unhideWhenUsed/>
    <w:qFormat/>
    <w:uiPriority w:val="99"/>
    <w:pPr>
      <w:jc w:val="left"/>
    </w:pPr>
    <w:rPr>
      <w:rFonts w:ascii="Times New Roman" w:hAnsi="Times New Roman" w:eastAsiaTheme="minorEastAsia"/>
      <w:b/>
      <w:bCs/>
      <w:kern w:val="2"/>
      <w:sz w:val="21"/>
      <w:szCs w:val="21"/>
    </w:rPr>
  </w:style>
  <w:style w:type="paragraph" w:styleId="18">
    <w:name w:val="Body Text First Indent 2"/>
    <w:basedOn w:val="11"/>
    <w:qFormat/>
    <w:uiPriority w:val="0"/>
    <w:pPr>
      <w:ind w:firstLine="420"/>
    </w:p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qFormat/>
    <w:uiPriority w:val="0"/>
  </w:style>
  <w:style w:type="character" w:styleId="23">
    <w:name w:val="annotation reference"/>
    <w:basedOn w:val="21"/>
    <w:semiHidden/>
    <w:unhideWhenUsed/>
    <w:qFormat/>
    <w:uiPriority w:val="99"/>
    <w:rPr>
      <w:sz w:val="21"/>
      <w:szCs w:val="21"/>
    </w:rPr>
  </w:style>
  <w:style w:type="character" w:customStyle="1" w:styleId="24">
    <w:name w:val="页眉 Char"/>
    <w:basedOn w:val="21"/>
    <w:link w:val="14"/>
    <w:qFormat/>
    <w:uiPriority w:val="99"/>
    <w:rPr>
      <w:sz w:val="18"/>
      <w:szCs w:val="18"/>
    </w:rPr>
  </w:style>
  <w:style w:type="character" w:customStyle="1" w:styleId="25">
    <w:name w:val="页脚 Char"/>
    <w:basedOn w:val="21"/>
    <w:link w:val="13"/>
    <w:qFormat/>
    <w:uiPriority w:val="99"/>
    <w:rPr>
      <w:sz w:val="18"/>
      <w:szCs w:val="18"/>
    </w:rPr>
  </w:style>
  <w:style w:type="paragraph" w:customStyle="1" w:styleId="26">
    <w:name w:val="闻政-正文二级标题"/>
    <w:basedOn w:val="6"/>
    <w:next w:val="27"/>
    <w:qFormat/>
    <w:uiPriority w:val="3"/>
    <w:pPr>
      <w:spacing w:before="120" w:after="60" w:line="500" w:lineRule="exact"/>
      <w:ind w:left="200" w:leftChars="200" w:firstLine="0" w:firstLineChars="0"/>
    </w:pPr>
    <w:rPr>
      <w:rFonts w:ascii="Times New Roman" w:hAnsi="Times New Roman"/>
      <w:sz w:val="28"/>
    </w:rPr>
  </w:style>
  <w:style w:type="paragraph" w:customStyle="1" w:styleId="27">
    <w:name w:val="闻政-正文段落文字"/>
    <w:basedOn w:val="1"/>
    <w:qFormat/>
    <w:uiPriority w:val="3"/>
    <w:pPr>
      <w:spacing w:line="500" w:lineRule="exact"/>
      <w:ind w:firstLine="200"/>
    </w:pPr>
    <w:rPr>
      <w:kern w:val="0"/>
      <w:szCs w:val="28"/>
    </w:rPr>
  </w:style>
  <w:style w:type="paragraph" w:customStyle="1" w:styleId="28">
    <w:name w:val="闻政-正文一级标题"/>
    <w:basedOn w:val="2"/>
    <w:next w:val="27"/>
    <w:qFormat/>
    <w:uiPriority w:val="3"/>
    <w:pPr>
      <w:spacing w:before="120" w:after="60" w:line="500" w:lineRule="exact"/>
      <w:ind w:firstLine="0" w:firstLineChars="0"/>
      <w:outlineLvl w:val="0"/>
    </w:pPr>
    <w:rPr>
      <w:rFonts w:ascii="黑体" w:hAnsi="黑体" w:eastAsia="黑体"/>
      <w:sz w:val="32"/>
    </w:rPr>
  </w:style>
  <w:style w:type="paragraph" w:styleId="29">
    <w:name w:val="List Paragraph"/>
    <w:basedOn w:val="1"/>
    <w:qFormat/>
    <w:uiPriority w:val="34"/>
    <w:pPr>
      <w:ind w:firstLine="420"/>
    </w:pPr>
  </w:style>
  <w:style w:type="paragraph" w:customStyle="1" w:styleId="30">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1">
    <w:name w:val="WPSOffice手动目录 1"/>
    <w:qFormat/>
    <w:uiPriority w:val="0"/>
    <w:rPr>
      <w:rFonts w:ascii="Times New Roman" w:hAnsi="Times New Roman" w:eastAsia="宋体" w:cs="Times New Roman"/>
      <w:lang w:val="en-US" w:eastAsia="zh-CN" w:bidi="ar-SA"/>
    </w:rPr>
  </w:style>
  <w:style w:type="paragraph" w:customStyle="1" w:styleId="32">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3">
    <w:name w:val="批注框文本 Char"/>
    <w:basedOn w:val="21"/>
    <w:link w:val="12"/>
    <w:semiHidden/>
    <w:qFormat/>
    <w:uiPriority w:val="99"/>
    <w:rPr>
      <w:rFonts w:eastAsiaTheme="minorEastAsia"/>
      <w:kern w:val="2"/>
      <w:sz w:val="18"/>
      <w:szCs w:val="18"/>
    </w:rPr>
  </w:style>
  <w:style w:type="character" w:customStyle="1" w:styleId="34">
    <w:name w:val="批注文字 Char"/>
    <w:basedOn w:val="21"/>
    <w:link w:val="8"/>
    <w:qFormat/>
    <w:uiPriority w:val="99"/>
    <w:rPr>
      <w:rFonts w:ascii="Calibri" w:hAnsi="Calibri" w:eastAsia="仿宋"/>
      <w:sz w:val="24"/>
    </w:rPr>
  </w:style>
  <w:style w:type="character" w:customStyle="1" w:styleId="35">
    <w:name w:val="批注主题 Char"/>
    <w:basedOn w:val="34"/>
    <w:link w:val="17"/>
    <w:semiHidden/>
    <w:qFormat/>
    <w:uiPriority w:val="99"/>
    <w:rPr>
      <w:rFonts w:ascii="Calibri" w:hAnsi="Calibri" w:eastAsiaTheme="minorEastAsia"/>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A3A585-A641-46FF-AC02-39A1451BFCA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38</Pages>
  <Words>33151</Words>
  <Characters>37955</Characters>
  <Lines>229</Lines>
  <Paragraphs>64</Paragraphs>
  <TotalTime>58</TotalTime>
  <ScaleCrop>false</ScaleCrop>
  <LinksUpToDate>false</LinksUpToDate>
  <CharactersWithSpaces>38734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2020-09-22T07:41:00Z</dcterms:created>
  <dc:creator>Lenovo</dc:creator>
  <cp:lastModifiedBy>Administrator</cp:lastModifiedBy>
  <cp:lastPrinted>2024-08-16T08:07:00Z</cp:lastPrinted>
  <dcterms:modified xsi:type="dcterms:W3CDTF">2024-08-21T08:40:20Z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95D55A3F3ADE4D399717C0281F7BE07B_13</vt:lpwstr>
  </property>
</Properties>
</file>