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pBdr>
          <w:bottom w:val="dotDotDash" w:color="auto" w:sz="24" w:space="10"/>
        </w:pBdr>
        <w:adjustRightInd/>
        <w:spacing w:before="312" w:beforeLines="100" w:after="312" w:afterLines="100"/>
        <w:ind w:firstLine="0" w:firstLineChars="0"/>
        <w:rPr>
          <w:b/>
          <w:color w:val="auto"/>
          <w:sz w:val="30"/>
          <w:szCs w:val="30"/>
          <w:highlight w:val="none"/>
        </w:rPr>
      </w:pPr>
    </w:p>
    <w:p>
      <w:pPr>
        <w:keepNext/>
        <w:keepLines/>
        <w:pBdr>
          <w:bottom w:val="dotDotDash" w:color="auto" w:sz="24" w:space="10"/>
        </w:pBdr>
        <w:adjustRightInd/>
        <w:spacing w:before="312" w:beforeLines="100" w:after="312" w:afterLines="100"/>
        <w:ind w:firstLine="0" w:firstLineChars="0"/>
        <w:jc w:val="center"/>
        <w:rPr>
          <w:b/>
          <w:color w:val="auto"/>
          <w:sz w:val="30"/>
          <w:szCs w:val="30"/>
          <w:highlight w:val="none"/>
        </w:rPr>
      </w:pPr>
    </w:p>
    <w:p>
      <w:pPr>
        <w:keepNext/>
        <w:keepLines/>
        <w:pBdr>
          <w:bottom w:val="dotDotDash" w:color="auto" w:sz="24" w:space="10"/>
        </w:pBdr>
        <w:adjustRightInd/>
        <w:spacing w:before="156" w:beforeLines="50" w:after="312" w:afterLines="100" w:line="240" w:lineRule="auto"/>
        <w:ind w:firstLine="0" w:firstLineChars="0"/>
        <w:jc w:val="center"/>
        <w:textAlignment w:val="center"/>
        <w:rPr>
          <w:rFonts w:eastAsia="黑体"/>
          <w:b/>
          <w:color w:val="auto"/>
          <w:sz w:val="44"/>
          <w:szCs w:val="22"/>
          <w:highlight w:val="none"/>
        </w:rPr>
      </w:pPr>
      <w:r>
        <w:rPr>
          <w:rFonts w:eastAsia="黑体"/>
          <w:b/>
          <w:color w:val="auto"/>
          <w:sz w:val="44"/>
          <w:szCs w:val="22"/>
          <w:highlight w:val="none"/>
        </w:rPr>
        <w:t>巴楚县教育局</w:t>
      </w:r>
    </w:p>
    <w:p>
      <w:pPr>
        <w:keepNext/>
        <w:keepLines/>
        <w:pBdr>
          <w:bottom w:val="dotDotDash" w:color="auto" w:sz="24" w:space="10"/>
        </w:pBdr>
        <w:adjustRightInd/>
        <w:spacing w:before="156" w:beforeLines="50" w:after="312" w:afterLines="100" w:line="240" w:lineRule="auto"/>
        <w:ind w:firstLine="0" w:firstLineChars="0"/>
        <w:jc w:val="center"/>
        <w:textAlignment w:val="center"/>
        <w:rPr>
          <w:rFonts w:eastAsia="黑体"/>
          <w:b/>
          <w:color w:val="auto"/>
          <w:sz w:val="44"/>
          <w:szCs w:val="22"/>
          <w:highlight w:val="none"/>
        </w:rPr>
      </w:pPr>
      <w:r>
        <w:rPr>
          <w:rFonts w:eastAsia="黑体"/>
          <w:b/>
          <w:color w:val="auto"/>
          <w:sz w:val="44"/>
          <w:szCs w:val="22"/>
          <w:highlight w:val="none"/>
        </w:rPr>
        <w:t>喀什地区巴楚县2023年城乡义务教育农村校舍安全保障长效机制项目（第一批）</w:t>
      </w:r>
    </w:p>
    <w:p>
      <w:pPr>
        <w:keepNext/>
        <w:keepLines/>
        <w:adjustRightInd/>
        <w:ind w:firstLine="0" w:firstLineChars="0"/>
        <w:jc w:val="center"/>
        <w:rPr>
          <w:rFonts w:eastAsia="黑体"/>
          <w:color w:val="auto"/>
          <w:sz w:val="44"/>
          <w:szCs w:val="44"/>
          <w:highlight w:val="none"/>
        </w:rPr>
      </w:pPr>
      <w:r>
        <w:rPr>
          <w:rFonts w:eastAsia="黑体"/>
          <w:color w:val="auto"/>
          <w:spacing w:val="23"/>
          <w:kern w:val="0"/>
          <w:sz w:val="44"/>
          <w:szCs w:val="44"/>
          <w:highlight w:val="none"/>
          <w:fitText w:val="2872" w:id="1410796830"/>
        </w:rPr>
        <w:t>绩效评价报</w:t>
      </w:r>
      <w:r>
        <w:rPr>
          <w:rFonts w:eastAsia="黑体"/>
          <w:color w:val="auto"/>
          <w:spacing w:val="1"/>
          <w:kern w:val="0"/>
          <w:sz w:val="44"/>
          <w:szCs w:val="44"/>
          <w:highlight w:val="none"/>
          <w:fitText w:val="2872" w:id="1410796830"/>
        </w:rPr>
        <w:t>告</w:t>
      </w:r>
    </w:p>
    <w:p>
      <w:pPr>
        <w:keepNext/>
        <w:keepLines/>
        <w:adjustRightInd/>
        <w:ind w:firstLine="0" w:firstLineChars="0"/>
        <w:jc w:val="center"/>
        <w:rPr>
          <w:color w:val="auto"/>
          <w:highlight w:val="none"/>
        </w:rPr>
      </w:pPr>
      <w:r>
        <w:rPr>
          <w:color w:val="auto"/>
          <w:highlight w:val="none"/>
        </w:rPr>
        <w:t>驰天会咨字</w:t>
      </w:r>
      <w:r>
        <w:rPr>
          <w:rFonts w:hint="eastAsia" w:ascii="Times New Roman" w:hAnsi="Times New Roman" w:cs="Times New Roman"/>
          <w:color w:val="auto"/>
          <w:highlight w:val="none"/>
        </w:rPr>
        <w:t>〔</w:t>
      </w:r>
      <w:r>
        <w:rPr>
          <w:rFonts w:ascii="Times New Roman" w:hAnsi="Times New Roman" w:cs="Times New Roman"/>
          <w:color w:val="auto"/>
          <w:highlight w:val="none"/>
        </w:rPr>
        <w:t>2024</w:t>
      </w:r>
      <w:r>
        <w:rPr>
          <w:rFonts w:hint="eastAsia" w:ascii="Times New Roman" w:hAnsi="Times New Roman" w:cs="Times New Roman"/>
          <w:color w:val="auto"/>
          <w:highlight w:val="none"/>
        </w:rPr>
        <w:t>〕</w:t>
      </w:r>
      <w:r>
        <w:rPr>
          <w:rFonts w:ascii="Times New Roman" w:hAnsi="Times New Roman" w:cs="Times New Roman"/>
          <w:color w:val="auto"/>
          <w:highlight w:val="none"/>
        </w:rPr>
        <w:t>1-0130号</w:t>
      </w:r>
    </w:p>
    <w:p>
      <w:pPr>
        <w:keepNext/>
        <w:keepLines/>
        <w:adjustRightInd/>
        <w:ind w:firstLine="0" w:firstLineChars="0"/>
        <w:jc w:val="center"/>
        <w:rPr>
          <w:b/>
          <w:color w:val="auto"/>
          <w:sz w:val="32"/>
          <w:szCs w:val="22"/>
          <w:highlight w:val="none"/>
        </w:rPr>
      </w:pPr>
    </w:p>
    <w:p>
      <w:pPr>
        <w:keepNext/>
        <w:keepLines/>
        <w:adjustRightInd/>
        <w:ind w:firstLine="0" w:firstLineChars="0"/>
        <w:jc w:val="center"/>
        <w:rPr>
          <w:b/>
          <w:color w:val="auto"/>
          <w:sz w:val="32"/>
          <w:szCs w:val="22"/>
          <w:highlight w:val="none"/>
        </w:rPr>
      </w:pPr>
    </w:p>
    <w:p>
      <w:pPr>
        <w:keepNext/>
        <w:keepLines/>
        <w:adjustRightInd/>
        <w:ind w:firstLine="0" w:firstLineChars="0"/>
        <w:jc w:val="center"/>
        <w:rPr>
          <w:b/>
          <w:color w:val="auto"/>
          <w:sz w:val="32"/>
          <w:szCs w:val="22"/>
          <w:highlight w:val="none"/>
        </w:rPr>
      </w:pPr>
    </w:p>
    <w:p>
      <w:pPr>
        <w:keepNext/>
        <w:keepLines/>
        <w:adjustRightInd/>
        <w:ind w:firstLine="0" w:firstLineChars="0"/>
        <w:jc w:val="center"/>
        <w:rPr>
          <w:b/>
          <w:color w:val="auto"/>
          <w:sz w:val="32"/>
          <w:szCs w:val="22"/>
          <w:highlight w:val="none"/>
        </w:rPr>
      </w:pPr>
    </w:p>
    <w:p>
      <w:pPr>
        <w:keepNext/>
        <w:keepLines/>
        <w:adjustRightInd/>
        <w:ind w:firstLine="0" w:firstLineChars="0"/>
        <w:jc w:val="center"/>
        <w:rPr>
          <w:b/>
          <w:color w:val="auto"/>
          <w:sz w:val="32"/>
          <w:szCs w:val="22"/>
          <w:highlight w:val="none"/>
        </w:rPr>
      </w:pPr>
    </w:p>
    <w:p>
      <w:pPr>
        <w:keepNext/>
        <w:keepLines/>
        <w:adjustRightInd/>
        <w:ind w:firstLine="0" w:firstLineChars="0"/>
        <w:jc w:val="center"/>
        <w:rPr>
          <w:b/>
          <w:color w:val="auto"/>
          <w:sz w:val="32"/>
          <w:szCs w:val="22"/>
          <w:highlight w:val="none"/>
        </w:rPr>
      </w:pPr>
    </w:p>
    <w:p>
      <w:pPr>
        <w:keepNext/>
        <w:keepLines/>
        <w:adjustRightInd/>
        <w:ind w:firstLine="0" w:firstLineChars="0"/>
        <w:jc w:val="center"/>
        <w:rPr>
          <w:b/>
          <w:color w:val="auto"/>
          <w:sz w:val="32"/>
          <w:szCs w:val="22"/>
          <w:highlight w:val="none"/>
        </w:rPr>
      </w:pPr>
    </w:p>
    <w:p>
      <w:pPr>
        <w:keepNext/>
        <w:keepLines/>
        <w:adjustRightInd/>
        <w:ind w:firstLine="0" w:firstLineChars="0"/>
        <w:jc w:val="center"/>
        <w:rPr>
          <w:b/>
          <w:color w:val="auto"/>
          <w:sz w:val="32"/>
          <w:szCs w:val="22"/>
          <w:highlight w:val="none"/>
        </w:rPr>
      </w:pPr>
    </w:p>
    <w:p>
      <w:pPr>
        <w:keepNext/>
        <w:keepLines/>
        <w:adjustRightInd/>
        <w:ind w:firstLine="0" w:firstLineChars="0"/>
        <w:rPr>
          <w:b/>
          <w:color w:val="auto"/>
          <w:sz w:val="32"/>
          <w:szCs w:val="22"/>
          <w:highlight w:val="none"/>
        </w:rPr>
      </w:pPr>
    </w:p>
    <w:p>
      <w:pPr>
        <w:pStyle w:val="9"/>
        <w:keepNext/>
        <w:keepLines/>
        <w:ind w:firstLine="643"/>
        <w:rPr>
          <w:b/>
          <w:color w:val="auto"/>
          <w:sz w:val="32"/>
          <w:szCs w:val="22"/>
          <w:highlight w:val="none"/>
        </w:rPr>
      </w:pPr>
    </w:p>
    <w:p>
      <w:pPr>
        <w:pStyle w:val="10"/>
        <w:keepNext/>
        <w:keepLines/>
        <w:ind w:firstLine="420"/>
        <w:rPr>
          <w:rFonts w:eastAsiaTheme="minorEastAsia"/>
          <w:color w:val="auto"/>
          <w:highlight w:val="none"/>
        </w:rPr>
      </w:pPr>
    </w:p>
    <w:p>
      <w:pPr>
        <w:keepNext/>
        <w:keepLines/>
        <w:adjustRightInd/>
        <w:ind w:firstLine="0" w:firstLineChars="0"/>
        <w:jc w:val="center"/>
        <w:rPr>
          <w:b/>
          <w:color w:val="auto"/>
          <w:sz w:val="32"/>
          <w:szCs w:val="22"/>
          <w:highlight w:val="none"/>
        </w:rPr>
      </w:pPr>
      <w:r>
        <w:rPr>
          <w:b/>
          <w:color w:val="auto"/>
          <w:sz w:val="32"/>
          <w:szCs w:val="22"/>
          <w:highlight w:val="none"/>
        </w:rPr>
        <w:t>新疆驰远天合有限责任会计师事务所</w:t>
      </w:r>
    </w:p>
    <w:p>
      <w:pPr>
        <w:keepNext/>
        <w:keepLines/>
        <w:adjustRightInd/>
        <w:ind w:firstLine="0" w:firstLineChars="0"/>
        <w:jc w:val="center"/>
        <w:rPr>
          <w:b/>
          <w:color w:val="auto"/>
          <w:sz w:val="28"/>
          <w:szCs w:val="28"/>
          <w:highlight w:val="none"/>
        </w:rPr>
      </w:pPr>
      <w:r>
        <w:rPr>
          <w:b/>
          <w:color w:val="auto"/>
          <w:sz w:val="28"/>
          <w:szCs w:val="28"/>
          <w:highlight w:val="none"/>
        </w:rPr>
        <w:t>XIN JIANG CHI YUAN TIAN HE</w:t>
      </w:r>
    </w:p>
    <w:p>
      <w:pPr>
        <w:keepNext/>
        <w:keepLines/>
        <w:adjustRightInd/>
        <w:ind w:firstLine="0" w:firstLineChars="0"/>
        <w:jc w:val="center"/>
        <w:rPr>
          <w:b/>
          <w:color w:val="auto"/>
          <w:highlight w:val="none"/>
        </w:rPr>
      </w:pPr>
      <w:r>
        <w:rPr>
          <w:b/>
          <w:color w:val="auto"/>
          <w:highlight w:val="none"/>
        </w:rPr>
        <w:t>Certified Public Accountants Co.</w:t>
      </w:r>
      <w:r>
        <w:rPr>
          <w:rFonts w:hint="eastAsia"/>
          <w:b/>
          <w:color w:val="auto"/>
          <w:highlight w:val="none"/>
          <w:lang w:eastAsia="zh-CN"/>
        </w:rPr>
        <w:t>，</w:t>
      </w:r>
      <w:r>
        <w:rPr>
          <w:b/>
          <w:color w:val="auto"/>
          <w:highlight w:val="none"/>
        </w:rPr>
        <w:t>Ltd.</w:t>
      </w:r>
    </w:p>
    <w:p>
      <w:pPr>
        <w:keepNext/>
        <w:keepLines/>
        <w:spacing w:line="440" w:lineRule="exact"/>
        <w:ind w:firstLine="0" w:firstLineChars="0"/>
        <w:rPr>
          <w:rFonts w:eastAsia="黑体"/>
          <w:bCs/>
          <w:color w:val="auto"/>
          <w:sz w:val="24"/>
          <w:szCs w:val="24"/>
          <w:highlight w:val="none"/>
        </w:rPr>
      </w:pPr>
      <w:r>
        <w:rPr>
          <w:rFonts w:eastAsia="黑体"/>
          <w:bCs/>
          <w:color w:val="auto"/>
          <w:sz w:val="24"/>
          <w:szCs w:val="24"/>
          <w:highlight w:val="none"/>
        </w:rPr>
        <w:t>项目名称：喀什地区巴楚县2023年城乡义务教育农村校舍安全保障长效机制项目（第一批）</w:t>
      </w:r>
    </w:p>
    <w:p>
      <w:pPr>
        <w:keepNext/>
        <w:keepLines/>
        <w:spacing w:line="440" w:lineRule="exact"/>
        <w:ind w:firstLine="0" w:firstLineChars="0"/>
        <w:rPr>
          <w:rFonts w:eastAsia="黑体"/>
          <w:bCs/>
          <w:color w:val="auto"/>
          <w:sz w:val="24"/>
          <w:szCs w:val="24"/>
          <w:highlight w:val="none"/>
        </w:rPr>
      </w:pPr>
      <w:r>
        <w:rPr>
          <w:rFonts w:eastAsia="黑体"/>
          <w:bCs/>
          <w:color w:val="auto"/>
          <w:sz w:val="24"/>
          <w:szCs w:val="24"/>
          <w:highlight w:val="none"/>
        </w:rPr>
        <w:t>委托单位：巴楚县财政局</w:t>
      </w:r>
    </w:p>
    <w:p>
      <w:pPr>
        <w:keepNext/>
        <w:keepLines/>
        <w:spacing w:line="440" w:lineRule="exact"/>
        <w:ind w:firstLine="0" w:firstLineChars="0"/>
        <w:rPr>
          <w:rFonts w:eastAsia="黑体"/>
          <w:bCs/>
          <w:color w:val="auto"/>
          <w:sz w:val="24"/>
          <w:szCs w:val="24"/>
          <w:highlight w:val="none"/>
        </w:rPr>
      </w:pPr>
      <w:r>
        <w:rPr>
          <w:rFonts w:eastAsia="黑体"/>
          <w:bCs/>
          <w:color w:val="auto"/>
          <w:sz w:val="24"/>
          <w:szCs w:val="24"/>
          <w:highlight w:val="none"/>
        </w:rPr>
        <w:t>评价机构：新疆驰远天合有限责任会计师事务所</w:t>
      </w:r>
    </w:p>
    <w:p>
      <w:pPr>
        <w:keepNext/>
        <w:keepLines/>
        <w:spacing w:line="440" w:lineRule="exact"/>
        <w:ind w:firstLine="0" w:firstLineChars="0"/>
        <w:rPr>
          <w:rFonts w:eastAsia="黑体"/>
          <w:bCs/>
          <w:color w:val="auto"/>
          <w:sz w:val="24"/>
          <w:szCs w:val="24"/>
          <w:highlight w:val="none"/>
        </w:rPr>
      </w:pPr>
      <w:r>
        <w:rPr>
          <w:rFonts w:eastAsia="黑体"/>
          <w:bCs/>
          <w:color w:val="auto"/>
          <w:sz w:val="24"/>
          <w:szCs w:val="24"/>
          <w:highlight w:val="none"/>
        </w:rPr>
        <w:t>机构负责人：孙卫红</w:t>
      </w:r>
    </w:p>
    <w:p>
      <w:pPr>
        <w:keepNext/>
        <w:keepLines/>
        <w:spacing w:line="440" w:lineRule="exact"/>
        <w:ind w:firstLine="0" w:firstLineChars="0"/>
        <w:rPr>
          <w:rFonts w:eastAsia="黑体"/>
          <w:bCs/>
          <w:color w:val="auto"/>
          <w:sz w:val="24"/>
          <w:szCs w:val="24"/>
          <w:highlight w:val="none"/>
        </w:rPr>
      </w:pPr>
      <w:r>
        <w:rPr>
          <w:rFonts w:eastAsia="黑体"/>
          <w:bCs/>
          <w:color w:val="auto"/>
          <w:sz w:val="24"/>
          <w:szCs w:val="24"/>
          <w:highlight w:val="none"/>
        </w:rPr>
        <w:t>联系方式：0991-2835917、0991-2831583</w:t>
      </w:r>
    </w:p>
    <w:p>
      <w:pPr>
        <w:keepNext/>
        <w:keepLines/>
        <w:spacing w:line="440" w:lineRule="exact"/>
        <w:ind w:firstLine="0" w:firstLineChars="0"/>
        <w:rPr>
          <w:rFonts w:eastAsia="黑体"/>
          <w:bCs/>
          <w:color w:val="auto"/>
          <w:sz w:val="24"/>
          <w:szCs w:val="24"/>
          <w:highlight w:val="none"/>
        </w:rPr>
      </w:pPr>
      <w:r>
        <w:rPr>
          <w:rFonts w:eastAsia="黑体"/>
          <w:bCs/>
          <w:color w:val="auto"/>
          <w:sz w:val="24"/>
          <w:szCs w:val="24"/>
          <w:highlight w:val="none"/>
        </w:rPr>
        <w:t>通讯地址：新疆乌鲁木齐市天山区新华南路9号汇源大厦13楼</w:t>
      </w:r>
    </w:p>
    <w:p>
      <w:pPr>
        <w:keepNext/>
        <w:keepLines/>
        <w:spacing w:line="440" w:lineRule="exact"/>
        <w:ind w:firstLine="0" w:firstLineChars="0"/>
        <w:rPr>
          <w:rFonts w:eastAsia="黑体"/>
          <w:bCs/>
          <w:color w:val="auto"/>
          <w:sz w:val="24"/>
          <w:szCs w:val="24"/>
          <w:highlight w:val="none"/>
        </w:rPr>
      </w:pPr>
      <w:r>
        <w:rPr>
          <w:rFonts w:eastAsia="黑体"/>
          <w:bCs/>
          <w:color w:val="auto"/>
          <w:sz w:val="24"/>
          <w:szCs w:val="24"/>
          <w:highlight w:val="none"/>
        </w:rPr>
        <w:t>邮政编码：830004</w:t>
      </w:r>
    </w:p>
    <w:p>
      <w:pPr>
        <w:keepNext/>
        <w:keepLines/>
        <w:spacing w:line="440" w:lineRule="exact"/>
        <w:ind w:firstLine="0" w:firstLineChars="0"/>
        <w:rPr>
          <w:rFonts w:eastAsia="黑体"/>
          <w:bCs/>
          <w:color w:val="auto"/>
          <w:sz w:val="24"/>
          <w:szCs w:val="24"/>
          <w:highlight w:val="none"/>
        </w:rPr>
      </w:pPr>
    </w:p>
    <w:p>
      <w:pPr>
        <w:keepNext/>
        <w:keepLines/>
        <w:spacing w:line="440" w:lineRule="exact"/>
        <w:ind w:firstLine="0" w:firstLineChars="0"/>
        <w:rPr>
          <w:rFonts w:eastAsia="黑体"/>
          <w:bCs/>
          <w:color w:val="auto"/>
          <w:sz w:val="24"/>
          <w:szCs w:val="24"/>
          <w:highlight w:val="none"/>
        </w:rPr>
      </w:pPr>
      <w:r>
        <w:rPr>
          <w:rFonts w:eastAsia="黑体"/>
          <w:bCs/>
          <w:color w:val="auto"/>
          <w:sz w:val="24"/>
          <w:szCs w:val="24"/>
          <w:highlight w:val="none"/>
        </w:rPr>
        <w:t>项目评价小组成员：</w:t>
      </w:r>
    </w:p>
    <w:p>
      <w:pPr>
        <w:keepNext/>
        <w:keepLines/>
        <w:spacing w:line="440" w:lineRule="exact"/>
        <w:ind w:firstLine="720" w:firstLineChars="300"/>
        <w:rPr>
          <w:rFonts w:eastAsia="黑体"/>
          <w:bCs/>
          <w:color w:val="auto"/>
          <w:sz w:val="24"/>
          <w:szCs w:val="24"/>
          <w:highlight w:val="none"/>
        </w:rPr>
      </w:pPr>
      <w:r>
        <w:rPr>
          <w:rFonts w:eastAsia="黑体"/>
          <w:bCs/>
          <w:color w:val="auto"/>
          <w:sz w:val="24"/>
          <w:szCs w:val="24"/>
          <w:highlight w:val="none"/>
        </w:rPr>
        <w:t>项目主评人：冯延萍  注册会计师、注册评估师</w:t>
      </w:r>
    </w:p>
    <w:p>
      <w:pPr>
        <w:keepNext/>
        <w:keepLines/>
        <w:spacing w:line="240" w:lineRule="auto"/>
        <w:ind w:firstLine="720" w:firstLineChars="300"/>
        <w:rPr>
          <w:rFonts w:eastAsia="黑体"/>
          <w:bCs/>
          <w:color w:val="auto"/>
          <w:sz w:val="24"/>
          <w:szCs w:val="24"/>
          <w:highlight w:val="none"/>
        </w:rPr>
      </w:pPr>
    </w:p>
    <w:p>
      <w:pPr>
        <w:keepNext/>
        <w:keepLines/>
        <w:spacing w:line="440" w:lineRule="exact"/>
        <w:ind w:firstLine="720" w:firstLineChars="300"/>
        <w:rPr>
          <w:rFonts w:eastAsia="黑体"/>
          <w:bCs/>
          <w:color w:val="auto"/>
          <w:sz w:val="24"/>
          <w:szCs w:val="24"/>
          <w:highlight w:val="none"/>
        </w:rPr>
      </w:pPr>
      <w:r>
        <w:rPr>
          <w:rFonts w:hint="eastAsia" w:eastAsia="黑体"/>
          <w:bCs/>
          <w:color w:val="auto"/>
          <w:sz w:val="24"/>
          <w:szCs w:val="24"/>
          <w:highlight w:val="none"/>
        </w:rPr>
        <w:t>报告</w:t>
      </w:r>
      <w:r>
        <w:rPr>
          <w:rFonts w:eastAsia="黑体"/>
          <w:bCs/>
          <w:color w:val="auto"/>
          <w:sz w:val="24"/>
          <w:szCs w:val="24"/>
          <w:highlight w:val="none"/>
        </w:rPr>
        <w:t>复核人：腊晓林</w:t>
      </w:r>
    </w:p>
    <w:p>
      <w:pPr>
        <w:keepNext/>
        <w:keepLines/>
        <w:spacing w:line="240" w:lineRule="auto"/>
        <w:ind w:firstLine="720" w:firstLineChars="300"/>
        <w:rPr>
          <w:rFonts w:eastAsia="黑体"/>
          <w:bCs/>
          <w:color w:val="auto"/>
          <w:sz w:val="24"/>
          <w:szCs w:val="24"/>
          <w:highlight w:val="none"/>
        </w:rPr>
      </w:pPr>
    </w:p>
    <w:p>
      <w:pPr>
        <w:keepNext/>
        <w:keepLines/>
        <w:spacing w:line="440" w:lineRule="exact"/>
        <w:ind w:firstLine="720" w:firstLineChars="300"/>
        <w:rPr>
          <w:rFonts w:eastAsia="黑体"/>
          <w:bCs/>
          <w:color w:val="auto"/>
          <w:sz w:val="24"/>
          <w:szCs w:val="24"/>
          <w:highlight w:val="none"/>
        </w:rPr>
      </w:pPr>
      <w:r>
        <w:rPr>
          <w:rFonts w:eastAsia="黑体"/>
          <w:bCs/>
          <w:color w:val="auto"/>
          <w:sz w:val="24"/>
          <w:szCs w:val="24"/>
          <w:highlight w:val="none"/>
        </w:rPr>
        <w:t>项目负责人：赵夏清</w:t>
      </w:r>
    </w:p>
    <w:p>
      <w:pPr>
        <w:keepNext/>
        <w:keepLines/>
        <w:spacing w:line="240" w:lineRule="auto"/>
        <w:ind w:firstLine="720" w:firstLineChars="300"/>
        <w:rPr>
          <w:rFonts w:eastAsia="黑体"/>
          <w:bCs/>
          <w:color w:val="auto"/>
          <w:sz w:val="24"/>
          <w:szCs w:val="24"/>
          <w:highlight w:val="none"/>
        </w:rPr>
      </w:pPr>
    </w:p>
    <w:p>
      <w:pPr>
        <w:keepNext/>
        <w:keepLines/>
        <w:spacing w:line="440" w:lineRule="exact"/>
        <w:ind w:firstLine="720" w:firstLineChars="300"/>
        <w:rPr>
          <w:rFonts w:eastAsia="黑体"/>
          <w:bCs/>
          <w:color w:val="auto"/>
          <w:sz w:val="24"/>
          <w:szCs w:val="24"/>
          <w:highlight w:val="none"/>
        </w:rPr>
      </w:pPr>
      <w:r>
        <w:rPr>
          <w:rFonts w:eastAsia="黑体"/>
          <w:bCs/>
          <w:color w:val="auto"/>
          <w:sz w:val="24"/>
          <w:szCs w:val="24"/>
          <w:highlight w:val="none"/>
        </w:rPr>
        <w:t>项目组成员：郭璐璐</w:t>
      </w:r>
    </w:p>
    <w:p>
      <w:pPr>
        <w:keepNext/>
        <w:keepLines/>
        <w:spacing w:line="440" w:lineRule="exact"/>
        <w:ind w:firstLine="480"/>
        <w:rPr>
          <w:bCs/>
          <w:color w:val="auto"/>
          <w:sz w:val="24"/>
          <w:szCs w:val="24"/>
          <w:highlight w:val="none"/>
        </w:rPr>
      </w:pPr>
    </w:p>
    <w:p>
      <w:pPr>
        <w:keepNext/>
        <w:keepLines/>
        <w:adjustRightInd/>
        <w:spacing w:line="440" w:lineRule="exact"/>
        <w:ind w:firstLine="0" w:firstLineChars="0"/>
        <w:rPr>
          <w:bCs/>
          <w:color w:val="auto"/>
          <w:sz w:val="24"/>
          <w:szCs w:val="24"/>
          <w:highlight w:val="none"/>
        </w:rPr>
        <w:sectPr>
          <w:headerReference r:id="rId5" w:type="first"/>
          <w:footerReference r:id="rId8" w:type="first"/>
          <w:headerReference r:id="rId3" w:type="default"/>
          <w:footerReference r:id="rId6" w:type="default"/>
          <w:headerReference r:id="rId4" w:type="even"/>
          <w:footerReference r:id="rId7" w:type="even"/>
          <w:pgSz w:w="11906" w:h="16838"/>
          <w:pgMar w:top="1440" w:right="1797" w:bottom="1440" w:left="1797" w:header="851" w:footer="992" w:gutter="0"/>
          <w:pgBorders>
            <w:top w:val="none" w:sz="0" w:space="0"/>
            <w:left w:val="none" w:sz="0" w:space="0"/>
            <w:bottom w:val="none" w:sz="0" w:space="0"/>
            <w:right w:val="none" w:sz="0" w:space="0"/>
          </w:pgBorders>
          <w:pgNumType w:fmt="upperRoman" w:start="1"/>
          <w:cols w:space="720" w:num="1"/>
          <w:docGrid w:type="lines" w:linePitch="312" w:charSpace="0"/>
        </w:sectPr>
      </w:pPr>
    </w:p>
    <w:p>
      <w:pPr>
        <w:pStyle w:val="2"/>
        <w:pageBreakBefore w:val="0"/>
        <w:widowControl w:val="0"/>
        <w:kinsoku/>
        <w:wordWrap/>
        <w:overflowPunct/>
        <w:topLinePunct w:val="0"/>
        <w:autoSpaceDE/>
        <w:autoSpaceDN/>
        <w:bidi w:val="0"/>
        <w:spacing w:line="360" w:lineRule="exact"/>
        <w:ind w:firstLine="0" w:firstLineChars="0"/>
        <w:jc w:val="center"/>
        <w:textAlignment w:val="auto"/>
        <w:rPr>
          <w:color w:val="auto"/>
          <w:highlight w:val="none"/>
        </w:rPr>
      </w:pPr>
      <w:bookmarkStart w:id="0" w:name="_Toc20786"/>
      <w:bookmarkStart w:id="1" w:name="_Toc26712"/>
      <w:bookmarkStart w:id="2" w:name="_Toc3447"/>
      <w:bookmarkStart w:id="3" w:name="_Toc16666"/>
      <w:bookmarkStart w:id="4" w:name="_Toc4768"/>
      <w:bookmarkStart w:id="5" w:name="_Toc17859"/>
      <w:bookmarkStart w:id="6" w:name="_Toc9680"/>
      <w:bookmarkStart w:id="7" w:name="_Toc8667"/>
      <w:bookmarkStart w:id="8" w:name="_Toc13486"/>
      <w:bookmarkStart w:id="9" w:name="_Toc28607"/>
      <w:bookmarkStart w:id="10" w:name="_Toc17537"/>
      <w:bookmarkStart w:id="11" w:name="_Toc25138"/>
      <w:bookmarkStart w:id="12" w:name="_Toc8973"/>
      <w:bookmarkStart w:id="13" w:name="_Toc13850"/>
      <w:bookmarkStart w:id="14" w:name="_Toc27606"/>
      <w:bookmarkStart w:id="15" w:name="_Toc10292"/>
      <w:r>
        <w:rPr>
          <w:color w:val="auto"/>
          <w:szCs w:val="32"/>
          <w:highlight w:val="none"/>
        </w:rPr>
        <w:t>报告摘要</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pPr>
        <w:keepNext/>
        <w:keepLines/>
        <w:pageBreakBefore w:val="0"/>
        <w:widowControl w:val="0"/>
        <w:kinsoku/>
        <w:wordWrap/>
        <w:overflowPunct/>
        <w:topLinePunct w:val="0"/>
        <w:autoSpaceDE/>
        <w:autoSpaceDN/>
        <w:bidi w:val="0"/>
        <w:spacing w:line="360" w:lineRule="exact"/>
        <w:ind w:firstLine="420"/>
        <w:textAlignment w:val="auto"/>
        <w:rPr>
          <w:color w:val="auto"/>
          <w:highlight w:val="none"/>
        </w:rPr>
      </w:pPr>
      <w:r>
        <w:rPr>
          <w:color w:val="auto"/>
          <w:highlight w:val="none"/>
        </w:rPr>
        <w:t>受巴楚县财政局委托，新疆驰远天合有限责任会计师事务所以第三方社会评价机构的身份，对巴楚县教育局实施的喀什地区巴楚县2023年城乡义务教育农村校舍安全保障长效机制项目（第一批）开展了绩效评价工作并形成绩效评价报告，评价情况如下：</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一、基本情况</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bookmarkStart w:id="370" w:name="_GoBack"/>
      <w:r>
        <w:rPr>
          <w:b/>
          <w:bCs/>
          <w:color w:val="auto"/>
          <w:sz w:val="24"/>
          <w:szCs w:val="28"/>
          <w:highlight w:val="none"/>
        </w:rPr>
        <w:t>（一）项目背景</w:t>
      </w:r>
    </w:p>
    <w:bookmarkEnd w:id="370"/>
    <w:p>
      <w:pPr>
        <w:keepNext/>
        <w:keepLines/>
        <w:pageBreakBefore w:val="0"/>
        <w:widowControl w:val="0"/>
        <w:kinsoku/>
        <w:wordWrap/>
        <w:overflowPunct/>
        <w:topLinePunct w:val="0"/>
        <w:autoSpaceDE/>
        <w:autoSpaceDN/>
        <w:bidi w:val="0"/>
        <w:spacing w:line="360" w:lineRule="exact"/>
        <w:ind w:firstLine="420"/>
        <w:textAlignment w:val="auto"/>
        <w:rPr>
          <w:color w:val="auto"/>
          <w:szCs w:val="22"/>
          <w:highlight w:val="none"/>
        </w:rPr>
      </w:pPr>
      <w:r>
        <w:rPr>
          <w:color w:val="auto"/>
          <w:szCs w:val="22"/>
          <w:highlight w:val="none"/>
        </w:rPr>
        <w:t>在</w:t>
      </w:r>
      <w:r>
        <w:rPr>
          <w:rFonts w:hint="eastAsia"/>
          <w:color w:val="auto"/>
          <w:szCs w:val="22"/>
          <w:highlight w:val="none"/>
        </w:rPr>
        <w:t>“</w:t>
      </w:r>
      <w:r>
        <w:rPr>
          <w:color w:val="auto"/>
          <w:szCs w:val="22"/>
          <w:highlight w:val="none"/>
        </w:rPr>
        <w:t>十四五</w:t>
      </w:r>
      <w:r>
        <w:rPr>
          <w:rFonts w:hint="eastAsia"/>
          <w:color w:val="auto"/>
          <w:szCs w:val="22"/>
          <w:highlight w:val="none"/>
        </w:rPr>
        <w:t>”</w:t>
      </w:r>
      <w:r>
        <w:rPr>
          <w:color w:val="auto"/>
          <w:szCs w:val="22"/>
          <w:highlight w:val="none"/>
        </w:rPr>
        <w:t>期间，全区教育事业坚持以新时代中国特色社会主义思想为指引，坚定不移地实施科教兴区战略，始终把教育摆在优先发展的战略地位，全力推进教育事业高质量发展。随着自治区将南疆教育发展列为重中之重，在政策、资金、人力等方面均向南疆倾斜，南疆四地州实行了15 年免费教育，入学</w:t>
      </w:r>
      <w:r>
        <w:rPr>
          <w:rFonts w:hint="eastAsia"/>
          <w:color w:val="auto"/>
          <w:szCs w:val="22"/>
          <w:highlight w:val="none"/>
          <w:lang w:eastAsia="zh-CN"/>
        </w:rPr>
        <w:t>率逐渐</w:t>
      </w:r>
      <w:r>
        <w:rPr>
          <w:color w:val="auto"/>
          <w:szCs w:val="22"/>
          <w:highlight w:val="none"/>
        </w:rPr>
        <w:t>增加。巴楚县乡村中小学校存在基础设施未配套或配套设施因长时间未及时维护问题，无法满足师生正常学习及生活，给师生学习及生活带来极大的困扰。巴楚县教育局根据《喀什地区国民经济和社会发展第十四个五年规划和2035年远景目标纲要》等国家及地区关于加强教育事业发展相关政策，充分利用2023年城乡义务教育农村校舍安全保障资金，研究决定统筹所涉及学校现状设施问题，进行统一规划，委托资深设计单位进行改造设计，为改善巴楚县办学条件，改善校园环境，为在校师生提供良好的学习及生活环境，为巴楚县教育事业的发展奠定基础。</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（二）项目概况</w:t>
      </w:r>
    </w:p>
    <w:p>
      <w:pPr>
        <w:keepNext/>
        <w:keepLines/>
        <w:pageBreakBefore w:val="0"/>
        <w:widowControl w:val="0"/>
        <w:kinsoku/>
        <w:wordWrap/>
        <w:overflowPunct/>
        <w:topLinePunct w:val="0"/>
        <w:autoSpaceDE/>
        <w:autoSpaceDN/>
        <w:bidi w:val="0"/>
        <w:spacing w:line="360" w:lineRule="exact"/>
        <w:ind w:firstLine="420"/>
        <w:textAlignment w:val="auto"/>
        <w:rPr>
          <w:color w:val="auto"/>
          <w:highlight w:val="none"/>
        </w:rPr>
      </w:pPr>
      <w:r>
        <w:rPr>
          <w:color w:val="auto"/>
          <w:highlight w:val="none"/>
        </w:rPr>
        <w:t>项目名称：喀什地区巴楚县2023年城乡义务教育农村校舍安全保障长效机制项目（第一批）（以下简称</w:t>
      </w:r>
      <w:r>
        <w:rPr>
          <w:rFonts w:hint="eastAsia"/>
          <w:color w:val="auto"/>
          <w:highlight w:val="none"/>
        </w:rPr>
        <w:t>“</w:t>
      </w:r>
      <w:r>
        <w:rPr>
          <w:color w:val="auto"/>
          <w:highlight w:val="none"/>
        </w:rPr>
        <w:t>该项目</w:t>
      </w:r>
      <w:r>
        <w:rPr>
          <w:rFonts w:hint="eastAsia"/>
          <w:color w:val="auto"/>
          <w:highlight w:val="none"/>
        </w:rPr>
        <w:t>”</w:t>
      </w:r>
      <w:r>
        <w:rPr>
          <w:color w:val="auto"/>
          <w:highlight w:val="none"/>
        </w:rPr>
        <w:t>或</w:t>
      </w:r>
      <w:r>
        <w:rPr>
          <w:rFonts w:hint="eastAsia"/>
          <w:color w:val="auto"/>
          <w:highlight w:val="none"/>
        </w:rPr>
        <w:t>“</w:t>
      </w:r>
      <w:r>
        <w:rPr>
          <w:color w:val="auto"/>
          <w:highlight w:val="none"/>
        </w:rPr>
        <w:t>项目</w:t>
      </w:r>
      <w:r>
        <w:rPr>
          <w:rFonts w:hint="eastAsia"/>
          <w:color w:val="auto"/>
          <w:highlight w:val="none"/>
        </w:rPr>
        <w:t>”</w:t>
      </w:r>
      <w:r>
        <w:rPr>
          <w:color w:val="auto"/>
          <w:highlight w:val="none"/>
        </w:rPr>
        <w:t>）</w:t>
      </w:r>
    </w:p>
    <w:p>
      <w:pPr>
        <w:keepNext/>
        <w:keepLines/>
        <w:pageBreakBefore w:val="0"/>
        <w:widowControl w:val="0"/>
        <w:kinsoku/>
        <w:wordWrap/>
        <w:overflowPunct/>
        <w:topLinePunct w:val="0"/>
        <w:autoSpaceDE/>
        <w:autoSpaceDN/>
        <w:bidi w:val="0"/>
        <w:spacing w:line="360" w:lineRule="exact"/>
        <w:ind w:firstLine="420" w:firstLineChars="200"/>
        <w:textAlignment w:val="auto"/>
        <w:rPr>
          <w:rFonts w:hint="default" w:ascii="Times New Roman" w:hAnsi="Times New Roman" w:cs="Times New Roman" w:eastAsiaTheme="minorEastAsia"/>
          <w:color w:val="auto"/>
          <w:szCs w:val="21"/>
          <w:highlight w:val="none"/>
          <w:lang w:val="en-US" w:eastAsia="zh-CN"/>
        </w:rPr>
      </w:pPr>
      <w:r>
        <w:rPr>
          <w:rFonts w:hint="eastAsia" w:cs="Times New Roman"/>
          <w:color w:val="auto"/>
          <w:szCs w:val="21"/>
          <w:highlight w:val="none"/>
          <w:lang w:val="en-US" w:eastAsia="zh-CN"/>
        </w:rPr>
        <w:t>项目预算单位：巴楚县教育局</w:t>
      </w:r>
    </w:p>
    <w:p>
      <w:pPr>
        <w:keepNext/>
        <w:keepLines/>
        <w:pageBreakBefore w:val="0"/>
        <w:widowControl w:val="0"/>
        <w:kinsoku/>
        <w:wordWrap/>
        <w:overflowPunct/>
        <w:topLinePunct w:val="0"/>
        <w:autoSpaceDE/>
        <w:autoSpaceDN/>
        <w:bidi w:val="0"/>
        <w:spacing w:line="360" w:lineRule="exact"/>
        <w:ind w:firstLine="420"/>
        <w:textAlignment w:val="auto"/>
        <w:rPr>
          <w:color w:val="auto"/>
          <w:highlight w:val="none"/>
        </w:rPr>
      </w:pPr>
      <w:r>
        <w:rPr>
          <w:color w:val="auto"/>
          <w:highlight w:val="none"/>
        </w:rPr>
        <w:t>项目实施单位：巴楚县教育局</w:t>
      </w:r>
    </w:p>
    <w:p>
      <w:pPr>
        <w:keepNext/>
        <w:keepLines/>
        <w:pageBreakBefore w:val="0"/>
        <w:widowControl w:val="0"/>
        <w:kinsoku/>
        <w:wordWrap/>
        <w:overflowPunct/>
        <w:topLinePunct w:val="0"/>
        <w:autoSpaceDE/>
        <w:autoSpaceDN/>
        <w:bidi w:val="0"/>
        <w:spacing w:line="360" w:lineRule="exact"/>
        <w:ind w:firstLine="420"/>
        <w:textAlignment w:val="auto"/>
        <w:rPr>
          <w:color w:val="auto"/>
          <w:highlight w:val="none"/>
        </w:rPr>
      </w:pPr>
      <w:r>
        <w:rPr>
          <w:color w:val="auto"/>
          <w:highlight w:val="none"/>
          <w:lang w:eastAsia="zh-Hans"/>
        </w:rPr>
        <w:t>项目内容：</w:t>
      </w:r>
      <w:r>
        <w:rPr>
          <w:color w:val="auto"/>
          <w:highlight w:val="none"/>
        </w:rPr>
        <w:t>对巴楚县14所乡村中小学开展校舍安全维修改造</w:t>
      </w:r>
    </w:p>
    <w:p>
      <w:pPr>
        <w:keepNext/>
        <w:keepLines/>
        <w:pageBreakBefore w:val="0"/>
        <w:widowControl w:val="0"/>
        <w:kinsoku/>
        <w:wordWrap/>
        <w:overflowPunct/>
        <w:topLinePunct w:val="0"/>
        <w:autoSpaceDE/>
        <w:autoSpaceDN/>
        <w:bidi w:val="0"/>
        <w:spacing w:line="360" w:lineRule="exact"/>
        <w:ind w:firstLine="420"/>
        <w:textAlignment w:val="auto"/>
        <w:rPr>
          <w:color w:val="auto"/>
          <w:highlight w:val="none"/>
        </w:rPr>
      </w:pPr>
      <w:r>
        <w:rPr>
          <w:color w:val="auto"/>
          <w:highlight w:val="none"/>
        </w:rPr>
        <w:t>项目建设地点：巴楚县阿瓦提镇、色力布亚镇、阿拉格尔乡、阿克萨克马热勒乡、夏马勒乡、多来提巴格乡、恰尔巴格乡、巴楚镇</w:t>
      </w:r>
    </w:p>
    <w:p>
      <w:pPr>
        <w:keepNext/>
        <w:keepLines/>
        <w:pageBreakBefore w:val="0"/>
        <w:widowControl w:val="0"/>
        <w:kinsoku/>
        <w:wordWrap/>
        <w:overflowPunct/>
        <w:topLinePunct w:val="0"/>
        <w:autoSpaceDE/>
        <w:autoSpaceDN/>
        <w:bidi w:val="0"/>
        <w:spacing w:line="360" w:lineRule="exact"/>
        <w:ind w:firstLine="420"/>
        <w:textAlignment w:val="auto"/>
        <w:rPr>
          <w:color w:val="auto"/>
          <w:highlight w:val="none"/>
        </w:rPr>
      </w:pPr>
      <w:r>
        <w:rPr>
          <w:color w:val="auto"/>
          <w:highlight w:val="none"/>
        </w:rPr>
        <w:t>项目投资概算情况：项目总投资1</w:t>
      </w:r>
      <w:r>
        <w:rPr>
          <w:rFonts w:hint="eastAsia"/>
          <w:color w:val="auto"/>
          <w:highlight w:val="none"/>
          <w:lang w:eastAsia="zh-CN"/>
        </w:rPr>
        <w:t>，</w:t>
      </w:r>
      <w:r>
        <w:rPr>
          <w:color w:val="auto"/>
          <w:highlight w:val="none"/>
        </w:rPr>
        <w:t>800万元，其中：项目工程费用1</w:t>
      </w:r>
      <w:r>
        <w:rPr>
          <w:rFonts w:hint="eastAsia"/>
          <w:color w:val="auto"/>
          <w:highlight w:val="none"/>
          <w:lang w:eastAsia="zh-CN"/>
        </w:rPr>
        <w:t>，</w:t>
      </w:r>
      <w:r>
        <w:rPr>
          <w:color w:val="auto"/>
          <w:highlight w:val="none"/>
        </w:rPr>
        <w:t>665.57万元，工程建设其他费用95.05万元，预备费</w:t>
      </w:r>
      <w:r>
        <w:rPr>
          <w:color w:val="auto"/>
          <w:spacing w:val="-2"/>
          <w:highlight w:val="none"/>
        </w:rPr>
        <w:t>39.38万元</w:t>
      </w:r>
    </w:p>
    <w:p>
      <w:pPr>
        <w:keepNext/>
        <w:keepLines/>
        <w:pageBreakBefore w:val="0"/>
        <w:widowControl w:val="0"/>
        <w:kinsoku/>
        <w:wordWrap/>
        <w:overflowPunct/>
        <w:topLinePunct w:val="0"/>
        <w:autoSpaceDE/>
        <w:autoSpaceDN/>
        <w:bidi w:val="0"/>
        <w:spacing w:line="360" w:lineRule="exact"/>
        <w:ind w:firstLine="420"/>
        <w:textAlignment w:val="auto"/>
        <w:rPr>
          <w:color w:val="auto"/>
          <w:highlight w:val="none"/>
        </w:rPr>
      </w:pPr>
      <w:r>
        <w:rPr>
          <w:color w:val="auto"/>
          <w:highlight w:val="none"/>
        </w:rPr>
        <w:t>项目建设</w:t>
      </w:r>
      <w:r>
        <w:rPr>
          <w:rFonts w:hint="eastAsia"/>
          <w:color w:val="auto"/>
          <w:highlight w:val="none"/>
        </w:rPr>
        <w:t>年度</w:t>
      </w:r>
      <w:r>
        <w:rPr>
          <w:color w:val="auto"/>
          <w:highlight w:val="none"/>
        </w:rPr>
        <w:t>：2023年</w:t>
      </w:r>
    </w:p>
    <w:p>
      <w:pPr>
        <w:keepNext/>
        <w:keepLines/>
        <w:pageBreakBefore w:val="0"/>
        <w:widowControl w:val="0"/>
        <w:kinsoku/>
        <w:wordWrap/>
        <w:overflowPunct/>
        <w:topLinePunct w:val="0"/>
        <w:autoSpaceDE/>
        <w:autoSpaceDN/>
        <w:bidi w:val="0"/>
        <w:spacing w:line="360" w:lineRule="exact"/>
        <w:ind w:firstLine="420"/>
        <w:textAlignment w:val="auto"/>
        <w:rPr>
          <w:rFonts w:hint="default" w:ascii="Times New Roman" w:hAnsi="Times New Roman" w:cs="Times New Roman" w:eastAsiaTheme="minorEastAsia"/>
          <w:color w:val="auto"/>
          <w:highlight w:val="none"/>
          <w:lang w:val="en-US" w:eastAsia="zh-CN"/>
        </w:rPr>
      </w:pPr>
      <w:r>
        <w:rPr>
          <w:rFonts w:hint="eastAsia" w:cs="Times New Roman"/>
          <w:color w:val="auto"/>
          <w:highlight w:val="none"/>
          <w:lang w:val="en-US" w:eastAsia="zh-CN"/>
        </w:rPr>
        <w:t>项目评价时间：2024年7月</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bookmarkStart w:id="16" w:name="_Toc1790"/>
      <w:bookmarkStart w:id="17" w:name="_Toc25332"/>
      <w:bookmarkStart w:id="18" w:name="_Toc27979"/>
      <w:bookmarkStart w:id="19" w:name="_Toc23529"/>
      <w:bookmarkStart w:id="20" w:name="_Toc32291"/>
      <w:bookmarkStart w:id="21" w:name="_Toc9750"/>
      <w:bookmarkStart w:id="22" w:name="_Toc22172"/>
      <w:bookmarkStart w:id="23" w:name="_Toc10468"/>
      <w:bookmarkStart w:id="24" w:name="_Toc19037"/>
      <w:r>
        <w:rPr>
          <w:b/>
          <w:bCs/>
          <w:color w:val="auto"/>
          <w:sz w:val="24"/>
          <w:szCs w:val="28"/>
          <w:highlight w:val="none"/>
        </w:rPr>
        <w:t>（三）资金投入和使用情况</w:t>
      </w:r>
      <w:bookmarkEnd w:id="16"/>
      <w:bookmarkEnd w:id="17"/>
      <w:bookmarkEnd w:id="18"/>
      <w:bookmarkEnd w:id="19"/>
      <w:bookmarkEnd w:id="20"/>
      <w:bookmarkEnd w:id="21"/>
      <w:bookmarkEnd w:id="22"/>
      <w:bookmarkEnd w:id="23"/>
      <w:bookmarkEnd w:id="24"/>
    </w:p>
    <w:p>
      <w:pPr>
        <w:pageBreakBefore w:val="0"/>
        <w:widowControl w:val="0"/>
        <w:kinsoku/>
        <w:wordWrap/>
        <w:overflowPunct/>
        <w:topLinePunct w:val="0"/>
        <w:autoSpaceDE/>
        <w:autoSpaceDN/>
        <w:bidi w:val="0"/>
        <w:spacing w:line="360" w:lineRule="exact"/>
        <w:textAlignment w:val="auto"/>
        <w:rPr>
          <w:color w:val="auto"/>
          <w:highlight w:val="none"/>
        </w:rPr>
      </w:pPr>
      <w:r>
        <w:rPr>
          <w:color w:val="auto"/>
          <w:highlight w:val="none"/>
        </w:rPr>
        <w:t>该项目总投资为1</w:t>
      </w:r>
      <w:r>
        <w:rPr>
          <w:rFonts w:hint="eastAsia"/>
          <w:color w:val="auto"/>
          <w:highlight w:val="none"/>
          <w:lang w:eastAsia="zh-CN"/>
        </w:rPr>
        <w:t>，</w:t>
      </w:r>
      <w:r>
        <w:rPr>
          <w:color w:val="auto"/>
          <w:highlight w:val="none"/>
        </w:rPr>
        <w:t>800万元，资金来源为2023年城乡义务教育补助经费-校舍安全保障资金。截至2023年12月31日，实际到位资金1</w:t>
      </w:r>
      <w:r>
        <w:rPr>
          <w:rFonts w:hint="eastAsia"/>
          <w:color w:val="auto"/>
          <w:highlight w:val="none"/>
          <w:lang w:eastAsia="zh-CN"/>
        </w:rPr>
        <w:t>，</w:t>
      </w:r>
      <w:r>
        <w:rPr>
          <w:color w:val="auto"/>
          <w:highlight w:val="none"/>
        </w:rPr>
        <w:t>800万元，资金到位率为100%</w:t>
      </w:r>
      <w:r>
        <w:rPr>
          <w:rFonts w:hint="eastAsia"/>
          <w:color w:val="auto"/>
          <w:highlight w:val="none"/>
        </w:rPr>
        <w:t>；</w:t>
      </w:r>
      <w:r>
        <w:rPr>
          <w:color w:val="auto"/>
          <w:highlight w:val="none"/>
        </w:rPr>
        <w:t>实际支出资金为</w:t>
      </w:r>
      <w:r>
        <w:rPr>
          <w:color w:val="auto"/>
          <w:kern w:val="0"/>
          <w:highlight w:val="none"/>
          <w:lang w:bidi="ar"/>
        </w:rPr>
        <w:t>1</w:t>
      </w:r>
      <w:r>
        <w:rPr>
          <w:rFonts w:hint="eastAsia"/>
          <w:color w:val="auto"/>
          <w:kern w:val="0"/>
          <w:highlight w:val="none"/>
          <w:lang w:eastAsia="zh-CN" w:bidi="ar"/>
        </w:rPr>
        <w:t>，</w:t>
      </w:r>
      <w:r>
        <w:rPr>
          <w:color w:val="auto"/>
          <w:kern w:val="0"/>
          <w:highlight w:val="none"/>
          <w:lang w:bidi="ar"/>
        </w:rPr>
        <w:t>261.99</w:t>
      </w:r>
      <w:r>
        <w:rPr>
          <w:color w:val="auto"/>
          <w:highlight w:val="none"/>
        </w:rPr>
        <w:t>万元，预算资金执行率为70.11%。</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rFonts w:hint="eastAsia"/>
          <w:b/>
          <w:bCs/>
          <w:color w:val="auto"/>
          <w:sz w:val="24"/>
          <w:szCs w:val="28"/>
          <w:highlight w:val="none"/>
          <w:lang w:eastAsia="zh-CN"/>
        </w:rPr>
        <w:t>二</w:t>
      </w:r>
      <w:r>
        <w:rPr>
          <w:b/>
          <w:bCs/>
          <w:color w:val="auto"/>
          <w:sz w:val="24"/>
          <w:szCs w:val="28"/>
          <w:highlight w:val="none"/>
        </w:rPr>
        <w:t>、评价结论</w:t>
      </w:r>
    </w:p>
    <w:p>
      <w:pPr>
        <w:pageBreakBefore w:val="0"/>
        <w:widowControl w:val="0"/>
        <w:kinsoku/>
        <w:wordWrap/>
        <w:overflowPunct/>
        <w:topLinePunct w:val="0"/>
        <w:autoSpaceDE/>
        <w:autoSpaceDN/>
        <w:bidi w:val="0"/>
        <w:spacing w:line="360" w:lineRule="exact"/>
        <w:textAlignment w:val="auto"/>
        <w:rPr>
          <w:color w:val="auto"/>
          <w:highlight w:val="none"/>
        </w:rPr>
      </w:pPr>
      <w:r>
        <w:rPr>
          <w:color w:val="auto"/>
          <w:highlight w:val="none"/>
        </w:rPr>
        <w:t>经评价分析，项目总体实施情况</w:t>
      </w:r>
      <w:r>
        <w:rPr>
          <w:rFonts w:hint="eastAsia"/>
          <w:color w:val="auto"/>
          <w:highlight w:val="none"/>
        </w:rPr>
        <w:t>良好</w:t>
      </w:r>
      <w:r>
        <w:rPr>
          <w:color w:val="auto"/>
          <w:highlight w:val="none"/>
        </w:rPr>
        <w:t>，立项程序规范，前期手续齐全，按期完成14所乡村中小学维修改造内容，其中13所学校</w:t>
      </w:r>
      <w:r>
        <w:rPr>
          <w:rFonts w:hint="eastAsia"/>
          <w:color w:val="auto"/>
          <w:highlight w:val="none"/>
          <w:lang w:val="en-US" w:eastAsia="zh-CN"/>
        </w:rPr>
        <w:t>验收</w:t>
      </w:r>
      <w:r>
        <w:rPr>
          <w:color w:val="auto"/>
          <w:highlight w:val="none"/>
        </w:rPr>
        <w:t>后已投入使用，</w:t>
      </w:r>
      <w:r>
        <w:rPr>
          <w:rFonts w:hint="default"/>
          <w:color w:val="auto"/>
          <w:highlight w:val="none"/>
          <w:lang w:val="en-US" w:eastAsia="zh-CN"/>
        </w:rPr>
        <w:t>巴楚第八小学</w:t>
      </w:r>
      <w:r>
        <w:rPr>
          <w:rFonts w:hint="default" w:eastAsiaTheme="minorEastAsia"/>
          <w:color w:val="auto"/>
          <w:kern w:val="2"/>
          <w:sz w:val="21"/>
          <w:szCs w:val="21"/>
          <w:highlight w:val="none"/>
          <w:lang w:bidi="ar"/>
        </w:rPr>
        <w:t>宿舍及食堂的</w:t>
      </w:r>
    </w:p>
    <w:p>
      <w:pPr>
        <w:pageBreakBefore w:val="0"/>
        <w:widowControl w:val="0"/>
        <w:kinsoku/>
        <w:wordWrap/>
        <w:overflowPunct/>
        <w:topLinePunct w:val="0"/>
        <w:autoSpaceDE/>
        <w:autoSpaceDN/>
        <w:bidi w:val="0"/>
        <w:spacing w:line="360" w:lineRule="exact"/>
        <w:ind w:left="0" w:leftChars="0" w:firstLine="0" w:firstLineChars="0"/>
        <w:textAlignment w:val="auto"/>
        <w:rPr>
          <w:color w:val="auto"/>
          <w:highlight w:val="none"/>
        </w:rPr>
      </w:pPr>
      <w:r>
        <w:rPr>
          <w:rFonts w:hint="default" w:eastAsiaTheme="minorEastAsia"/>
          <w:color w:val="auto"/>
          <w:kern w:val="2"/>
          <w:sz w:val="21"/>
          <w:szCs w:val="21"/>
          <w:highlight w:val="none"/>
          <w:lang w:bidi="ar"/>
        </w:rPr>
        <w:t>配套设施</w:t>
      </w:r>
      <w:r>
        <w:rPr>
          <w:rFonts w:hint="eastAsia"/>
          <w:color w:val="auto"/>
          <w:kern w:val="2"/>
          <w:sz w:val="21"/>
          <w:szCs w:val="21"/>
          <w:highlight w:val="none"/>
          <w:lang w:val="en-US" w:eastAsia="zh-CN" w:bidi="ar"/>
        </w:rPr>
        <w:t>已验收，但由于主体工程未</w:t>
      </w:r>
      <w:r>
        <w:rPr>
          <w:rFonts w:hint="default" w:eastAsiaTheme="minorEastAsia"/>
          <w:color w:val="auto"/>
          <w:kern w:val="2"/>
          <w:sz w:val="21"/>
          <w:szCs w:val="21"/>
          <w:highlight w:val="none"/>
          <w:lang w:bidi="ar"/>
        </w:rPr>
        <w:t>运行，</w:t>
      </w:r>
      <w:r>
        <w:rPr>
          <w:rFonts w:hint="eastAsia"/>
          <w:color w:val="auto"/>
          <w:kern w:val="2"/>
          <w:sz w:val="21"/>
          <w:szCs w:val="21"/>
          <w:highlight w:val="none"/>
          <w:lang w:val="en-US" w:eastAsia="zh-CN" w:bidi="ar"/>
        </w:rPr>
        <w:t>故</w:t>
      </w:r>
      <w:r>
        <w:rPr>
          <w:rFonts w:hint="default" w:eastAsiaTheme="minorEastAsia"/>
          <w:color w:val="auto"/>
          <w:kern w:val="2"/>
          <w:sz w:val="21"/>
          <w:szCs w:val="21"/>
          <w:highlight w:val="none"/>
          <w:lang w:bidi="ar"/>
        </w:rPr>
        <w:t>未投入使用</w:t>
      </w:r>
      <w:r>
        <w:rPr>
          <w:color w:val="auto"/>
          <w:highlight w:val="none"/>
        </w:rPr>
        <w:t>。但在实施过程中也存在一些不足：</w:t>
      </w:r>
    </w:p>
    <w:p>
      <w:pPr>
        <w:pageBreakBefore w:val="0"/>
        <w:widowControl w:val="0"/>
        <w:kinsoku/>
        <w:wordWrap/>
        <w:overflowPunct/>
        <w:topLinePunct w:val="0"/>
        <w:autoSpaceDE/>
        <w:autoSpaceDN/>
        <w:bidi w:val="0"/>
        <w:spacing w:line="360" w:lineRule="exact"/>
        <w:textAlignment w:val="auto"/>
        <w:rPr>
          <w:color w:val="auto"/>
          <w:highlight w:val="none"/>
        </w:rPr>
      </w:pPr>
    </w:p>
    <w:p>
      <w:pPr>
        <w:keepNext/>
        <w:keepLines/>
        <w:pageBreakBefore w:val="0"/>
        <w:widowControl w:val="0"/>
        <w:kinsoku/>
        <w:wordWrap/>
        <w:overflowPunct/>
        <w:topLinePunct w:val="0"/>
        <w:autoSpaceDE/>
        <w:autoSpaceDN/>
        <w:bidi w:val="0"/>
        <w:spacing w:line="360" w:lineRule="exact"/>
        <w:ind w:left="0" w:leftChars="0" w:firstLine="0" w:firstLineChars="0"/>
        <w:textAlignment w:val="auto"/>
        <w:rPr>
          <w:color w:val="auto"/>
          <w:highlight w:val="none"/>
        </w:rPr>
      </w:pPr>
      <w:r>
        <w:rPr>
          <w:rFonts w:hint="eastAsia"/>
          <w:color w:val="auto"/>
          <w:highlight w:val="none"/>
        </w:rPr>
        <w:t>项目预算执行进度偏低</w:t>
      </w:r>
      <w:r>
        <w:rPr>
          <w:color w:val="auto"/>
          <w:highlight w:val="none"/>
        </w:rPr>
        <w:t>，项目未及时开工</w:t>
      </w:r>
      <w:r>
        <w:rPr>
          <w:rFonts w:hint="eastAsia"/>
          <w:color w:val="auto"/>
          <w:highlight w:val="none"/>
          <w:lang w:eastAsia="zh-CN"/>
        </w:rPr>
        <w:t>，</w:t>
      </w:r>
      <w:r>
        <w:rPr>
          <w:rFonts w:hint="eastAsia"/>
          <w:color w:val="auto"/>
          <w:highlight w:val="none"/>
        </w:rPr>
        <w:t>竣工验收材料存在要素缺失</w:t>
      </w:r>
      <w:r>
        <w:rPr>
          <w:color w:val="auto"/>
          <w:highlight w:val="none"/>
        </w:rPr>
        <w:t>，尚未开展工程结算审核和竣工财务决算审计工作。</w:t>
      </w:r>
    </w:p>
    <w:p>
      <w:pPr>
        <w:keepNext/>
        <w:keepLines/>
        <w:pageBreakBefore w:val="0"/>
        <w:widowControl w:val="0"/>
        <w:kinsoku/>
        <w:wordWrap/>
        <w:overflowPunct/>
        <w:topLinePunct w:val="0"/>
        <w:autoSpaceDE/>
        <w:autoSpaceDN/>
        <w:bidi w:val="0"/>
        <w:spacing w:line="360" w:lineRule="exact"/>
        <w:ind w:firstLine="420"/>
        <w:textAlignment w:val="auto"/>
        <w:rPr>
          <w:color w:val="auto"/>
          <w:highlight w:val="none"/>
        </w:rPr>
      </w:pPr>
      <w:r>
        <w:rPr>
          <w:color w:val="auto"/>
          <w:highlight w:val="none"/>
          <w:lang w:val="zh-TW" w:eastAsia="zh-TW"/>
        </w:rPr>
        <w:t>通过调研、数据分析、访谈等方式，根据工作方案确定的指标体系及评分标准，对</w:t>
      </w:r>
      <w:r>
        <w:rPr>
          <w:rFonts w:hint="eastAsia"/>
          <w:color w:val="auto"/>
          <w:highlight w:val="none"/>
          <w:lang w:val="zh-TW"/>
        </w:rPr>
        <w:t>“</w:t>
      </w:r>
      <w:r>
        <w:rPr>
          <w:color w:val="auto"/>
          <w:highlight w:val="none"/>
          <w:lang w:val="zh-TW" w:eastAsia="zh-TW"/>
        </w:rPr>
        <w:t>喀什地区巴楚县2023年城乡义务教育农村校舍安全保障长效机制项目</w:t>
      </w:r>
      <w:r>
        <w:rPr>
          <w:color w:val="auto"/>
          <w:highlight w:val="none"/>
          <w:lang w:val="zh-TW"/>
        </w:rPr>
        <w:t>（第一批）</w:t>
      </w:r>
      <w:r>
        <w:rPr>
          <w:rFonts w:hint="eastAsia"/>
          <w:color w:val="auto"/>
          <w:highlight w:val="none"/>
          <w:lang w:val="zh-TW"/>
        </w:rPr>
        <w:t>”</w:t>
      </w:r>
      <w:r>
        <w:rPr>
          <w:color w:val="auto"/>
          <w:highlight w:val="none"/>
          <w:lang w:val="zh-TW" w:eastAsia="zh-TW"/>
        </w:rPr>
        <w:t>绩效进行客观评价</w:t>
      </w:r>
      <w:r>
        <w:rPr>
          <w:color w:val="auto"/>
          <w:highlight w:val="none"/>
        </w:rPr>
        <w:t>，项目最终得分为</w:t>
      </w:r>
      <w:r>
        <w:rPr>
          <w:rFonts w:hint="eastAsia"/>
          <w:color w:val="auto"/>
          <w:highlight w:val="none"/>
        </w:rPr>
        <w:t>88.83</w:t>
      </w:r>
      <w:r>
        <w:rPr>
          <w:color w:val="auto"/>
          <w:highlight w:val="none"/>
        </w:rPr>
        <w:t>分，评价级别属于</w:t>
      </w:r>
      <w:r>
        <w:rPr>
          <w:rFonts w:hint="eastAsia"/>
          <w:color w:val="auto"/>
          <w:highlight w:val="none"/>
        </w:rPr>
        <w:t>“良”</w:t>
      </w:r>
      <w:r>
        <w:rPr>
          <w:color w:val="auto"/>
          <w:highlight w:val="none"/>
        </w:rPr>
        <w:t>。</w:t>
      </w:r>
    </w:p>
    <w:p>
      <w:pPr>
        <w:keepNext/>
        <w:keepLines/>
        <w:pageBreakBefore w:val="0"/>
        <w:widowControl w:val="0"/>
        <w:kinsoku/>
        <w:wordWrap/>
        <w:overflowPunct/>
        <w:topLinePunct w:val="0"/>
        <w:autoSpaceDE/>
        <w:autoSpaceDN/>
        <w:bidi w:val="0"/>
        <w:spacing w:line="360" w:lineRule="exact"/>
        <w:ind w:firstLine="0" w:firstLineChars="0"/>
        <w:jc w:val="center"/>
        <w:textAlignment w:val="auto"/>
        <w:rPr>
          <w:rFonts w:ascii="宋体" w:hAnsi="宋体" w:eastAsia="宋体" w:cs="宋体"/>
          <w:b/>
          <w:bCs/>
          <w:color w:val="auto"/>
          <w:highlight w:val="none"/>
        </w:rPr>
      </w:pPr>
      <w:r>
        <w:rPr>
          <w:rFonts w:hint="eastAsia" w:ascii="宋体" w:hAnsi="宋体" w:eastAsia="宋体" w:cs="宋体"/>
          <w:b/>
          <w:bCs/>
          <w:color w:val="auto"/>
          <w:highlight w:val="none"/>
          <w:lang w:val="zh-TW" w:eastAsia="zh-TW"/>
        </w:rPr>
        <w:t>喀什地区巴楚县2023年城乡义务教育农村校舍安全保障长效机制项目</w:t>
      </w:r>
      <w:r>
        <w:rPr>
          <w:rFonts w:hint="eastAsia" w:ascii="宋体" w:hAnsi="宋体" w:eastAsia="宋体" w:cs="宋体"/>
          <w:b/>
          <w:bCs/>
          <w:color w:val="auto"/>
          <w:highlight w:val="none"/>
          <w:lang w:val="zh-TW"/>
        </w:rPr>
        <w:t>（第一批）得分表</w:t>
      </w:r>
    </w:p>
    <w:tbl>
      <w:tblPr>
        <w:tblStyle w:val="19"/>
        <w:tblW w:w="8469"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3"/>
        <w:gridCol w:w="1614"/>
        <w:gridCol w:w="1614"/>
        <w:gridCol w:w="1614"/>
        <w:gridCol w:w="1614"/>
        <w:gridCol w:w="113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keepNext/>
              <w:keepLines/>
              <w:pageBreakBefore w:val="0"/>
              <w:widowControl w:val="0"/>
              <w:kinsoku/>
              <w:wordWrap/>
              <w:overflowPunct/>
              <w:topLinePunct w:val="0"/>
              <w:autoSpaceDE/>
              <w:autoSpaceDN/>
              <w:bidi w:val="0"/>
              <w:snapToGrid w:val="0"/>
              <w:spacing w:before="0" w:after="0" w:line="360" w:lineRule="exact"/>
              <w:jc w:val="center"/>
              <w:textAlignment w:val="auto"/>
              <w:rPr>
                <w:rFonts w:hAnsi="Times New Roman" w:eastAsia="宋体" w:cs="Times New Roman"/>
                <w:b/>
                <w:bCs/>
                <w:color w:val="auto"/>
                <w:sz w:val="21"/>
                <w:szCs w:val="21"/>
                <w:highlight w:val="none"/>
              </w:rPr>
            </w:pPr>
            <w:r>
              <w:rPr>
                <w:rFonts w:hAnsi="Times New Roman" w:eastAsia="宋体" w:cs="Times New Roman"/>
                <w:b/>
                <w:bCs/>
                <w:color w:val="auto"/>
                <w:sz w:val="21"/>
                <w:szCs w:val="21"/>
                <w:highlight w:val="none"/>
                <w:lang w:val="zh-TW" w:eastAsia="zh-TW"/>
              </w:rPr>
              <w:t>指标</w:t>
            </w:r>
          </w:p>
        </w:tc>
        <w:tc>
          <w:tcPr>
            <w:tcW w:w="1614"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keepNext/>
              <w:keepLines/>
              <w:pageBreakBefore w:val="0"/>
              <w:widowControl w:val="0"/>
              <w:kinsoku/>
              <w:wordWrap/>
              <w:overflowPunct/>
              <w:topLinePunct w:val="0"/>
              <w:autoSpaceDE/>
              <w:autoSpaceDN/>
              <w:bidi w:val="0"/>
              <w:snapToGrid w:val="0"/>
              <w:spacing w:before="0" w:after="0" w:line="360" w:lineRule="exact"/>
              <w:jc w:val="center"/>
              <w:textAlignment w:val="auto"/>
              <w:rPr>
                <w:rFonts w:hAnsi="Times New Roman" w:eastAsia="宋体" w:cs="Times New Roman"/>
                <w:b/>
                <w:bCs/>
                <w:color w:val="auto"/>
                <w:sz w:val="21"/>
                <w:szCs w:val="21"/>
                <w:highlight w:val="none"/>
              </w:rPr>
            </w:pPr>
            <w:r>
              <w:rPr>
                <w:rFonts w:hAnsi="Times New Roman" w:eastAsia="宋体" w:cs="Times New Roman"/>
                <w:b/>
                <w:bCs/>
                <w:color w:val="auto"/>
                <w:sz w:val="21"/>
                <w:szCs w:val="21"/>
                <w:highlight w:val="none"/>
                <w:lang w:val="zh-TW" w:eastAsia="zh-TW"/>
              </w:rPr>
              <w:t>项目决策类</w:t>
            </w:r>
          </w:p>
        </w:tc>
        <w:tc>
          <w:tcPr>
            <w:tcW w:w="1614"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keepNext/>
              <w:keepLines/>
              <w:pageBreakBefore w:val="0"/>
              <w:widowControl w:val="0"/>
              <w:kinsoku/>
              <w:wordWrap/>
              <w:overflowPunct/>
              <w:topLinePunct w:val="0"/>
              <w:autoSpaceDE/>
              <w:autoSpaceDN/>
              <w:bidi w:val="0"/>
              <w:snapToGrid w:val="0"/>
              <w:spacing w:before="0" w:after="0" w:line="360" w:lineRule="exact"/>
              <w:jc w:val="center"/>
              <w:textAlignment w:val="auto"/>
              <w:rPr>
                <w:rFonts w:hAnsi="Times New Roman" w:eastAsia="宋体" w:cs="Times New Roman"/>
                <w:b/>
                <w:bCs/>
                <w:color w:val="auto"/>
                <w:sz w:val="21"/>
                <w:szCs w:val="21"/>
                <w:highlight w:val="none"/>
              </w:rPr>
            </w:pPr>
            <w:r>
              <w:rPr>
                <w:rFonts w:hAnsi="Times New Roman" w:eastAsia="宋体" w:cs="Times New Roman"/>
                <w:b/>
                <w:bCs/>
                <w:color w:val="auto"/>
                <w:sz w:val="21"/>
                <w:szCs w:val="21"/>
                <w:highlight w:val="none"/>
                <w:lang w:val="zh-TW" w:eastAsia="zh-TW"/>
              </w:rPr>
              <w:t>项目</w:t>
            </w:r>
            <w:r>
              <w:rPr>
                <w:rFonts w:hAnsi="Times New Roman" w:eastAsia="宋体" w:cs="Times New Roman"/>
                <w:b/>
                <w:bCs/>
                <w:color w:val="auto"/>
                <w:sz w:val="21"/>
                <w:szCs w:val="21"/>
                <w:highlight w:val="none"/>
              </w:rPr>
              <w:t>过程</w:t>
            </w:r>
            <w:r>
              <w:rPr>
                <w:rFonts w:hAnsi="Times New Roman" w:eastAsia="宋体" w:cs="Times New Roman"/>
                <w:b/>
                <w:bCs/>
                <w:color w:val="auto"/>
                <w:sz w:val="21"/>
                <w:szCs w:val="21"/>
                <w:highlight w:val="none"/>
                <w:lang w:val="zh-TW" w:eastAsia="zh-TW"/>
              </w:rPr>
              <w:t>类</w:t>
            </w:r>
          </w:p>
        </w:tc>
        <w:tc>
          <w:tcPr>
            <w:tcW w:w="1614"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keepNext/>
              <w:keepLines/>
              <w:pageBreakBefore w:val="0"/>
              <w:widowControl w:val="0"/>
              <w:kinsoku/>
              <w:wordWrap/>
              <w:overflowPunct/>
              <w:topLinePunct w:val="0"/>
              <w:autoSpaceDE/>
              <w:autoSpaceDN/>
              <w:bidi w:val="0"/>
              <w:snapToGrid w:val="0"/>
              <w:spacing w:before="0" w:after="0" w:line="360" w:lineRule="exact"/>
              <w:jc w:val="center"/>
              <w:textAlignment w:val="auto"/>
              <w:rPr>
                <w:rFonts w:hAnsi="Times New Roman" w:eastAsia="宋体" w:cs="Times New Roman"/>
                <w:b/>
                <w:bCs/>
                <w:color w:val="auto"/>
                <w:sz w:val="21"/>
                <w:szCs w:val="21"/>
                <w:highlight w:val="none"/>
              </w:rPr>
            </w:pPr>
            <w:r>
              <w:rPr>
                <w:rFonts w:hAnsi="Times New Roman" w:eastAsia="宋体" w:cs="Times New Roman"/>
                <w:b/>
                <w:bCs/>
                <w:color w:val="auto"/>
                <w:sz w:val="21"/>
                <w:szCs w:val="21"/>
                <w:highlight w:val="none"/>
                <w:lang w:val="zh-TW" w:eastAsia="zh-TW"/>
              </w:rPr>
              <w:t>项目</w:t>
            </w:r>
            <w:r>
              <w:rPr>
                <w:rFonts w:hAnsi="Times New Roman" w:eastAsia="宋体" w:cs="Times New Roman"/>
                <w:b/>
                <w:bCs/>
                <w:color w:val="auto"/>
                <w:sz w:val="21"/>
                <w:szCs w:val="21"/>
                <w:highlight w:val="none"/>
              </w:rPr>
              <w:t>产出</w:t>
            </w:r>
            <w:r>
              <w:rPr>
                <w:rFonts w:hAnsi="Times New Roman" w:eastAsia="宋体" w:cs="Times New Roman"/>
                <w:b/>
                <w:bCs/>
                <w:color w:val="auto"/>
                <w:sz w:val="21"/>
                <w:szCs w:val="21"/>
                <w:highlight w:val="none"/>
                <w:lang w:val="zh-TW" w:eastAsia="zh-TW"/>
              </w:rPr>
              <w:t>类</w:t>
            </w:r>
          </w:p>
        </w:tc>
        <w:tc>
          <w:tcPr>
            <w:tcW w:w="1614"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keepNext/>
              <w:keepLines/>
              <w:pageBreakBefore w:val="0"/>
              <w:widowControl w:val="0"/>
              <w:kinsoku/>
              <w:wordWrap/>
              <w:overflowPunct/>
              <w:topLinePunct w:val="0"/>
              <w:autoSpaceDE/>
              <w:autoSpaceDN/>
              <w:bidi w:val="0"/>
              <w:snapToGrid w:val="0"/>
              <w:spacing w:before="0" w:after="0" w:line="360" w:lineRule="exact"/>
              <w:jc w:val="center"/>
              <w:textAlignment w:val="auto"/>
              <w:rPr>
                <w:rFonts w:hAnsi="Times New Roman" w:eastAsia="宋体" w:cs="Times New Roman"/>
                <w:b/>
                <w:bCs/>
                <w:color w:val="auto"/>
                <w:sz w:val="21"/>
                <w:szCs w:val="21"/>
                <w:highlight w:val="none"/>
                <w:lang w:val="zh-TW" w:eastAsia="zh-TW"/>
              </w:rPr>
            </w:pPr>
            <w:r>
              <w:rPr>
                <w:rFonts w:hAnsi="Times New Roman" w:eastAsia="宋体" w:cs="Times New Roman"/>
                <w:b/>
                <w:bCs/>
                <w:color w:val="auto"/>
                <w:sz w:val="21"/>
                <w:szCs w:val="21"/>
                <w:highlight w:val="none"/>
                <w:lang w:val="zh-TW" w:eastAsia="zh-TW"/>
              </w:rPr>
              <w:t>项目</w:t>
            </w:r>
            <w:r>
              <w:rPr>
                <w:rFonts w:hAnsi="Times New Roman" w:eastAsia="宋体" w:cs="Times New Roman"/>
                <w:b/>
                <w:bCs/>
                <w:color w:val="auto"/>
                <w:sz w:val="21"/>
                <w:szCs w:val="21"/>
                <w:highlight w:val="none"/>
              </w:rPr>
              <w:t>效益</w:t>
            </w:r>
            <w:r>
              <w:rPr>
                <w:rFonts w:hAnsi="Times New Roman" w:eastAsia="宋体" w:cs="Times New Roman"/>
                <w:b/>
                <w:bCs/>
                <w:color w:val="auto"/>
                <w:sz w:val="21"/>
                <w:szCs w:val="21"/>
                <w:highlight w:val="none"/>
                <w:lang w:val="zh-TW" w:eastAsia="zh-TW"/>
              </w:rPr>
              <w:t>类</w:t>
            </w:r>
          </w:p>
        </w:tc>
        <w:tc>
          <w:tcPr>
            <w:tcW w:w="1130"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keepNext/>
              <w:keepLines/>
              <w:pageBreakBefore w:val="0"/>
              <w:widowControl w:val="0"/>
              <w:kinsoku/>
              <w:wordWrap/>
              <w:overflowPunct/>
              <w:topLinePunct w:val="0"/>
              <w:autoSpaceDE/>
              <w:autoSpaceDN/>
              <w:bidi w:val="0"/>
              <w:snapToGrid w:val="0"/>
              <w:spacing w:before="0" w:after="0" w:line="360" w:lineRule="exact"/>
              <w:jc w:val="center"/>
              <w:textAlignment w:val="auto"/>
              <w:rPr>
                <w:rFonts w:hAnsi="Times New Roman" w:eastAsia="宋体" w:cs="Times New Roman"/>
                <w:b/>
                <w:bCs/>
                <w:color w:val="auto"/>
                <w:sz w:val="21"/>
                <w:szCs w:val="21"/>
                <w:highlight w:val="none"/>
              </w:rPr>
            </w:pPr>
            <w:r>
              <w:rPr>
                <w:rFonts w:hAnsi="Times New Roman" w:eastAsia="宋体" w:cs="Times New Roman"/>
                <w:b/>
                <w:bCs/>
                <w:color w:val="auto"/>
                <w:sz w:val="21"/>
                <w:szCs w:val="21"/>
                <w:highlight w:val="none"/>
                <w:lang w:val="zh-TW" w:eastAsia="zh-TW"/>
              </w:rPr>
              <w:t>合计分值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keepNext/>
              <w:keepLines/>
              <w:pageBreakBefore w:val="0"/>
              <w:widowControl w:val="0"/>
              <w:kinsoku/>
              <w:wordWrap/>
              <w:overflowPunct/>
              <w:topLinePunct w:val="0"/>
              <w:autoSpaceDE/>
              <w:autoSpaceDN/>
              <w:bidi w:val="0"/>
              <w:snapToGrid w:val="0"/>
              <w:spacing w:before="0" w:after="0" w:line="360" w:lineRule="exact"/>
              <w:jc w:val="center"/>
              <w:textAlignment w:val="auto"/>
              <w:rPr>
                <w:rFonts w:hAnsi="Times New Roman" w:eastAsia="宋体" w:cs="Times New Roman"/>
                <w:b/>
                <w:bCs/>
                <w:color w:val="auto"/>
                <w:sz w:val="21"/>
                <w:szCs w:val="21"/>
                <w:highlight w:val="none"/>
              </w:rPr>
            </w:pPr>
            <w:r>
              <w:rPr>
                <w:rFonts w:hAnsi="Times New Roman" w:eastAsia="宋体" w:cs="Times New Roman"/>
                <w:b/>
                <w:bCs/>
                <w:color w:val="auto"/>
                <w:sz w:val="21"/>
                <w:szCs w:val="21"/>
                <w:highlight w:val="none"/>
                <w:lang w:val="zh-TW" w:eastAsia="zh-TW"/>
              </w:rPr>
              <w:t>权重</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keepNext/>
              <w:keepLines/>
              <w:pageBreakBefore w:val="0"/>
              <w:widowControl w:val="0"/>
              <w:kinsoku/>
              <w:wordWrap/>
              <w:overflowPunct/>
              <w:topLinePunct w:val="0"/>
              <w:autoSpaceDE/>
              <w:autoSpaceDN/>
              <w:bidi w:val="0"/>
              <w:snapToGrid w:val="0"/>
              <w:spacing w:before="0" w:after="0" w:line="360" w:lineRule="exact"/>
              <w:jc w:val="center"/>
              <w:textAlignment w:val="auto"/>
              <w:rPr>
                <w:rFonts w:hint="eastAsia" w:hAnsi="Times New Roman" w:eastAsia="宋体" w:cs="Times New Roman"/>
                <w:color w:val="auto"/>
                <w:sz w:val="21"/>
                <w:szCs w:val="21"/>
                <w:highlight w:val="none"/>
                <w:lang w:eastAsia="zh-CN"/>
              </w:rPr>
            </w:pPr>
            <w:r>
              <w:rPr>
                <w:rFonts w:hint="eastAsia" w:hAnsi="Times New Roman" w:eastAsia="宋体" w:cs="Times New Roman"/>
                <w:color w:val="auto"/>
                <w:sz w:val="21"/>
                <w:szCs w:val="21"/>
                <w:highlight w:val="none"/>
              </w:rPr>
              <w:t>10</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keepNext/>
              <w:keepLines/>
              <w:pageBreakBefore w:val="0"/>
              <w:widowControl w:val="0"/>
              <w:kinsoku/>
              <w:wordWrap/>
              <w:overflowPunct/>
              <w:topLinePunct w:val="0"/>
              <w:autoSpaceDE/>
              <w:autoSpaceDN/>
              <w:bidi w:val="0"/>
              <w:snapToGrid w:val="0"/>
              <w:spacing w:before="0" w:after="0" w:line="360" w:lineRule="exact"/>
              <w:jc w:val="center"/>
              <w:textAlignment w:val="auto"/>
              <w:rPr>
                <w:rFonts w:hint="eastAsia" w:hAnsi="Times New Roman" w:eastAsia="宋体" w:cs="Times New Roman"/>
                <w:color w:val="auto"/>
                <w:sz w:val="21"/>
                <w:szCs w:val="21"/>
                <w:highlight w:val="none"/>
                <w:lang w:eastAsia="zh-CN"/>
              </w:rPr>
            </w:pPr>
            <w:r>
              <w:rPr>
                <w:rFonts w:hint="eastAsia" w:hAnsi="Times New Roman" w:eastAsia="宋体" w:cs="Times New Roman"/>
                <w:color w:val="auto"/>
                <w:sz w:val="21"/>
                <w:szCs w:val="21"/>
                <w:highlight w:val="none"/>
              </w:rPr>
              <w:t>25</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keepNext/>
              <w:keepLines/>
              <w:pageBreakBefore w:val="0"/>
              <w:widowControl w:val="0"/>
              <w:kinsoku/>
              <w:wordWrap/>
              <w:overflowPunct/>
              <w:topLinePunct w:val="0"/>
              <w:autoSpaceDE/>
              <w:autoSpaceDN/>
              <w:bidi w:val="0"/>
              <w:snapToGrid w:val="0"/>
              <w:spacing w:before="0" w:after="0" w:line="360" w:lineRule="exact"/>
              <w:jc w:val="center"/>
              <w:textAlignment w:val="auto"/>
              <w:rPr>
                <w:rFonts w:hint="eastAsia" w:hAnsi="Times New Roman" w:eastAsia="宋体" w:cs="Times New Roman"/>
                <w:color w:val="auto"/>
                <w:sz w:val="21"/>
                <w:szCs w:val="21"/>
                <w:highlight w:val="none"/>
                <w:lang w:eastAsia="zh-CN"/>
              </w:rPr>
            </w:pPr>
            <w:r>
              <w:rPr>
                <w:rFonts w:hint="eastAsia" w:hAnsi="Times New Roman" w:eastAsia="宋体" w:cs="Times New Roman"/>
                <w:color w:val="auto"/>
                <w:sz w:val="21"/>
                <w:szCs w:val="21"/>
                <w:highlight w:val="none"/>
              </w:rPr>
              <w:t>30</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keepNext/>
              <w:keepLines/>
              <w:pageBreakBefore w:val="0"/>
              <w:widowControl w:val="0"/>
              <w:kinsoku/>
              <w:wordWrap/>
              <w:overflowPunct/>
              <w:topLinePunct w:val="0"/>
              <w:autoSpaceDE/>
              <w:autoSpaceDN/>
              <w:bidi w:val="0"/>
              <w:snapToGrid w:val="0"/>
              <w:spacing w:before="0" w:after="0" w:line="360" w:lineRule="exact"/>
              <w:jc w:val="center"/>
              <w:textAlignment w:val="auto"/>
              <w:rPr>
                <w:rFonts w:hint="eastAsia" w:hAnsi="Times New Roman" w:eastAsia="宋体" w:cs="Times New Roman"/>
                <w:color w:val="auto"/>
                <w:sz w:val="21"/>
                <w:szCs w:val="21"/>
                <w:highlight w:val="none"/>
                <w:lang w:eastAsia="zh-CN"/>
              </w:rPr>
            </w:pPr>
            <w:r>
              <w:rPr>
                <w:rFonts w:hint="eastAsia" w:hAnsi="Times New Roman" w:eastAsia="宋体" w:cs="Times New Roman"/>
                <w:color w:val="auto"/>
                <w:sz w:val="21"/>
                <w:szCs w:val="21"/>
                <w:highlight w:val="none"/>
              </w:rPr>
              <w:t>35</w:t>
            </w:r>
          </w:p>
        </w:tc>
        <w:tc>
          <w:tcPr>
            <w:tcW w:w="113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keepNext/>
              <w:keepLines/>
              <w:pageBreakBefore w:val="0"/>
              <w:widowControl w:val="0"/>
              <w:kinsoku/>
              <w:wordWrap/>
              <w:overflowPunct/>
              <w:topLinePunct w:val="0"/>
              <w:autoSpaceDE/>
              <w:autoSpaceDN/>
              <w:bidi w:val="0"/>
              <w:snapToGrid w:val="0"/>
              <w:spacing w:before="0" w:after="0" w:line="360" w:lineRule="exact"/>
              <w:jc w:val="center"/>
              <w:textAlignment w:val="auto"/>
              <w:rPr>
                <w:rFonts w:hint="eastAsia" w:hAnsi="Times New Roman" w:eastAsia="宋体" w:cs="Times New Roman"/>
                <w:color w:val="auto"/>
                <w:sz w:val="21"/>
                <w:szCs w:val="21"/>
                <w:highlight w:val="none"/>
                <w:lang w:eastAsia="zh-CN"/>
              </w:rPr>
            </w:pPr>
            <w:r>
              <w:rPr>
                <w:rFonts w:hint="eastAsia" w:hAnsi="Times New Roman" w:eastAsia="宋体" w:cs="Times New Roman"/>
                <w:color w:val="auto"/>
                <w:sz w:val="21"/>
                <w:szCs w:val="21"/>
                <w:highlight w:val="none"/>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keepNext/>
              <w:keepLines/>
              <w:pageBreakBefore w:val="0"/>
              <w:widowControl w:val="0"/>
              <w:kinsoku/>
              <w:wordWrap/>
              <w:overflowPunct/>
              <w:topLinePunct w:val="0"/>
              <w:autoSpaceDE/>
              <w:autoSpaceDN/>
              <w:bidi w:val="0"/>
              <w:snapToGrid w:val="0"/>
              <w:spacing w:before="0" w:after="0" w:line="360" w:lineRule="exact"/>
              <w:jc w:val="center"/>
              <w:textAlignment w:val="auto"/>
              <w:rPr>
                <w:rFonts w:hAnsi="Times New Roman" w:eastAsia="宋体" w:cs="Times New Roman"/>
                <w:b/>
                <w:bCs/>
                <w:color w:val="auto"/>
                <w:sz w:val="21"/>
                <w:szCs w:val="21"/>
                <w:highlight w:val="none"/>
              </w:rPr>
            </w:pPr>
            <w:r>
              <w:rPr>
                <w:rFonts w:hAnsi="Times New Roman" w:eastAsia="宋体" w:cs="Times New Roman"/>
                <w:b/>
                <w:bCs/>
                <w:color w:val="auto"/>
                <w:sz w:val="21"/>
                <w:szCs w:val="21"/>
                <w:highlight w:val="none"/>
                <w:lang w:val="zh-TW" w:eastAsia="zh-TW"/>
              </w:rPr>
              <w:t>得分</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keepNext/>
              <w:keepLines/>
              <w:pageBreakBefore w:val="0"/>
              <w:widowControl w:val="0"/>
              <w:kinsoku/>
              <w:wordWrap/>
              <w:overflowPunct/>
              <w:topLinePunct w:val="0"/>
              <w:autoSpaceDE/>
              <w:autoSpaceDN/>
              <w:bidi w:val="0"/>
              <w:snapToGrid w:val="0"/>
              <w:spacing w:before="0" w:after="0" w:line="360" w:lineRule="exact"/>
              <w:jc w:val="center"/>
              <w:textAlignment w:val="auto"/>
              <w:rPr>
                <w:rFonts w:hint="eastAsia" w:hAnsi="Times New Roman" w:eastAsia="宋体" w:cs="Times New Roman"/>
                <w:color w:val="auto"/>
                <w:sz w:val="21"/>
                <w:szCs w:val="21"/>
                <w:highlight w:val="none"/>
                <w:lang w:eastAsia="zh-CN"/>
              </w:rPr>
            </w:pPr>
            <w:r>
              <w:rPr>
                <w:rFonts w:hint="eastAsia" w:hAnsi="Times New Roman" w:eastAsia="宋体" w:cs="Times New Roman"/>
                <w:color w:val="auto"/>
                <w:sz w:val="21"/>
                <w:szCs w:val="21"/>
                <w:highlight w:val="none"/>
              </w:rPr>
              <w:t>9</w:t>
            </w:r>
            <w:r>
              <w:rPr>
                <w:rFonts w:hint="eastAsia" w:hAnsi="Times New Roman" w:eastAsia="宋体" w:cs="Times New Roman"/>
                <w:color w:val="auto"/>
                <w:sz w:val="21"/>
                <w:szCs w:val="21"/>
                <w:highlight w:val="none"/>
                <w:lang w:eastAsia="zh-CN"/>
              </w:rPr>
              <w:t>.6</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keepNext/>
              <w:keepLines/>
              <w:pageBreakBefore w:val="0"/>
              <w:widowControl w:val="0"/>
              <w:kinsoku/>
              <w:wordWrap/>
              <w:overflowPunct/>
              <w:topLinePunct w:val="0"/>
              <w:autoSpaceDE/>
              <w:autoSpaceDN/>
              <w:bidi w:val="0"/>
              <w:snapToGrid w:val="0"/>
              <w:spacing w:before="0" w:after="0" w:line="360" w:lineRule="exact"/>
              <w:jc w:val="center"/>
              <w:textAlignment w:val="auto"/>
              <w:rPr>
                <w:rFonts w:hint="eastAsia" w:hAnsi="Times New Roman" w:eastAsia="宋体" w:cs="Times New Roman"/>
                <w:color w:val="auto"/>
                <w:sz w:val="21"/>
                <w:szCs w:val="21"/>
                <w:highlight w:val="none"/>
                <w:lang w:eastAsia="zh-CN"/>
              </w:rPr>
            </w:pPr>
            <w:r>
              <w:rPr>
                <w:rFonts w:hint="eastAsia" w:hAnsi="Times New Roman" w:eastAsia="宋体" w:cs="Times New Roman"/>
                <w:color w:val="auto"/>
                <w:sz w:val="21"/>
                <w:szCs w:val="21"/>
                <w:highlight w:val="none"/>
              </w:rPr>
              <w:t>18</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keepNext/>
              <w:keepLines/>
              <w:pageBreakBefore w:val="0"/>
              <w:widowControl w:val="0"/>
              <w:kinsoku/>
              <w:wordWrap/>
              <w:overflowPunct/>
              <w:topLinePunct w:val="0"/>
              <w:autoSpaceDE/>
              <w:autoSpaceDN/>
              <w:bidi w:val="0"/>
              <w:snapToGrid w:val="0"/>
              <w:spacing w:before="0" w:after="0" w:line="360" w:lineRule="exact"/>
              <w:jc w:val="center"/>
              <w:textAlignment w:val="auto"/>
              <w:rPr>
                <w:rFonts w:hint="eastAsia" w:hAnsi="Times New Roman" w:eastAsia="宋体" w:cs="Times New Roman"/>
                <w:color w:val="auto"/>
                <w:sz w:val="21"/>
                <w:szCs w:val="21"/>
                <w:highlight w:val="none"/>
                <w:lang w:eastAsia="zh-CN"/>
              </w:rPr>
            </w:pPr>
            <w:r>
              <w:rPr>
                <w:rFonts w:hint="eastAsia" w:hAnsi="Times New Roman" w:eastAsia="宋体" w:cs="Times New Roman"/>
                <w:color w:val="auto"/>
                <w:sz w:val="21"/>
                <w:szCs w:val="21"/>
                <w:highlight w:val="none"/>
              </w:rPr>
              <w:t>27</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keepNext/>
              <w:keepLines/>
              <w:pageBreakBefore w:val="0"/>
              <w:widowControl w:val="0"/>
              <w:kinsoku/>
              <w:wordWrap/>
              <w:overflowPunct/>
              <w:topLinePunct w:val="0"/>
              <w:autoSpaceDE/>
              <w:autoSpaceDN/>
              <w:bidi w:val="0"/>
              <w:snapToGrid w:val="0"/>
              <w:spacing w:before="0" w:after="0" w:line="360" w:lineRule="exact"/>
              <w:jc w:val="center"/>
              <w:textAlignment w:val="auto"/>
              <w:rPr>
                <w:rFonts w:hAnsi="Times New Roman" w:eastAsia="宋体" w:cs="Times New Roman"/>
                <w:color w:val="auto"/>
                <w:sz w:val="21"/>
                <w:szCs w:val="21"/>
                <w:highlight w:val="none"/>
              </w:rPr>
            </w:pPr>
            <w:r>
              <w:rPr>
                <w:rFonts w:hint="eastAsia" w:hAnsi="Times New Roman" w:eastAsia="宋体" w:cs="Times New Roman"/>
                <w:color w:val="auto"/>
                <w:sz w:val="21"/>
                <w:szCs w:val="21"/>
                <w:highlight w:val="none"/>
              </w:rPr>
              <w:t>34.23</w:t>
            </w:r>
          </w:p>
        </w:tc>
        <w:tc>
          <w:tcPr>
            <w:tcW w:w="113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keepNext/>
              <w:keepLines/>
              <w:pageBreakBefore w:val="0"/>
              <w:widowControl w:val="0"/>
              <w:kinsoku/>
              <w:wordWrap/>
              <w:overflowPunct/>
              <w:topLinePunct w:val="0"/>
              <w:autoSpaceDE/>
              <w:autoSpaceDN/>
              <w:bidi w:val="0"/>
              <w:snapToGrid w:val="0"/>
              <w:spacing w:before="0" w:after="0" w:line="360" w:lineRule="exact"/>
              <w:jc w:val="center"/>
              <w:textAlignment w:val="auto"/>
              <w:rPr>
                <w:rFonts w:hAnsi="Times New Roman" w:eastAsia="宋体" w:cs="Times New Roman"/>
                <w:color w:val="auto"/>
                <w:sz w:val="21"/>
                <w:szCs w:val="21"/>
                <w:highlight w:val="none"/>
              </w:rPr>
            </w:pPr>
            <w:r>
              <w:rPr>
                <w:rFonts w:hint="eastAsia" w:hAnsi="Times New Roman" w:eastAsia="宋体" w:cs="Times New Roman"/>
                <w:color w:val="auto"/>
                <w:sz w:val="21"/>
                <w:szCs w:val="21"/>
                <w:highlight w:val="none"/>
              </w:rPr>
              <w:t>88.83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keepNext/>
              <w:keepLines/>
              <w:pageBreakBefore w:val="0"/>
              <w:widowControl w:val="0"/>
              <w:kinsoku/>
              <w:wordWrap/>
              <w:overflowPunct/>
              <w:topLinePunct w:val="0"/>
              <w:autoSpaceDE/>
              <w:autoSpaceDN/>
              <w:bidi w:val="0"/>
              <w:snapToGrid w:val="0"/>
              <w:spacing w:before="0" w:after="0" w:line="360" w:lineRule="exact"/>
              <w:jc w:val="center"/>
              <w:textAlignment w:val="auto"/>
              <w:rPr>
                <w:rFonts w:hAnsi="Times New Roman" w:eastAsia="宋体" w:cs="Times New Roman"/>
                <w:b/>
                <w:bCs/>
                <w:color w:val="auto"/>
                <w:sz w:val="21"/>
                <w:szCs w:val="21"/>
                <w:highlight w:val="none"/>
              </w:rPr>
            </w:pPr>
            <w:r>
              <w:rPr>
                <w:rFonts w:hAnsi="Times New Roman" w:eastAsia="宋体" w:cs="Times New Roman"/>
                <w:b/>
                <w:bCs/>
                <w:color w:val="auto"/>
                <w:sz w:val="21"/>
                <w:szCs w:val="21"/>
                <w:highlight w:val="none"/>
                <w:lang w:val="zh-TW" w:eastAsia="zh-TW"/>
              </w:rPr>
              <w:t>得分率</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keepNext/>
              <w:keepLines/>
              <w:pageBreakBefore w:val="0"/>
              <w:widowControl w:val="0"/>
              <w:kinsoku/>
              <w:wordWrap/>
              <w:overflowPunct/>
              <w:topLinePunct w:val="0"/>
              <w:autoSpaceDE/>
              <w:autoSpaceDN/>
              <w:bidi w:val="0"/>
              <w:snapToGrid w:val="0"/>
              <w:spacing w:before="0" w:after="0" w:line="360" w:lineRule="exact"/>
              <w:jc w:val="center"/>
              <w:textAlignment w:val="auto"/>
              <w:rPr>
                <w:rFonts w:hAnsi="Times New Roman" w:eastAsia="宋体" w:cs="Times New Roman"/>
                <w:color w:val="auto"/>
                <w:sz w:val="21"/>
                <w:szCs w:val="21"/>
                <w:highlight w:val="none"/>
              </w:rPr>
            </w:pPr>
            <w:r>
              <w:rPr>
                <w:rFonts w:hint="eastAsia" w:hAnsi="Times New Roman" w:eastAsia="宋体" w:cs="Times New Roman"/>
                <w:color w:val="auto"/>
                <w:sz w:val="21"/>
                <w:szCs w:val="21"/>
                <w:highlight w:val="none"/>
              </w:rPr>
              <w:t>96%</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keepNext/>
              <w:keepLines/>
              <w:pageBreakBefore w:val="0"/>
              <w:widowControl w:val="0"/>
              <w:kinsoku/>
              <w:wordWrap/>
              <w:overflowPunct/>
              <w:topLinePunct w:val="0"/>
              <w:autoSpaceDE/>
              <w:autoSpaceDN/>
              <w:bidi w:val="0"/>
              <w:snapToGrid w:val="0"/>
              <w:spacing w:before="0" w:after="0" w:line="360" w:lineRule="exact"/>
              <w:jc w:val="center"/>
              <w:textAlignment w:val="auto"/>
              <w:rPr>
                <w:rFonts w:hAnsi="Times New Roman" w:eastAsia="宋体" w:cs="Times New Roman"/>
                <w:color w:val="auto"/>
                <w:sz w:val="21"/>
                <w:szCs w:val="21"/>
                <w:highlight w:val="none"/>
              </w:rPr>
            </w:pPr>
            <w:r>
              <w:rPr>
                <w:rFonts w:hint="eastAsia" w:hAnsi="Times New Roman" w:eastAsia="宋体" w:cs="Times New Roman"/>
                <w:color w:val="auto"/>
                <w:sz w:val="21"/>
                <w:szCs w:val="21"/>
                <w:highlight w:val="none"/>
              </w:rPr>
              <w:t>72%</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keepNext/>
              <w:keepLines/>
              <w:pageBreakBefore w:val="0"/>
              <w:widowControl w:val="0"/>
              <w:kinsoku/>
              <w:wordWrap/>
              <w:overflowPunct/>
              <w:topLinePunct w:val="0"/>
              <w:autoSpaceDE/>
              <w:autoSpaceDN/>
              <w:bidi w:val="0"/>
              <w:snapToGrid w:val="0"/>
              <w:spacing w:before="0" w:after="0" w:line="360" w:lineRule="exact"/>
              <w:jc w:val="center"/>
              <w:textAlignment w:val="auto"/>
              <w:rPr>
                <w:rFonts w:hAnsi="Times New Roman" w:eastAsia="宋体" w:cs="Times New Roman"/>
                <w:color w:val="auto"/>
                <w:sz w:val="21"/>
                <w:szCs w:val="21"/>
                <w:highlight w:val="none"/>
              </w:rPr>
            </w:pPr>
            <w:r>
              <w:rPr>
                <w:rFonts w:hint="eastAsia" w:hAnsi="Times New Roman" w:eastAsia="宋体" w:cs="Times New Roman"/>
                <w:color w:val="auto"/>
                <w:sz w:val="21"/>
                <w:szCs w:val="21"/>
                <w:highlight w:val="none"/>
              </w:rPr>
              <w:t>90%</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keepNext/>
              <w:keepLines/>
              <w:pageBreakBefore w:val="0"/>
              <w:widowControl w:val="0"/>
              <w:kinsoku/>
              <w:wordWrap/>
              <w:overflowPunct/>
              <w:topLinePunct w:val="0"/>
              <w:autoSpaceDE/>
              <w:autoSpaceDN/>
              <w:bidi w:val="0"/>
              <w:snapToGrid w:val="0"/>
              <w:spacing w:before="0" w:after="0" w:line="360" w:lineRule="exact"/>
              <w:jc w:val="center"/>
              <w:textAlignment w:val="auto"/>
              <w:rPr>
                <w:rFonts w:hAnsi="Times New Roman" w:eastAsia="宋体" w:cs="Times New Roman"/>
                <w:color w:val="auto"/>
                <w:sz w:val="21"/>
                <w:szCs w:val="21"/>
                <w:highlight w:val="none"/>
              </w:rPr>
            </w:pPr>
            <w:r>
              <w:rPr>
                <w:rFonts w:hint="eastAsia" w:hAnsi="Times New Roman" w:eastAsia="宋体" w:cs="Times New Roman"/>
                <w:color w:val="auto"/>
                <w:sz w:val="21"/>
                <w:szCs w:val="21"/>
                <w:highlight w:val="none"/>
              </w:rPr>
              <w:t>97</w:t>
            </w:r>
            <w:r>
              <w:rPr>
                <w:rFonts w:hint="eastAsia" w:hAnsi="Times New Roman" w:eastAsia="宋体" w:cs="Times New Roman"/>
                <w:color w:val="auto"/>
                <w:sz w:val="21"/>
                <w:szCs w:val="21"/>
                <w:highlight w:val="none"/>
                <w:lang w:eastAsia="zh-CN"/>
              </w:rPr>
              <w:t>.8</w:t>
            </w:r>
            <w:r>
              <w:rPr>
                <w:rFonts w:hint="eastAsia" w:hAnsi="Times New Roman" w:eastAsia="宋体" w:cs="Times New Roman"/>
                <w:color w:val="auto"/>
                <w:sz w:val="21"/>
                <w:szCs w:val="21"/>
                <w:highlight w:val="none"/>
              </w:rPr>
              <w:t>%</w:t>
            </w:r>
          </w:p>
        </w:tc>
        <w:tc>
          <w:tcPr>
            <w:tcW w:w="113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keepNext/>
              <w:keepLines/>
              <w:pageBreakBefore w:val="0"/>
              <w:widowControl w:val="0"/>
              <w:kinsoku/>
              <w:wordWrap/>
              <w:overflowPunct/>
              <w:topLinePunct w:val="0"/>
              <w:autoSpaceDE/>
              <w:autoSpaceDN/>
              <w:bidi w:val="0"/>
              <w:snapToGrid w:val="0"/>
              <w:spacing w:before="0" w:after="0" w:line="360" w:lineRule="exact"/>
              <w:jc w:val="center"/>
              <w:textAlignment w:val="auto"/>
              <w:rPr>
                <w:rFonts w:hAnsi="Times New Roman" w:eastAsia="宋体" w:cs="Times New Roman"/>
                <w:color w:val="auto"/>
                <w:sz w:val="21"/>
                <w:szCs w:val="21"/>
                <w:highlight w:val="none"/>
              </w:rPr>
            </w:pPr>
            <w:r>
              <w:rPr>
                <w:rFonts w:hint="eastAsia" w:hAnsi="Times New Roman" w:eastAsia="宋体" w:cs="Times New Roman"/>
                <w:color w:val="auto"/>
                <w:sz w:val="21"/>
                <w:szCs w:val="21"/>
                <w:highlight w:val="none"/>
              </w:rPr>
              <w:t>88.83%</w:t>
            </w:r>
          </w:p>
        </w:tc>
      </w:tr>
    </w:tbl>
    <w:p>
      <w:pPr>
        <w:keepNext/>
        <w:keepLines/>
        <w:pageBreakBefore w:val="0"/>
        <w:widowControl w:val="0"/>
        <w:kinsoku/>
        <w:wordWrap/>
        <w:overflowPunct/>
        <w:topLinePunct w:val="0"/>
        <w:autoSpaceDE/>
        <w:autoSpaceDN/>
        <w:bidi w:val="0"/>
        <w:spacing w:line="360" w:lineRule="exact"/>
        <w:ind w:firstLine="422"/>
        <w:textAlignment w:val="auto"/>
        <w:rPr>
          <w:b/>
          <w:bCs/>
          <w:color w:val="auto"/>
          <w:highlight w:val="none"/>
          <w:lang w:val="zh-TW"/>
        </w:rPr>
      </w:pP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rFonts w:hint="eastAsia"/>
          <w:b/>
          <w:bCs/>
          <w:color w:val="auto"/>
          <w:sz w:val="24"/>
          <w:szCs w:val="28"/>
          <w:highlight w:val="none"/>
          <w:lang w:eastAsia="zh-CN"/>
        </w:rPr>
        <w:t>三</w:t>
      </w:r>
      <w:r>
        <w:rPr>
          <w:b/>
          <w:bCs/>
          <w:color w:val="auto"/>
          <w:sz w:val="24"/>
          <w:szCs w:val="28"/>
          <w:highlight w:val="none"/>
        </w:rPr>
        <w:t>、取得的业绩、存在的问题和改进的建议</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bookmarkStart w:id="25" w:name="_Toc18055"/>
      <w:bookmarkStart w:id="26" w:name="_Toc7265"/>
      <w:bookmarkStart w:id="27" w:name="_Toc13123"/>
      <w:bookmarkStart w:id="28" w:name="_Toc28464"/>
      <w:bookmarkStart w:id="29" w:name="_Toc31297"/>
      <w:bookmarkStart w:id="30" w:name="_Toc32610"/>
      <w:bookmarkStart w:id="31" w:name="_Toc24724"/>
      <w:bookmarkStart w:id="32" w:name="_Toc29399"/>
      <w:bookmarkStart w:id="33" w:name="_Toc3904"/>
      <w:r>
        <w:rPr>
          <w:b/>
          <w:bCs/>
          <w:color w:val="auto"/>
          <w:sz w:val="24"/>
          <w:szCs w:val="28"/>
          <w:highlight w:val="none"/>
        </w:rPr>
        <w:t>（一）主要经验及做法</w:t>
      </w:r>
      <w:bookmarkEnd w:id="25"/>
      <w:bookmarkEnd w:id="26"/>
      <w:bookmarkEnd w:id="27"/>
      <w:bookmarkEnd w:id="28"/>
      <w:bookmarkEnd w:id="29"/>
      <w:bookmarkEnd w:id="30"/>
      <w:bookmarkEnd w:id="31"/>
      <w:bookmarkEnd w:id="32"/>
      <w:bookmarkEnd w:id="33"/>
    </w:p>
    <w:p>
      <w:pPr>
        <w:keepNext/>
        <w:keepLines/>
        <w:pageBreakBefore w:val="0"/>
        <w:widowControl w:val="0"/>
        <w:kinsoku/>
        <w:wordWrap/>
        <w:overflowPunct/>
        <w:topLinePunct w:val="0"/>
        <w:autoSpaceDE/>
        <w:autoSpaceDN/>
        <w:bidi w:val="0"/>
        <w:spacing w:line="360" w:lineRule="exact"/>
        <w:ind w:firstLine="420"/>
        <w:textAlignment w:val="auto"/>
        <w:rPr>
          <w:color w:val="auto"/>
          <w:highlight w:val="none"/>
        </w:rPr>
      </w:pPr>
      <w:r>
        <w:rPr>
          <w:color w:val="auto"/>
          <w:highlight w:val="none"/>
        </w:rPr>
        <w:t>项目实施单位内控制度健全，制定了《巴楚县教育局内部控制手册》，从预算管理、政府采购、资金使用、建设项目管理、合同管理、资产管理等各</w:t>
      </w:r>
      <w:r>
        <w:rPr>
          <w:rFonts w:hint="eastAsia"/>
          <w:color w:val="auto"/>
          <w:highlight w:val="none"/>
        </w:rPr>
        <w:t>业务活动</w:t>
      </w:r>
      <w:r>
        <w:rPr>
          <w:color w:val="auto"/>
          <w:highlight w:val="none"/>
        </w:rPr>
        <w:t>方面</w:t>
      </w:r>
      <w:r>
        <w:rPr>
          <w:rFonts w:hint="eastAsia"/>
          <w:color w:val="auto"/>
          <w:highlight w:val="none"/>
        </w:rPr>
        <w:t>形成内控机制</w:t>
      </w:r>
      <w:r>
        <w:rPr>
          <w:color w:val="auto"/>
          <w:highlight w:val="none"/>
        </w:rPr>
        <w:t>，为规范管理工程建设提供制度保障，项目基本建设程序规范，资金使用合规。</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bookmarkStart w:id="34" w:name="_Toc15756"/>
      <w:bookmarkStart w:id="35" w:name="_Toc6750"/>
      <w:bookmarkStart w:id="36" w:name="_Toc10300"/>
      <w:bookmarkStart w:id="37" w:name="_Toc7885"/>
      <w:bookmarkStart w:id="38" w:name="_Toc11592"/>
      <w:bookmarkStart w:id="39" w:name="_Toc449"/>
      <w:bookmarkStart w:id="40" w:name="_Toc26900"/>
      <w:bookmarkStart w:id="41" w:name="_Toc25063"/>
      <w:bookmarkStart w:id="42" w:name="_Toc1437"/>
      <w:r>
        <w:rPr>
          <w:b/>
          <w:bCs/>
          <w:color w:val="auto"/>
          <w:sz w:val="24"/>
          <w:szCs w:val="28"/>
          <w:highlight w:val="none"/>
        </w:rPr>
        <w:t>（二）存在的问题</w:t>
      </w:r>
      <w:bookmarkEnd w:id="34"/>
      <w:bookmarkEnd w:id="35"/>
      <w:bookmarkEnd w:id="36"/>
      <w:bookmarkEnd w:id="37"/>
      <w:bookmarkEnd w:id="38"/>
      <w:bookmarkEnd w:id="39"/>
      <w:bookmarkEnd w:id="40"/>
      <w:bookmarkEnd w:id="41"/>
      <w:bookmarkEnd w:id="42"/>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bookmarkStart w:id="43" w:name="_Toc1086"/>
      <w:r>
        <w:rPr>
          <w:b/>
          <w:bCs/>
          <w:color w:val="auto"/>
          <w:sz w:val="24"/>
          <w:szCs w:val="28"/>
          <w:highlight w:val="none"/>
        </w:rPr>
        <w:t>1.预算执行率低，资金使用效率不高</w:t>
      </w:r>
    </w:p>
    <w:p>
      <w:pPr>
        <w:keepNext/>
        <w:keepLines/>
        <w:pageBreakBefore w:val="0"/>
        <w:widowControl w:val="0"/>
        <w:kinsoku/>
        <w:wordWrap/>
        <w:overflowPunct/>
        <w:topLinePunct w:val="0"/>
        <w:autoSpaceDE/>
        <w:autoSpaceDN/>
        <w:bidi w:val="0"/>
        <w:spacing w:line="360" w:lineRule="exact"/>
        <w:ind w:firstLine="420"/>
        <w:textAlignment w:val="auto"/>
        <w:rPr>
          <w:color w:val="auto"/>
          <w:highlight w:val="none"/>
        </w:rPr>
      </w:pPr>
      <w:r>
        <w:rPr>
          <w:color w:val="auto"/>
          <w:highlight w:val="none"/>
        </w:rPr>
        <w:t>经查阅项目资金文件及支付材料，</w:t>
      </w:r>
      <w:r>
        <w:rPr>
          <w:rFonts w:hint="eastAsia"/>
          <w:color w:val="auto"/>
          <w:highlight w:val="none"/>
        </w:rPr>
        <w:t>项目投资概算总额</w:t>
      </w:r>
      <w:r>
        <w:rPr>
          <w:color w:val="auto"/>
          <w:highlight w:val="none"/>
        </w:rPr>
        <w:t>1</w:t>
      </w:r>
      <w:r>
        <w:rPr>
          <w:rFonts w:hint="eastAsia"/>
          <w:color w:val="auto"/>
          <w:highlight w:val="none"/>
          <w:lang w:eastAsia="zh-CN"/>
        </w:rPr>
        <w:t>，</w:t>
      </w:r>
      <w:r>
        <w:rPr>
          <w:color w:val="auto"/>
          <w:highlight w:val="none"/>
        </w:rPr>
        <w:t>800万元</w:t>
      </w:r>
      <w:r>
        <w:rPr>
          <w:rFonts w:hint="eastAsia"/>
          <w:color w:val="auto"/>
          <w:highlight w:val="none"/>
        </w:rPr>
        <w:t>，项目已签订施工、设计、监理等建设服务</w:t>
      </w:r>
      <w:r>
        <w:rPr>
          <w:color w:val="auto"/>
          <w:highlight w:val="none"/>
        </w:rPr>
        <w:t>合同</w:t>
      </w:r>
      <w:r>
        <w:rPr>
          <w:rFonts w:hint="eastAsia"/>
          <w:color w:val="auto"/>
          <w:highlight w:val="none"/>
          <w:lang w:eastAsia="zh-CN"/>
        </w:rPr>
        <w:t>，</w:t>
      </w:r>
      <w:r>
        <w:rPr>
          <w:rFonts w:hint="eastAsia"/>
          <w:color w:val="auto"/>
          <w:highlight w:val="none"/>
        </w:rPr>
        <w:t>合同价</w:t>
      </w:r>
      <w:r>
        <w:rPr>
          <w:color w:val="auto"/>
          <w:highlight w:val="none"/>
        </w:rPr>
        <w:t>总额为1</w:t>
      </w:r>
      <w:r>
        <w:rPr>
          <w:rFonts w:hint="eastAsia"/>
          <w:color w:val="auto"/>
          <w:highlight w:val="none"/>
          <w:lang w:eastAsia="zh-CN"/>
        </w:rPr>
        <w:t>，</w:t>
      </w:r>
      <w:r>
        <w:rPr>
          <w:color w:val="auto"/>
          <w:highlight w:val="none"/>
        </w:rPr>
        <w:t>567.09万元，</w:t>
      </w:r>
      <w:r>
        <w:rPr>
          <w:rFonts w:hint="eastAsia"/>
          <w:color w:val="auto"/>
          <w:highlight w:val="none"/>
        </w:rPr>
        <w:t>因</w:t>
      </w:r>
      <w:r>
        <w:rPr>
          <w:color w:val="auto"/>
          <w:highlight w:val="none"/>
        </w:rPr>
        <w:t>项目尚未开展工程结算审计及竣工财务决算，</w:t>
      </w:r>
      <w:r>
        <w:rPr>
          <w:rFonts w:hint="eastAsia"/>
          <w:color w:val="auto"/>
          <w:highlight w:val="none"/>
        </w:rPr>
        <w:t>项目实际投资尚不确定。截至</w:t>
      </w:r>
      <w:r>
        <w:rPr>
          <w:color w:val="auto"/>
          <w:highlight w:val="none"/>
        </w:rPr>
        <w:t>2023年12月31日，项目到位资金1</w:t>
      </w:r>
      <w:r>
        <w:rPr>
          <w:rFonts w:hint="eastAsia"/>
          <w:color w:val="auto"/>
          <w:highlight w:val="none"/>
          <w:lang w:eastAsia="zh-CN"/>
        </w:rPr>
        <w:t>，</w:t>
      </w:r>
      <w:r>
        <w:rPr>
          <w:color w:val="auto"/>
          <w:highlight w:val="none"/>
        </w:rPr>
        <w:t>800万元，</w:t>
      </w:r>
      <w:r>
        <w:rPr>
          <w:rFonts w:hint="eastAsia"/>
          <w:color w:val="auto"/>
          <w:highlight w:val="none"/>
        </w:rPr>
        <w:t>项目</w:t>
      </w:r>
      <w:r>
        <w:rPr>
          <w:color w:val="auto"/>
          <w:highlight w:val="none"/>
        </w:rPr>
        <w:t>实际支出资金1</w:t>
      </w:r>
      <w:r>
        <w:rPr>
          <w:rFonts w:hint="eastAsia"/>
          <w:color w:val="auto"/>
          <w:highlight w:val="none"/>
          <w:lang w:eastAsia="zh-CN"/>
        </w:rPr>
        <w:t>，</w:t>
      </w:r>
      <w:r>
        <w:rPr>
          <w:color w:val="auto"/>
          <w:highlight w:val="none"/>
        </w:rPr>
        <w:t>261.99万元，预算执行率70.11%</w:t>
      </w:r>
      <w:r>
        <w:rPr>
          <w:rFonts w:hint="eastAsia"/>
          <w:color w:val="auto"/>
          <w:highlight w:val="none"/>
        </w:rPr>
        <w:t>。项目资金整体</w:t>
      </w:r>
      <w:r>
        <w:rPr>
          <w:color w:val="auto"/>
          <w:highlight w:val="none"/>
        </w:rPr>
        <w:t>预算执行率较低，资金使用效率不高。</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2.项目基本建设制度执行不到位</w:t>
      </w:r>
    </w:p>
    <w:p>
      <w:pPr>
        <w:keepNext/>
        <w:keepLines/>
        <w:pageBreakBefore w:val="0"/>
        <w:widowControl w:val="0"/>
        <w:kinsoku/>
        <w:wordWrap/>
        <w:overflowPunct/>
        <w:topLinePunct w:val="0"/>
        <w:autoSpaceDE/>
        <w:autoSpaceDN/>
        <w:bidi w:val="0"/>
        <w:spacing w:line="360" w:lineRule="exact"/>
        <w:ind w:firstLine="420"/>
        <w:textAlignment w:val="auto"/>
        <w:rPr>
          <w:color w:val="auto"/>
          <w:highlight w:val="none"/>
        </w:rPr>
      </w:pPr>
      <w:r>
        <w:rPr>
          <w:color w:val="auto"/>
          <w:highlight w:val="none"/>
        </w:rPr>
        <w:t>项目未及时开展工程结算和竣工财务决算审计。根据项目竣工验收报告，该项目于2023年10月12日完成竣工验收，但截至评价日，尚未项按照《关于印发</w:t>
      </w:r>
      <w:r>
        <w:rPr>
          <w:rFonts w:hint="eastAsia"/>
          <w:color w:val="auto"/>
          <w:highlight w:val="none"/>
          <w:lang w:eastAsia="zh-CN"/>
        </w:rPr>
        <w:t>＜</w:t>
      </w:r>
      <w:r>
        <w:rPr>
          <w:color w:val="auto"/>
          <w:highlight w:val="none"/>
        </w:rPr>
        <w:t>基本建设项目竣工财务决算管理暂行办法&gt;的通知》等相关法律法规要求开展工程结算及项目竣工决算审计。</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bookmarkStart w:id="44" w:name="_Toc4158"/>
      <w:bookmarkStart w:id="45" w:name="_Toc13475"/>
      <w:bookmarkStart w:id="46" w:name="_Toc29920"/>
      <w:bookmarkStart w:id="47" w:name="_Toc2817"/>
      <w:bookmarkStart w:id="48" w:name="_Toc8959"/>
      <w:bookmarkStart w:id="49" w:name="_Toc2106"/>
      <w:bookmarkStart w:id="50" w:name="_Toc6996"/>
      <w:bookmarkStart w:id="51" w:name="_Toc10223"/>
      <w:r>
        <w:rPr>
          <w:b/>
          <w:bCs/>
          <w:color w:val="auto"/>
          <w:sz w:val="24"/>
          <w:szCs w:val="28"/>
          <w:highlight w:val="none"/>
        </w:rPr>
        <w:t>（三）有关建议</w:t>
      </w:r>
      <w:bookmarkEnd w:id="44"/>
      <w:bookmarkEnd w:id="45"/>
      <w:bookmarkEnd w:id="46"/>
      <w:bookmarkEnd w:id="47"/>
      <w:bookmarkEnd w:id="48"/>
      <w:bookmarkEnd w:id="49"/>
      <w:bookmarkEnd w:id="50"/>
      <w:bookmarkEnd w:id="51"/>
    </w:p>
    <w:bookmarkEnd w:id="43"/>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1.压实预算执行主体责任，提高资金使用效率</w:t>
      </w:r>
    </w:p>
    <w:p>
      <w:pPr>
        <w:keepNext/>
        <w:keepLines/>
        <w:pageBreakBefore w:val="0"/>
        <w:widowControl w:val="0"/>
        <w:kinsoku/>
        <w:wordWrap/>
        <w:overflowPunct/>
        <w:topLinePunct w:val="0"/>
        <w:autoSpaceDE/>
        <w:autoSpaceDN/>
        <w:bidi w:val="0"/>
        <w:spacing w:line="360" w:lineRule="exact"/>
        <w:ind w:firstLine="420"/>
        <w:textAlignment w:val="auto"/>
        <w:rPr>
          <w:color w:val="auto"/>
          <w:highlight w:val="none"/>
        </w:rPr>
      </w:pPr>
      <w:r>
        <w:rPr>
          <w:color w:val="auto"/>
          <w:highlight w:val="none"/>
        </w:rPr>
        <w:t>建议财政部门及预算单位按照相关规定确定的预算管理职权，压实预算执行主体责任，</w:t>
      </w:r>
      <w:r>
        <w:rPr>
          <w:rFonts w:hint="eastAsia"/>
          <w:color w:val="auto"/>
          <w:highlight w:val="none"/>
        </w:rPr>
        <w:t>尽快组织开展项目工程结算，</w:t>
      </w:r>
      <w:r>
        <w:rPr>
          <w:color w:val="auto"/>
          <w:highlight w:val="none"/>
        </w:rPr>
        <w:t>加快项目资金执行进度</w:t>
      </w:r>
      <w:r>
        <w:rPr>
          <w:rFonts w:hint="eastAsia"/>
          <w:color w:val="auto"/>
          <w:highlight w:val="none"/>
        </w:rPr>
        <w:t>；若项目专项资金存在结转结余，</w:t>
      </w:r>
      <w:r>
        <w:rPr>
          <w:color w:val="auto"/>
          <w:highlight w:val="none"/>
        </w:rPr>
        <w:t>按照《城乡义务教育补助经费管理办法》有关资金管理规定统筹安排管理</w:t>
      </w:r>
      <w:r>
        <w:rPr>
          <w:rFonts w:hint="eastAsia"/>
          <w:color w:val="auto"/>
          <w:highlight w:val="none"/>
        </w:rPr>
        <w:t>并确保</w:t>
      </w:r>
      <w:r>
        <w:rPr>
          <w:color w:val="auto"/>
          <w:highlight w:val="none"/>
        </w:rPr>
        <w:t>切实</w:t>
      </w:r>
      <w:r>
        <w:rPr>
          <w:rFonts w:hint="eastAsia"/>
          <w:color w:val="auto"/>
          <w:highlight w:val="none"/>
        </w:rPr>
        <w:t>用在</w:t>
      </w:r>
      <w:r>
        <w:rPr>
          <w:color w:val="auto"/>
          <w:highlight w:val="none"/>
        </w:rPr>
        <w:t>落实城乡义务教育经费保障机制</w:t>
      </w:r>
      <w:r>
        <w:rPr>
          <w:rFonts w:hint="eastAsia"/>
          <w:color w:val="auto"/>
          <w:highlight w:val="none"/>
        </w:rPr>
        <w:t>方面</w:t>
      </w:r>
      <w:r>
        <w:rPr>
          <w:color w:val="auto"/>
          <w:highlight w:val="none"/>
        </w:rPr>
        <w:t>，提高资金使用效率。</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2.</w:t>
      </w:r>
      <w:r>
        <w:rPr>
          <w:rFonts w:hint="eastAsia"/>
          <w:b/>
          <w:bCs/>
          <w:color w:val="auto"/>
          <w:sz w:val="24"/>
          <w:szCs w:val="28"/>
          <w:highlight w:val="none"/>
        </w:rPr>
        <w:t>规范项目建设程序</w:t>
      </w:r>
      <w:r>
        <w:rPr>
          <w:b/>
          <w:bCs/>
          <w:color w:val="auto"/>
          <w:sz w:val="24"/>
          <w:szCs w:val="28"/>
          <w:highlight w:val="none"/>
        </w:rPr>
        <w:t>，贯彻执行项目管理机制</w:t>
      </w:r>
    </w:p>
    <w:p>
      <w:pPr>
        <w:keepNext/>
        <w:keepLines/>
        <w:pageBreakBefore w:val="0"/>
        <w:widowControl w:val="0"/>
        <w:kinsoku/>
        <w:wordWrap/>
        <w:overflowPunct/>
        <w:topLinePunct w:val="0"/>
        <w:autoSpaceDE/>
        <w:autoSpaceDN/>
        <w:bidi w:val="0"/>
        <w:spacing w:line="360" w:lineRule="exact"/>
        <w:ind w:firstLine="420"/>
        <w:textAlignment w:val="auto"/>
        <w:rPr>
          <w:color w:val="auto"/>
          <w:highlight w:val="none"/>
        </w:rPr>
      </w:pPr>
      <w:r>
        <w:rPr>
          <w:color w:val="auto"/>
          <w:highlight w:val="none"/>
        </w:rPr>
        <w:t>建议项目实施单位</w:t>
      </w:r>
      <w:r>
        <w:rPr>
          <w:rFonts w:hint="eastAsia"/>
          <w:color w:val="auto"/>
          <w:highlight w:val="none"/>
        </w:rPr>
        <w:t>加强项目合规性审查，规范工程建设项目审批程序，加强对项目的基本建设程序的常规性监督检查力度，确保项目合规建设；加强对项目相关方文件资料的审核、签发、整理、归档工作管理，保证项目资料的要素完整性、归档及时性。</w:t>
      </w:r>
    </w:p>
    <w:p>
      <w:pPr>
        <w:keepNext/>
        <w:keepLines/>
        <w:pageBreakBefore w:val="0"/>
        <w:widowControl w:val="0"/>
        <w:kinsoku/>
        <w:wordWrap/>
        <w:overflowPunct/>
        <w:topLinePunct w:val="0"/>
        <w:autoSpaceDE/>
        <w:autoSpaceDN/>
        <w:bidi w:val="0"/>
        <w:spacing w:line="360" w:lineRule="exact"/>
        <w:ind w:firstLine="420"/>
        <w:textAlignment w:val="auto"/>
        <w:rPr>
          <w:color w:val="auto"/>
          <w:highlight w:val="none"/>
        </w:rPr>
      </w:pPr>
      <w:r>
        <w:rPr>
          <w:color w:val="auto"/>
          <w:highlight w:val="none"/>
        </w:rPr>
        <w:t>建议项目实施单位加强项目计划管理，结合工程项目的特点，充分考虑项目实施条件及各方面条件，确定施工阶段进度控制的原则，充分注重与项目施工、监理等单位的沟通，制定并执行合理实用的进度计划，保证项目按期开展；按照《关于印发</w:t>
      </w:r>
      <w:r>
        <w:rPr>
          <w:rFonts w:hint="eastAsia"/>
          <w:color w:val="auto"/>
          <w:highlight w:val="none"/>
          <w:lang w:eastAsia="zh-CN"/>
        </w:rPr>
        <w:t>＜</w:t>
      </w:r>
      <w:r>
        <w:rPr>
          <w:color w:val="auto"/>
          <w:highlight w:val="none"/>
        </w:rPr>
        <w:t>基本建设项目竣工财务决算管理暂行办法&gt;的通知》（财建〔2016〕503号）等规范要求，及时组织开展项目的工程结算及竣工决算审计工作，保障建设工程质量，促进工程及时发挥效益。</w:t>
      </w:r>
    </w:p>
    <w:p>
      <w:pPr>
        <w:pStyle w:val="15"/>
        <w:keepNext/>
        <w:keepLines/>
        <w:pageBreakBefore w:val="0"/>
        <w:widowControl w:val="0"/>
        <w:tabs>
          <w:tab w:val="right" w:leader="dot" w:pos="8879"/>
          <w:tab w:val="clear" w:pos="9356"/>
        </w:tabs>
        <w:kinsoku/>
        <w:wordWrap/>
        <w:overflowPunct/>
        <w:topLinePunct w:val="0"/>
        <w:autoSpaceDE/>
        <w:autoSpaceDN/>
        <w:bidi w:val="0"/>
        <w:spacing w:line="360" w:lineRule="exact"/>
        <w:textAlignment w:val="auto"/>
        <w:rPr>
          <w:rFonts w:ascii="Times New Roman" w:hAnsi="Times New Roman" w:cs="Times New Roman"/>
          <w:color w:val="auto"/>
          <w:highlight w:val="none"/>
        </w:rPr>
        <w:sectPr>
          <w:headerReference r:id="rId9" w:type="default"/>
          <w:footerReference r:id="rId10" w:type="default"/>
          <w:pgSz w:w="11906" w:h="16838"/>
          <w:pgMar w:top="1440" w:right="1797" w:bottom="1440" w:left="1797" w:header="851" w:footer="992" w:gutter="0"/>
          <w:pgBorders>
            <w:top w:val="none" w:sz="0" w:space="0"/>
            <w:left w:val="none" w:sz="0" w:space="0"/>
            <w:bottom w:val="none" w:sz="0" w:space="0"/>
            <w:right w:val="none" w:sz="0" w:space="0"/>
          </w:pgBorders>
          <w:pgNumType w:fmt="upperRoman" w:start="1"/>
          <w:cols w:space="720" w:num="1"/>
          <w:docGrid w:type="lines" w:linePitch="312" w:charSpace="0"/>
        </w:sectPr>
      </w:pPr>
    </w:p>
    <w:p>
      <w:pPr>
        <w:keepNext/>
        <w:keepLines/>
        <w:pageBreakBefore w:val="0"/>
        <w:widowControl w:val="0"/>
        <w:kinsoku/>
        <w:wordWrap/>
        <w:overflowPunct/>
        <w:topLinePunct w:val="0"/>
        <w:autoSpaceDE/>
        <w:autoSpaceDN/>
        <w:bidi w:val="0"/>
        <w:adjustRightInd/>
        <w:snapToGrid/>
        <w:spacing w:line="360" w:lineRule="exact"/>
        <w:ind w:left="-178" w:leftChars="-85" w:firstLine="0" w:firstLineChars="0"/>
        <w:jc w:val="center"/>
        <w:textAlignment w:val="auto"/>
        <w:outlineLvl w:val="0"/>
        <w:rPr>
          <w:rFonts w:ascii="Times New Roman" w:hAnsi="Times New Roman" w:eastAsia="宋体" w:cs="Times New Roman"/>
          <w:b/>
          <w:color w:val="auto"/>
          <w:kern w:val="2"/>
          <w:sz w:val="21"/>
          <w:szCs w:val="21"/>
          <w:highlight w:val="none"/>
          <w:lang w:val="en-US" w:eastAsia="zh-CN" w:bidi="ar-SA"/>
        </w:rPr>
      </w:pPr>
      <w:r>
        <w:rPr>
          <w:b/>
          <w:bCs/>
          <w:color w:val="auto"/>
          <w:sz w:val="28"/>
          <w:szCs w:val="32"/>
          <w:highlight w:val="none"/>
        </w:rPr>
        <w:t>目录</w:t>
      </w:r>
      <w:r>
        <w:rPr>
          <w:rFonts w:eastAsia="宋体"/>
          <w:color w:val="auto"/>
          <w:highlight w:val="none"/>
        </w:rPr>
        <w:fldChar w:fldCharType="begin"/>
      </w:r>
      <w:r>
        <w:rPr>
          <w:rFonts w:eastAsia="宋体"/>
          <w:color w:val="auto"/>
          <w:highlight w:val="none"/>
        </w:rPr>
        <w:instrText xml:space="preserve">TOC \o "1-2" \h \u </w:instrText>
      </w:r>
      <w:r>
        <w:rPr>
          <w:rFonts w:eastAsia="宋体"/>
          <w:color w:val="auto"/>
          <w:highlight w:val="none"/>
        </w:rPr>
        <w:fldChar w:fldCharType="separate"/>
      </w:r>
    </w:p>
    <w:p>
      <w:pPr>
        <w:pStyle w:val="15"/>
        <w:pageBreakBefore w:val="0"/>
        <w:widowControl w:val="0"/>
        <w:tabs>
          <w:tab w:val="right" w:leader="dot" w:pos="8306"/>
          <w:tab w:val="clear" w:pos="9356"/>
        </w:tabs>
        <w:kinsoku/>
        <w:wordWrap/>
        <w:overflowPunct/>
        <w:topLinePunct w:val="0"/>
        <w:autoSpaceDE/>
        <w:autoSpaceDN/>
        <w:bidi w:val="0"/>
        <w:spacing w:line="360" w:lineRule="exac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_Toc23203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一、项目基本情况</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_Toc23203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2</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pageBreakBefore w:val="0"/>
        <w:widowControl w:val="0"/>
        <w:tabs>
          <w:tab w:val="right" w:leader="dot" w:pos="8306"/>
        </w:tabs>
        <w:kinsoku/>
        <w:wordWrap/>
        <w:overflowPunct/>
        <w:topLinePunct w:val="0"/>
        <w:autoSpaceDE/>
        <w:autoSpaceDN/>
        <w:bidi w:val="0"/>
        <w:spacing w:line="360" w:lineRule="exac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_Toc12602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（一）项目背景及立项</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_Toc12602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2</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pageBreakBefore w:val="0"/>
        <w:widowControl w:val="0"/>
        <w:tabs>
          <w:tab w:val="right" w:leader="dot" w:pos="8306"/>
        </w:tabs>
        <w:kinsoku/>
        <w:wordWrap/>
        <w:overflowPunct/>
        <w:topLinePunct w:val="0"/>
        <w:autoSpaceDE/>
        <w:autoSpaceDN/>
        <w:bidi w:val="0"/>
        <w:spacing w:line="360" w:lineRule="exac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_Toc15066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（二）资金投入和使用情况</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_Toc15066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3</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pageBreakBefore w:val="0"/>
        <w:widowControl w:val="0"/>
        <w:tabs>
          <w:tab w:val="right" w:leader="dot" w:pos="8306"/>
        </w:tabs>
        <w:kinsoku/>
        <w:wordWrap/>
        <w:overflowPunct/>
        <w:topLinePunct w:val="0"/>
        <w:autoSpaceDE/>
        <w:autoSpaceDN/>
        <w:bidi w:val="0"/>
        <w:spacing w:line="360" w:lineRule="exac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_Toc21564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（三）项目组织及管理情况</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_Toc21564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4</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5"/>
        <w:pageBreakBefore w:val="0"/>
        <w:widowControl w:val="0"/>
        <w:tabs>
          <w:tab w:val="right" w:leader="dot" w:pos="8306"/>
          <w:tab w:val="clear" w:pos="9356"/>
        </w:tabs>
        <w:kinsoku/>
        <w:wordWrap/>
        <w:overflowPunct/>
        <w:topLinePunct w:val="0"/>
        <w:autoSpaceDE/>
        <w:autoSpaceDN/>
        <w:bidi w:val="0"/>
        <w:spacing w:line="360" w:lineRule="exac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_Toc2563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二、项目绩效目标</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_Toc2563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5</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5"/>
        <w:pageBreakBefore w:val="0"/>
        <w:widowControl w:val="0"/>
        <w:tabs>
          <w:tab w:val="right" w:leader="dot" w:pos="8306"/>
          <w:tab w:val="clear" w:pos="9356"/>
        </w:tabs>
        <w:kinsoku/>
        <w:wordWrap/>
        <w:overflowPunct/>
        <w:topLinePunct w:val="0"/>
        <w:autoSpaceDE/>
        <w:autoSpaceDN/>
        <w:bidi w:val="0"/>
        <w:spacing w:line="360" w:lineRule="exac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_Toc13531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三、绩效评价工作开展情况</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_Toc13531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6</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pageBreakBefore w:val="0"/>
        <w:widowControl w:val="0"/>
        <w:tabs>
          <w:tab w:val="right" w:leader="dot" w:pos="8306"/>
        </w:tabs>
        <w:kinsoku/>
        <w:wordWrap/>
        <w:overflowPunct/>
        <w:topLinePunct w:val="0"/>
        <w:autoSpaceDE/>
        <w:autoSpaceDN/>
        <w:bidi w:val="0"/>
        <w:spacing w:line="360" w:lineRule="exac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_Toc6651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（一）绩效评价依据</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_Toc6651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6</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pageBreakBefore w:val="0"/>
        <w:widowControl w:val="0"/>
        <w:tabs>
          <w:tab w:val="right" w:leader="dot" w:pos="8306"/>
        </w:tabs>
        <w:kinsoku/>
        <w:wordWrap/>
        <w:overflowPunct/>
        <w:topLinePunct w:val="0"/>
        <w:autoSpaceDE/>
        <w:autoSpaceDN/>
        <w:bidi w:val="0"/>
        <w:spacing w:line="360" w:lineRule="exac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_Toc6928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（二）绩效评价目的、对象和范围</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_Toc6928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6</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pageBreakBefore w:val="0"/>
        <w:widowControl w:val="0"/>
        <w:tabs>
          <w:tab w:val="right" w:leader="dot" w:pos="8306"/>
        </w:tabs>
        <w:kinsoku/>
        <w:wordWrap/>
        <w:overflowPunct/>
        <w:topLinePunct w:val="0"/>
        <w:autoSpaceDE/>
        <w:autoSpaceDN/>
        <w:bidi w:val="0"/>
        <w:spacing w:line="360" w:lineRule="exac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_Toc8743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（三）绩效评价原则</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_Toc8743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7</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pageBreakBefore w:val="0"/>
        <w:widowControl w:val="0"/>
        <w:tabs>
          <w:tab w:val="right" w:leader="dot" w:pos="8306"/>
        </w:tabs>
        <w:kinsoku/>
        <w:wordWrap/>
        <w:overflowPunct/>
        <w:topLinePunct w:val="0"/>
        <w:autoSpaceDE/>
        <w:autoSpaceDN/>
        <w:bidi w:val="0"/>
        <w:spacing w:line="360" w:lineRule="exac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_Toc23247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（四）绩效评价指标体系设计</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_Toc23247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7</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pageBreakBefore w:val="0"/>
        <w:widowControl w:val="0"/>
        <w:tabs>
          <w:tab w:val="right" w:leader="dot" w:pos="8306"/>
        </w:tabs>
        <w:kinsoku/>
        <w:wordWrap/>
        <w:overflowPunct/>
        <w:topLinePunct w:val="0"/>
        <w:autoSpaceDE/>
        <w:autoSpaceDN/>
        <w:bidi w:val="0"/>
        <w:spacing w:line="360" w:lineRule="exac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_Toc16447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（五）绩效评价方法</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_Toc16447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8</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pageBreakBefore w:val="0"/>
        <w:widowControl w:val="0"/>
        <w:tabs>
          <w:tab w:val="right" w:leader="dot" w:pos="8306"/>
        </w:tabs>
        <w:kinsoku/>
        <w:wordWrap/>
        <w:overflowPunct/>
        <w:topLinePunct w:val="0"/>
        <w:autoSpaceDE/>
        <w:autoSpaceDN/>
        <w:bidi w:val="0"/>
        <w:spacing w:line="360" w:lineRule="exac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_Toc13856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（六）绩效评价</w:t>
      </w:r>
      <w:r>
        <w:rPr>
          <w:rFonts w:hint="eastAsia" w:ascii="宋体" w:hAnsi="宋体" w:eastAsia="宋体" w:cs="宋体"/>
          <w:color w:val="auto"/>
          <w:sz w:val="22"/>
          <w:szCs w:val="22"/>
          <w:highlight w:val="none"/>
          <w:lang w:val="en-US" w:eastAsia="zh-CN"/>
        </w:rPr>
        <w:t>标准</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_Toc13856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9</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pageBreakBefore w:val="0"/>
        <w:widowControl w:val="0"/>
        <w:tabs>
          <w:tab w:val="right" w:leader="dot" w:pos="8306"/>
        </w:tabs>
        <w:kinsoku/>
        <w:wordWrap/>
        <w:overflowPunct/>
        <w:topLinePunct w:val="0"/>
        <w:autoSpaceDE/>
        <w:autoSpaceDN/>
        <w:bidi w:val="0"/>
        <w:spacing w:line="360" w:lineRule="exac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_Toc9372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val="en-US" w:eastAsia="zh-CN"/>
        </w:rPr>
        <w:t>七</w:t>
      </w:r>
      <w:r>
        <w:rPr>
          <w:rFonts w:hint="eastAsia" w:ascii="宋体" w:hAnsi="宋体" w:eastAsia="宋体" w:cs="宋体"/>
          <w:color w:val="auto"/>
          <w:sz w:val="22"/>
          <w:szCs w:val="22"/>
          <w:highlight w:val="none"/>
        </w:rPr>
        <w:t>）绩效评价工作过程</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_Toc9372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10</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5"/>
        <w:pageBreakBefore w:val="0"/>
        <w:widowControl w:val="0"/>
        <w:tabs>
          <w:tab w:val="right" w:leader="dot" w:pos="8306"/>
          <w:tab w:val="clear" w:pos="9356"/>
        </w:tabs>
        <w:kinsoku/>
        <w:wordWrap/>
        <w:overflowPunct/>
        <w:topLinePunct w:val="0"/>
        <w:autoSpaceDE/>
        <w:autoSpaceDN/>
        <w:bidi w:val="0"/>
        <w:spacing w:line="360" w:lineRule="exact"/>
        <w:textAlignment w:val="auto"/>
        <w:rPr>
          <w:rFonts w:hint="default"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_Toc24769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四、综合评价情况及评价结论</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lang w:val="en-US" w:eastAsia="zh-CN"/>
        </w:rPr>
        <w:t>10</w:t>
      </w:r>
    </w:p>
    <w:p>
      <w:pPr>
        <w:pStyle w:val="16"/>
        <w:pageBreakBefore w:val="0"/>
        <w:widowControl w:val="0"/>
        <w:tabs>
          <w:tab w:val="right" w:leader="dot" w:pos="8306"/>
        </w:tabs>
        <w:kinsoku/>
        <w:wordWrap/>
        <w:overflowPunct/>
        <w:topLinePunct w:val="0"/>
        <w:autoSpaceDE/>
        <w:autoSpaceDN/>
        <w:bidi w:val="0"/>
        <w:spacing w:line="360" w:lineRule="exact"/>
        <w:textAlignment w:val="auto"/>
        <w:rPr>
          <w:rFonts w:hint="default"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_Toc28088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（一）评价得分情况</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lang w:val="en-US" w:eastAsia="zh-CN"/>
        </w:rPr>
        <w:t>10</w:t>
      </w:r>
    </w:p>
    <w:p>
      <w:pPr>
        <w:pStyle w:val="16"/>
        <w:pageBreakBefore w:val="0"/>
        <w:widowControl w:val="0"/>
        <w:tabs>
          <w:tab w:val="right" w:leader="dot" w:pos="8306"/>
        </w:tabs>
        <w:kinsoku/>
        <w:wordWrap/>
        <w:overflowPunct/>
        <w:topLinePunct w:val="0"/>
        <w:autoSpaceDE/>
        <w:autoSpaceDN/>
        <w:bidi w:val="0"/>
        <w:spacing w:line="360" w:lineRule="exac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_Toc14863 </w:instrText>
      </w:r>
      <w:r>
        <w:rPr>
          <w:rFonts w:hint="eastAsia" w:ascii="宋体" w:hAnsi="宋体" w:eastAsia="宋体" w:cs="宋体"/>
          <w:color w:val="auto"/>
          <w:sz w:val="22"/>
          <w:szCs w:val="22"/>
          <w:highlight w:val="none"/>
        </w:rPr>
        <w:fldChar w:fldCharType="separate"/>
      </w:r>
      <w:r>
        <w:rPr>
          <w:rFonts w:hint="eastAsia" w:ascii="宋体" w:hAnsi="宋体" w:eastAsia="宋体" w:cs="宋体"/>
          <w:bCs/>
          <w:color w:val="auto"/>
          <w:kern w:val="0"/>
          <w:sz w:val="22"/>
          <w:szCs w:val="22"/>
          <w:highlight w:val="none"/>
          <w:lang w:val="en-US" w:eastAsia="zh-CN" w:bidi="ar-SA"/>
        </w:rPr>
        <w:t>（二）</w:t>
      </w:r>
      <w:r>
        <w:rPr>
          <w:rFonts w:hint="eastAsia" w:ascii="宋体" w:hAnsi="宋体" w:eastAsia="宋体" w:cs="宋体"/>
          <w:color w:val="auto"/>
          <w:sz w:val="22"/>
          <w:szCs w:val="22"/>
          <w:highlight w:val="none"/>
        </w:rPr>
        <w:t>综合评价结论</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_Toc14863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12</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5"/>
        <w:pageBreakBefore w:val="0"/>
        <w:widowControl w:val="0"/>
        <w:tabs>
          <w:tab w:val="right" w:leader="dot" w:pos="8306"/>
          <w:tab w:val="clear" w:pos="9356"/>
        </w:tabs>
        <w:kinsoku/>
        <w:wordWrap/>
        <w:overflowPunct/>
        <w:topLinePunct w:val="0"/>
        <w:autoSpaceDE/>
        <w:autoSpaceDN/>
        <w:bidi w:val="0"/>
        <w:spacing w:line="360" w:lineRule="exac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_Toc5384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五、绩效评价指标分析</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_Toc5384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12</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pageBreakBefore w:val="0"/>
        <w:widowControl w:val="0"/>
        <w:tabs>
          <w:tab w:val="right" w:leader="dot" w:pos="8306"/>
        </w:tabs>
        <w:kinsoku/>
        <w:wordWrap/>
        <w:overflowPunct/>
        <w:topLinePunct w:val="0"/>
        <w:autoSpaceDE/>
        <w:autoSpaceDN/>
        <w:bidi w:val="0"/>
        <w:spacing w:line="360" w:lineRule="exac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_Toc14093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（一）项目决策情况</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_Toc14093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12</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pageBreakBefore w:val="0"/>
        <w:widowControl w:val="0"/>
        <w:tabs>
          <w:tab w:val="right" w:leader="dot" w:pos="8306"/>
        </w:tabs>
        <w:kinsoku/>
        <w:wordWrap/>
        <w:overflowPunct/>
        <w:topLinePunct w:val="0"/>
        <w:autoSpaceDE/>
        <w:autoSpaceDN/>
        <w:bidi w:val="0"/>
        <w:spacing w:line="360" w:lineRule="exac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_Toc8030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（二）项目过程情况</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_Toc8030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15</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pageBreakBefore w:val="0"/>
        <w:widowControl w:val="0"/>
        <w:tabs>
          <w:tab w:val="right" w:leader="dot" w:pos="8306"/>
        </w:tabs>
        <w:kinsoku/>
        <w:wordWrap/>
        <w:overflowPunct/>
        <w:topLinePunct w:val="0"/>
        <w:autoSpaceDE/>
        <w:autoSpaceDN/>
        <w:bidi w:val="0"/>
        <w:spacing w:line="360" w:lineRule="exac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_Toc1468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（三）项目产出情况</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_Toc1468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16</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6"/>
        <w:pageBreakBefore w:val="0"/>
        <w:widowControl w:val="0"/>
        <w:tabs>
          <w:tab w:val="right" w:leader="dot" w:pos="8306"/>
        </w:tabs>
        <w:kinsoku/>
        <w:wordWrap/>
        <w:overflowPunct/>
        <w:topLinePunct w:val="0"/>
        <w:autoSpaceDE/>
        <w:autoSpaceDN/>
        <w:bidi w:val="0"/>
        <w:spacing w:line="360" w:lineRule="exac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_Toc5473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（四）项目效益情况</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_Toc5473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18</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5"/>
        <w:pageBreakBefore w:val="0"/>
        <w:widowControl w:val="0"/>
        <w:tabs>
          <w:tab w:val="right" w:leader="dot" w:pos="8306"/>
          <w:tab w:val="clear" w:pos="9356"/>
        </w:tabs>
        <w:kinsoku/>
        <w:wordWrap/>
        <w:overflowPunct/>
        <w:topLinePunct w:val="0"/>
        <w:autoSpaceDE/>
        <w:autoSpaceDN/>
        <w:bidi w:val="0"/>
        <w:spacing w:line="360" w:lineRule="exac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_Toc31781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六、主要经验及做法、存在的问题及原因分析</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_Toc31781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19</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5"/>
        <w:pageBreakBefore w:val="0"/>
        <w:widowControl w:val="0"/>
        <w:tabs>
          <w:tab w:val="right" w:leader="dot" w:pos="8306"/>
          <w:tab w:val="clear" w:pos="9356"/>
        </w:tabs>
        <w:kinsoku/>
        <w:wordWrap/>
        <w:overflowPunct/>
        <w:topLinePunct w:val="0"/>
        <w:autoSpaceDE/>
        <w:autoSpaceDN/>
        <w:bidi w:val="0"/>
        <w:spacing w:line="360" w:lineRule="exac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_Toc4702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七、有关建议</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_Toc4702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19</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5"/>
        <w:pageBreakBefore w:val="0"/>
        <w:widowControl w:val="0"/>
        <w:tabs>
          <w:tab w:val="right" w:leader="dot" w:pos="8306"/>
          <w:tab w:val="clear" w:pos="9356"/>
        </w:tabs>
        <w:kinsoku/>
        <w:wordWrap/>
        <w:overflowPunct/>
        <w:topLinePunct w:val="0"/>
        <w:autoSpaceDE/>
        <w:autoSpaceDN/>
        <w:bidi w:val="0"/>
        <w:spacing w:line="360" w:lineRule="exac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_Toc18227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八、其他需要说明的问题</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_Toc18227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20</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5"/>
        <w:pageBreakBefore w:val="0"/>
        <w:widowControl w:val="0"/>
        <w:tabs>
          <w:tab w:val="right" w:leader="dot" w:pos="8306"/>
          <w:tab w:val="clear" w:pos="9356"/>
        </w:tabs>
        <w:kinsoku/>
        <w:wordWrap/>
        <w:overflowPunct/>
        <w:topLinePunct w:val="0"/>
        <w:autoSpaceDE/>
        <w:autoSpaceDN/>
        <w:bidi w:val="0"/>
        <w:spacing w:line="360" w:lineRule="exac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_Toc30969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九、绩效评价结果应用建议</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_Toc30969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20</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5"/>
        <w:pageBreakBefore w:val="0"/>
        <w:widowControl w:val="0"/>
        <w:tabs>
          <w:tab w:val="right" w:leader="dot" w:pos="8306"/>
          <w:tab w:val="clear" w:pos="9356"/>
        </w:tabs>
        <w:kinsoku/>
        <w:wordWrap/>
        <w:overflowPunct/>
        <w:topLinePunct w:val="0"/>
        <w:autoSpaceDE/>
        <w:autoSpaceDN/>
        <w:bidi w:val="0"/>
        <w:spacing w:line="360" w:lineRule="exac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_Toc26420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附件1：绩效评价指标体系及综合评价表</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_Toc26420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21</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5"/>
        <w:pageBreakBefore w:val="0"/>
        <w:widowControl w:val="0"/>
        <w:tabs>
          <w:tab w:val="right" w:leader="dot" w:pos="8306"/>
          <w:tab w:val="clear" w:pos="9356"/>
        </w:tabs>
        <w:kinsoku/>
        <w:wordWrap/>
        <w:overflowPunct/>
        <w:topLinePunct w:val="0"/>
        <w:autoSpaceDE/>
        <w:autoSpaceDN/>
        <w:bidi w:val="0"/>
        <w:spacing w:line="360" w:lineRule="exac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_Toc17136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附件2：基础表</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_Toc17136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26</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5"/>
        <w:pageBreakBefore w:val="0"/>
        <w:widowControl w:val="0"/>
        <w:tabs>
          <w:tab w:val="right" w:leader="dot" w:pos="8306"/>
          <w:tab w:val="clear" w:pos="9356"/>
        </w:tabs>
        <w:kinsoku/>
        <w:wordWrap/>
        <w:overflowPunct/>
        <w:topLinePunct w:val="0"/>
        <w:autoSpaceDE/>
        <w:autoSpaceDN/>
        <w:bidi w:val="0"/>
        <w:spacing w:line="360" w:lineRule="exac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_Toc1889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附件3：问卷调查分析报告</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_Toc1889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28</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5"/>
        <w:pageBreakBefore w:val="0"/>
        <w:widowControl w:val="0"/>
        <w:tabs>
          <w:tab w:val="right" w:leader="dot" w:pos="8306"/>
          <w:tab w:val="clear" w:pos="9356"/>
        </w:tabs>
        <w:kinsoku/>
        <w:wordWrap/>
        <w:overflowPunct/>
        <w:topLinePunct w:val="0"/>
        <w:autoSpaceDE/>
        <w:autoSpaceDN/>
        <w:bidi w:val="0"/>
        <w:spacing w:line="360" w:lineRule="exac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HYPERLINK \l _Toc29204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附件4：现场勘查照片</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fldChar w:fldCharType="begin"/>
      </w:r>
      <w:r>
        <w:rPr>
          <w:rFonts w:hint="eastAsia" w:ascii="宋体" w:hAnsi="宋体" w:eastAsia="宋体" w:cs="宋体"/>
          <w:color w:val="auto"/>
          <w:sz w:val="22"/>
          <w:szCs w:val="22"/>
          <w:highlight w:val="none"/>
        </w:rPr>
        <w:instrText xml:space="preserve"> PAGEREF _Toc29204 \h </w:instrText>
      </w:r>
      <w:r>
        <w:rPr>
          <w:rFonts w:hint="eastAsia" w:ascii="宋体" w:hAnsi="宋体" w:eastAsia="宋体" w:cs="宋体"/>
          <w:color w:val="auto"/>
          <w:sz w:val="22"/>
          <w:szCs w:val="22"/>
          <w:highlight w:val="none"/>
        </w:rPr>
        <w:fldChar w:fldCharType="separate"/>
      </w:r>
      <w:r>
        <w:rPr>
          <w:rFonts w:hint="eastAsia" w:ascii="宋体" w:hAnsi="宋体" w:eastAsia="宋体" w:cs="宋体"/>
          <w:color w:val="auto"/>
          <w:sz w:val="22"/>
          <w:szCs w:val="22"/>
          <w:highlight w:val="none"/>
        </w:rPr>
        <w:t>31</w:t>
      </w:r>
      <w:r>
        <w:rPr>
          <w:rFonts w:hint="eastAsia" w:ascii="宋体" w:hAnsi="宋体" w:eastAsia="宋体" w:cs="宋体"/>
          <w:color w:val="auto"/>
          <w:sz w:val="22"/>
          <w:szCs w:val="22"/>
          <w:highlight w:val="none"/>
        </w:rPr>
        <w:fldChar w:fldCharType="end"/>
      </w:r>
      <w:r>
        <w:rPr>
          <w:rFonts w:hint="eastAsia" w:ascii="宋体" w:hAnsi="宋体" w:eastAsia="宋体" w:cs="宋体"/>
          <w:color w:val="auto"/>
          <w:sz w:val="22"/>
          <w:szCs w:val="22"/>
          <w:highlight w:val="none"/>
        </w:rPr>
        <w:fldChar w:fldCharType="end"/>
      </w:r>
    </w:p>
    <w:p>
      <w:pPr>
        <w:pStyle w:val="15"/>
        <w:keepNext/>
        <w:keepLines/>
        <w:pageBreakBefore w:val="0"/>
        <w:widowControl w:val="0"/>
        <w:tabs>
          <w:tab w:val="right" w:leader="dot" w:pos="8306"/>
          <w:tab w:val="clear" w:pos="9356"/>
        </w:tabs>
        <w:kinsoku/>
        <w:wordWrap/>
        <w:overflowPunct/>
        <w:topLinePunct w:val="0"/>
        <w:autoSpaceDE/>
        <w:autoSpaceDN/>
        <w:bidi w:val="0"/>
        <w:adjustRightInd/>
        <w:snapToGrid/>
        <w:spacing w:line="560" w:lineRule="exact"/>
        <w:ind w:left="-178" w:leftChars="-85" w:firstLine="0" w:firstLineChars="0"/>
        <w:jc w:val="center"/>
        <w:textAlignment w:val="auto"/>
        <w:outlineLvl w:val="0"/>
        <w:rPr>
          <w:b/>
          <w:color w:val="auto"/>
          <w:sz w:val="48"/>
          <w:szCs w:val="48"/>
          <w:highlight w:val="none"/>
        </w:rPr>
      </w:pPr>
      <w:r>
        <w:rPr>
          <w:rFonts w:eastAsia="宋体"/>
          <w:b/>
          <w:color w:val="auto"/>
          <w:highlight w:val="none"/>
        </w:rPr>
        <w:fldChar w:fldCharType="end"/>
      </w:r>
      <w:bookmarkStart w:id="52" w:name="_Toc22408"/>
      <w:bookmarkStart w:id="53" w:name="_Toc26455"/>
      <w:bookmarkStart w:id="54" w:name="_Toc9538"/>
      <w:bookmarkStart w:id="55" w:name="_Toc5622"/>
      <w:bookmarkStart w:id="56" w:name="_Toc17094"/>
      <w:bookmarkStart w:id="57" w:name="_Toc1755"/>
      <w:bookmarkStart w:id="58" w:name="_Toc24560"/>
      <w:bookmarkStart w:id="59" w:name="_Toc5326"/>
      <w:bookmarkStart w:id="60" w:name="_Toc25378"/>
      <w:bookmarkStart w:id="61" w:name="_Toc17971"/>
      <w:bookmarkStart w:id="62" w:name="_Toc23143"/>
      <w:bookmarkStart w:id="63" w:name="_Toc14381"/>
      <w:bookmarkStart w:id="64" w:name="_Toc4473"/>
      <w:r>
        <w:rPr>
          <w:b/>
          <w:color w:val="auto"/>
          <w:sz w:val="48"/>
          <w:szCs w:val="48"/>
          <w:highlight w:val="none"/>
        </w:rPr>
        <w:t>新疆驰远天合有限责任会计师事务所</w:t>
      </w:r>
      <w:bookmarkEnd w:id="52"/>
      <w:bookmarkEnd w:id="53"/>
      <w:bookmarkEnd w:id="54"/>
      <w:bookmarkEnd w:id="55"/>
      <w:bookmarkEnd w:id="56"/>
      <w:bookmarkEnd w:id="57"/>
      <w:bookmarkEnd w:id="58"/>
      <w:bookmarkEnd w:id="59"/>
      <w:bookmarkEnd w:id="60"/>
      <w:bookmarkEnd w:id="61"/>
      <w:bookmarkEnd w:id="62"/>
      <w:bookmarkEnd w:id="63"/>
      <w:bookmarkEnd w:id="64"/>
    </w:p>
    <w:p>
      <w:pPr>
        <w:keepNext/>
        <w:keepLines/>
        <w:pageBreakBefore w:val="0"/>
        <w:widowControl w:val="0"/>
        <w:kinsoku/>
        <w:wordWrap/>
        <w:overflowPunct/>
        <w:topLinePunct w:val="0"/>
        <w:autoSpaceDE/>
        <w:autoSpaceDN/>
        <w:bidi w:val="0"/>
        <w:adjustRightInd/>
        <w:snapToGrid/>
        <w:spacing w:line="560" w:lineRule="exact"/>
        <w:ind w:firstLine="0" w:firstLineChars="0"/>
        <w:jc w:val="center"/>
        <w:textAlignment w:val="auto"/>
        <w:rPr>
          <w:color w:val="auto"/>
          <w:sz w:val="24"/>
          <w:szCs w:val="24"/>
          <w:highlight w:val="none"/>
        </w:rPr>
      </w:pPr>
      <w:r>
        <w:rPr>
          <w:color w:val="auto"/>
          <w:sz w:val="24"/>
          <w:szCs w:val="24"/>
          <w:highlight w:val="none"/>
        </w:rPr>
        <w:t>Xinjiang Chiyuantianhe Certified Public Accountants Co.</w:t>
      </w:r>
      <w:r>
        <w:rPr>
          <w:rFonts w:hint="eastAsia"/>
          <w:color w:val="auto"/>
          <w:sz w:val="24"/>
          <w:szCs w:val="24"/>
          <w:highlight w:val="none"/>
          <w:lang w:eastAsia="zh-CN"/>
        </w:rPr>
        <w:t>，</w:t>
      </w:r>
      <w:r>
        <w:rPr>
          <w:color w:val="auto"/>
          <w:sz w:val="24"/>
          <w:szCs w:val="24"/>
          <w:highlight w:val="none"/>
        </w:rPr>
        <w:t>Ltd.</w:t>
      </w:r>
    </w:p>
    <w:p>
      <w:pPr>
        <w:keepNext/>
        <w:keepLines/>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color w:val="auto"/>
          <w:highlight w:val="none"/>
        </w:rPr>
      </w:pPr>
      <w:bookmarkStart w:id="65" w:name="_Toc11564"/>
      <w:bookmarkStart w:id="66" w:name="_Toc4177"/>
      <w:bookmarkStart w:id="67" w:name="_Toc23718"/>
      <w:bookmarkStart w:id="68" w:name="_Toc8018"/>
      <w:bookmarkStart w:id="69" w:name="_Toc732"/>
      <w:bookmarkStart w:id="70" w:name="_Toc16809"/>
      <w:bookmarkStart w:id="71" w:name="_Toc7731"/>
      <w:bookmarkStart w:id="72" w:name="_Toc20451"/>
      <w:bookmarkStart w:id="73" w:name="_Toc14536"/>
      <w:bookmarkStart w:id="74" w:name="_Toc21586"/>
      <w:bookmarkStart w:id="75" w:name="_Toc21607"/>
      <w:bookmarkStart w:id="76" w:name="_Toc8232"/>
      <w:bookmarkStart w:id="77" w:name="_Toc11722"/>
      <w:r>
        <w:rPr>
          <w:b/>
          <w:color w:val="auto"/>
          <w:spacing w:val="66"/>
          <w:kern w:val="0"/>
          <w:sz w:val="44"/>
          <w:szCs w:val="44"/>
          <w:highlight w:val="none"/>
          <w:fitText w:val="3300" w:id="1"/>
        </w:rPr>
        <w:t>绩效评价报</w:t>
      </w:r>
      <w:r>
        <w:rPr>
          <w:b/>
          <w:color w:val="auto"/>
          <w:spacing w:val="0"/>
          <w:kern w:val="0"/>
          <w:sz w:val="44"/>
          <w:szCs w:val="44"/>
          <w:highlight w:val="none"/>
          <w:fitText w:val="3300" w:id="1"/>
        </w:rPr>
        <w:t>告</w:t>
      </w:r>
      <w:bookmarkEnd w:id="65"/>
      <w:bookmarkEnd w:id="66"/>
      <w:bookmarkEnd w:id="67"/>
      <w:bookmarkEnd w:id="68"/>
      <w:bookmarkEnd w:id="69"/>
      <w:bookmarkEnd w:id="70"/>
      <w:bookmarkEnd w:id="71"/>
      <w:bookmarkEnd w:id="72"/>
      <w:bookmarkEnd w:id="73"/>
      <w:bookmarkEnd w:id="74"/>
      <w:bookmarkEnd w:id="75"/>
      <w:bookmarkEnd w:id="76"/>
      <w:bookmarkEnd w:id="77"/>
    </w:p>
    <w:p>
      <w:pPr>
        <w:keepNext/>
        <w:keepLines/>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color w:val="auto"/>
          <w:highlight w:val="none"/>
        </w:rPr>
      </w:pPr>
      <w:bookmarkStart w:id="78" w:name="_Toc2662"/>
      <w:bookmarkStart w:id="79" w:name="_Toc22944"/>
      <w:bookmarkStart w:id="80" w:name="_Toc3478"/>
      <w:bookmarkStart w:id="81" w:name="_Toc19717"/>
      <w:bookmarkStart w:id="82" w:name="_Toc17912"/>
      <w:bookmarkStart w:id="83" w:name="_Toc13060"/>
      <w:bookmarkStart w:id="84" w:name="_Toc3967"/>
      <w:bookmarkStart w:id="85" w:name="_Toc21095"/>
      <w:bookmarkStart w:id="86" w:name="_Toc25334"/>
      <w:bookmarkStart w:id="87" w:name="_Toc2736"/>
      <w:bookmarkStart w:id="88" w:name="_Toc29279"/>
      <w:bookmarkStart w:id="89" w:name="_Toc22935"/>
      <w:bookmarkStart w:id="90" w:name="_Toc30626"/>
      <w:r>
        <w:rPr>
          <w:color w:val="auto"/>
          <w:highlight w:val="none"/>
        </w:rPr>
        <w:t>驰天会咨字</w:t>
      </w:r>
      <w:r>
        <w:rPr>
          <w:rFonts w:hint="eastAsia" w:ascii="Times New Roman" w:hAnsi="Times New Roman" w:cs="Times New Roman"/>
          <w:color w:val="auto"/>
          <w:highlight w:val="none"/>
        </w:rPr>
        <w:t>〔</w:t>
      </w:r>
      <w:r>
        <w:rPr>
          <w:rFonts w:ascii="Times New Roman" w:hAnsi="Times New Roman" w:cs="Times New Roman"/>
          <w:color w:val="auto"/>
          <w:highlight w:val="none"/>
        </w:rPr>
        <w:t>2024</w:t>
      </w:r>
      <w:r>
        <w:rPr>
          <w:rFonts w:hint="eastAsia" w:ascii="Times New Roman" w:hAnsi="Times New Roman" w:cs="Times New Roman"/>
          <w:color w:val="auto"/>
          <w:highlight w:val="none"/>
        </w:rPr>
        <w:t>〕</w:t>
      </w:r>
      <w:r>
        <w:rPr>
          <w:color w:val="auto"/>
          <w:highlight w:val="none"/>
        </w:rPr>
        <w:t>1-0130号</w:t>
      </w:r>
      <w:bookmarkEnd w:id="78"/>
      <w:bookmarkEnd w:id="79"/>
      <w:bookmarkEnd w:id="80"/>
      <w:bookmarkEnd w:id="81"/>
      <w:bookmarkEnd w:id="82"/>
      <w:bookmarkEnd w:id="83"/>
      <w:bookmarkEnd w:id="84"/>
      <w:bookmarkEnd w:id="85"/>
      <w:bookmarkEnd w:id="86"/>
      <w:bookmarkEnd w:id="87"/>
      <w:bookmarkEnd w:id="88"/>
      <w:bookmarkEnd w:id="89"/>
      <w:bookmarkEnd w:id="90"/>
    </w:p>
    <w:p>
      <w:pPr>
        <w:keepNext/>
        <w:keepLines/>
        <w:spacing w:line="440" w:lineRule="exact"/>
        <w:ind w:firstLine="0" w:firstLineChars="0"/>
        <w:rPr>
          <w:color w:val="auto"/>
          <w:highlight w:val="none"/>
        </w:rPr>
      </w:pPr>
      <w:r>
        <w:rPr>
          <w:color w:val="auto"/>
          <w:highlight w:val="none"/>
        </w:rPr>
        <w:t>巴楚县财政局：</w:t>
      </w:r>
    </w:p>
    <w:p>
      <w:pPr>
        <w:keepNext/>
        <w:keepLines/>
        <w:spacing w:line="440" w:lineRule="exact"/>
        <w:ind w:firstLine="420"/>
        <w:rPr>
          <w:color w:val="auto"/>
          <w:highlight w:val="none"/>
        </w:rPr>
      </w:pPr>
      <w:r>
        <w:rPr>
          <w:color w:val="auto"/>
          <w:highlight w:val="none"/>
        </w:rPr>
        <w:t>为贯彻落实全面推进预算绩效管理工作的要求，完善部门预算管理，强化预算支出责任，提高财政资金的使用效益，根据《中华人民共和国预算法》《中共中央国务院关于全面实施预算绩效管理的意见》（中发〔2018〕34号）、《项目支出绩效评价管理办法》（财预〔2020〕10号）、</w:t>
      </w:r>
      <w:r>
        <w:rPr>
          <w:bCs/>
          <w:color w:val="auto"/>
          <w:highlight w:val="none"/>
        </w:rPr>
        <w:t>《关于进一步加强和规范第三方机构参与预算绩效管理的通知》（新财预〔2021〕49号）</w:t>
      </w:r>
      <w:r>
        <w:rPr>
          <w:color w:val="auto"/>
          <w:highlight w:val="none"/>
        </w:rPr>
        <w:t>等系列文件的要求，受巴楚县财政局的委托，新疆驰远天合有限责任会计师事务所以第三方社会评价机构的身份，承担了喀什地区巴楚县2023年城乡义务教育农村校舍安全保障长效机制项目（第一批）的绩效评价工作并形成绩效评价报告，巴楚县教育局负责提供与本次绩效评价相关的项目资料并保证项目资料的真实、合法、准确和完整，现将项目绩效评价情况报告如下：</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bookmarkStart w:id="91" w:name="_Toc23203"/>
      <w:bookmarkStart w:id="92" w:name="_Toc8243"/>
      <w:bookmarkStart w:id="93" w:name="_Toc5184"/>
      <w:bookmarkStart w:id="94" w:name="_Toc25929"/>
      <w:bookmarkStart w:id="95" w:name="_Toc22030"/>
      <w:bookmarkStart w:id="96" w:name="_Toc68364657"/>
      <w:bookmarkStart w:id="97" w:name="_Toc21037"/>
      <w:bookmarkStart w:id="98" w:name="_Toc23829"/>
      <w:bookmarkStart w:id="99" w:name="_Toc11933"/>
      <w:r>
        <w:rPr>
          <w:b/>
          <w:bCs/>
          <w:color w:val="auto"/>
          <w:sz w:val="24"/>
          <w:szCs w:val="28"/>
          <w:highlight w:val="none"/>
        </w:rPr>
        <w:t>一、项目基本情况</w:t>
      </w:r>
      <w:bookmarkEnd w:id="91"/>
      <w:bookmarkEnd w:id="92"/>
      <w:bookmarkEnd w:id="93"/>
      <w:bookmarkEnd w:id="94"/>
      <w:bookmarkEnd w:id="95"/>
      <w:bookmarkEnd w:id="96"/>
      <w:bookmarkEnd w:id="97"/>
      <w:bookmarkEnd w:id="98"/>
      <w:bookmarkEnd w:id="99"/>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bookmarkStart w:id="100" w:name="_Toc21412"/>
      <w:bookmarkStart w:id="101" w:name="_Toc8852"/>
      <w:bookmarkStart w:id="102" w:name="_Toc26835"/>
      <w:bookmarkStart w:id="103" w:name="_Toc27892"/>
      <w:bookmarkStart w:id="104" w:name="_Toc12602"/>
      <w:bookmarkStart w:id="105" w:name="_Toc27451"/>
      <w:bookmarkStart w:id="106" w:name="_Toc14098"/>
      <w:bookmarkStart w:id="107" w:name="_Toc9185"/>
      <w:bookmarkStart w:id="108" w:name="_Toc68364659"/>
      <w:r>
        <w:rPr>
          <w:b/>
          <w:bCs/>
          <w:color w:val="auto"/>
          <w:sz w:val="24"/>
          <w:szCs w:val="28"/>
          <w:highlight w:val="none"/>
        </w:rPr>
        <w:t>（一）项目背景及立项</w:t>
      </w:r>
      <w:bookmarkEnd w:id="100"/>
      <w:bookmarkEnd w:id="101"/>
      <w:bookmarkEnd w:id="102"/>
      <w:bookmarkEnd w:id="103"/>
      <w:bookmarkEnd w:id="104"/>
      <w:bookmarkEnd w:id="105"/>
      <w:bookmarkEnd w:id="106"/>
      <w:bookmarkEnd w:id="107"/>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1.项目背景</w:t>
      </w:r>
    </w:p>
    <w:p>
      <w:pPr>
        <w:keepNext/>
        <w:keepLines/>
        <w:ind w:firstLine="420"/>
        <w:rPr>
          <w:color w:val="auto"/>
          <w:highlight w:val="none"/>
        </w:rPr>
      </w:pPr>
      <w:r>
        <w:rPr>
          <w:color w:val="auto"/>
          <w:highlight w:val="none"/>
        </w:rPr>
        <w:t>校舍安全直接关系师生生命安全，社会关注度高、影响面广。党中央、国务院历来高度重视校舍安全工作，新世纪以来，先后部署实施了一系列校舍建设工程，建立了农村义务教育中小学校舍维修改造长效机制，特别是从2009年起，部署实施了全国中小学校舍安全工程，在各级各类城乡中小学开展校舍抗震加固和提高综合防灾能力建设，校舍安全隐患大幅减少，安全状况进一步改善。但我国中小学的学生规模大、农村学校多、基础条件差，保障校舍安全是一项长期的艰巨任务。建立长效机制，为提高中小学校舍安全管理水平和防灾减灾能力提供制度保障，是坚持以人为本、落实国家防灾减灾总体部署的必然要求，是坚持教育优先发展、办好人民满意教育的重要内容。</w:t>
      </w:r>
    </w:p>
    <w:p>
      <w:pPr>
        <w:keepNext/>
        <w:keepLines/>
        <w:ind w:firstLine="420"/>
        <w:rPr>
          <w:color w:val="auto"/>
          <w:highlight w:val="none"/>
        </w:rPr>
      </w:pPr>
      <w:r>
        <w:rPr>
          <w:color w:val="auto"/>
          <w:highlight w:val="none"/>
        </w:rPr>
        <w:t>为贯彻落实《中华人民共和国防震减灾法》和《国家中长期教育改革和发展规划纲要（2010—2020年）》，进一步提高全国中小学校舍防震减灾能力，实现城乡中小学校舍安全达标，教育部、</w:t>
      </w:r>
      <w:r>
        <w:rPr>
          <w:rFonts w:hint="eastAsia"/>
          <w:color w:val="auto"/>
          <w:highlight w:val="none"/>
          <w:lang w:eastAsia="zh-CN"/>
        </w:rPr>
        <w:t>发展和改革委员会</w:t>
      </w:r>
      <w:r>
        <w:rPr>
          <w:color w:val="auto"/>
          <w:highlight w:val="none"/>
        </w:rPr>
        <w:t>、公安部、监察部、财政部等联合提出《关于建立中小学校舍安全保障长效机制的意见》，要求坚持建管并重，通过维修、加固、重建、改扩建等多种形</w:t>
      </w:r>
    </w:p>
    <w:p>
      <w:pPr>
        <w:keepNext/>
        <w:keepLines/>
        <w:ind w:firstLine="0" w:firstLineChars="0"/>
        <w:rPr>
          <w:color w:val="auto"/>
          <w:highlight w:val="none"/>
        </w:rPr>
      </w:pPr>
      <w:r>
        <w:rPr>
          <w:color w:val="auto"/>
          <w:highlight w:val="none"/>
        </w:rPr>
        <w:t>式，逐步使所有校舍满足国家规定的建设标准、重点设防类抗震设防标准和国家综合防灾要求，同时加强对校舍的日常管理和定期维护。</w:t>
      </w:r>
    </w:p>
    <w:p>
      <w:pPr>
        <w:keepNext/>
        <w:keepLines/>
        <w:ind w:firstLine="420"/>
        <w:rPr>
          <w:color w:val="auto"/>
          <w:highlight w:val="none"/>
        </w:rPr>
      </w:pPr>
      <w:r>
        <w:rPr>
          <w:color w:val="auto"/>
          <w:highlight w:val="none"/>
        </w:rPr>
        <w:t>巴楚县乡村中小学校存在基础设施未配套或配套设施因长时间未及时维护问题，无法满足师生正常学习及生活，给师生学习及生活带来极大的困扰。巴楚县教育局根据《喀什地区国民经济和社会发展第十四个五年规划和2035年远景目标纲要》等国家及地区关于加强教育事业发展相关政策，充分利用2023年城乡义务教育农村校舍安全保障资金，研究决定统筹所涉及学校现状设施问题，进行统一规划，委托资深设计单位进行改造设计，为改善巴楚县办学条件，改善校园环境，为在校师生提供良好的学习及生活环境，为巴楚县教育事业的发展奠定基础。</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2.项目概况</w:t>
      </w:r>
    </w:p>
    <w:p>
      <w:pPr>
        <w:keepNext/>
        <w:keepLines/>
        <w:ind w:firstLine="420"/>
        <w:rPr>
          <w:color w:val="auto"/>
          <w:highlight w:val="none"/>
        </w:rPr>
      </w:pPr>
      <w:r>
        <w:rPr>
          <w:color w:val="auto"/>
          <w:highlight w:val="none"/>
        </w:rPr>
        <w:t>项目名称：喀什地区巴楚县2023年城乡义务教育农村校舍安全保障长效机制项目（第一批）（以下简称</w:t>
      </w:r>
      <w:r>
        <w:rPr>
          <w:rFonts w:hint="eastAsia"/>
          <w:color w:val="auto"/>
          <w:highlight w:val="none"/>
        </w:rPr>
        <w:t>“</w:t>
      </w:r>
      <w:r>
        <w:rPr>
          <w:color w:val="auto"/>
          <w:highlight w:val="none"/>
        </w:rPr>
        <w:t>该项目</w:t>
      </w:r>
      <w:r>
        <w:rPr>
          <w:rFonts w:hint="eastAsia"/>
          <w:color w:val="auto"/>
          <w:highlight w:val="none"/>
        </w:rPr>
        <w:t>”</w:t>
      </w:r>
      <w:r>
        <w:rPr>
          <w:color w:val="auto"/>
          <w:highlight w:val="none"/>
        </w:rPr>
        <w:t>或</w:t>
      </w:r>
      <w:r>
        <w:rPr>
          <w:rFonts w:hint="eastAsia"/>
          <w:color w:val="auto"/>
          <w:highlight w:val="none"/>
        </w:rPr>
        <w:t>“</w:t>
      </w:r>
      <w:r>
        <w:rPr>
          <w:color w:val="auto"/>
          <w:highlight w:val="none"/>
        </w:rPr>
        <w:t>项目</w:t>
      </w:r>
      <w:r>
        <w:rPr>
          <w:rFonts w:hint="eastAsia"/>
          <w:color w:val="auto"/>
          <w:highlight w:val="none"/>
        </w:rPr>
        <w:t>”</w:t>
      </w:r>
      <w:r>
        <w:rPr>
          <w:color w:val="auto"/>
          <w:highlight w:val="none"/>
        </w:rPr>
        <w:t>）</w:t>
      </w:r>
    </w:p>
    <w:p>
      <w:pPr>
        <w:keepNext/>
        <w:keepLines/>
        <w:ind w:firstLine="420"/>
        <w:rPr>
          <w:color w:val="auto"/>
          <w:highlight w:val="none"/>
        </w:rPr>
      </w:pPr>
      <w:r>
        <w:rPr>
          <w:color w:val="auto"/>
          <w:highlight w:val="none"/>
        </w:rPr>
        <w:t>项目实施单位：巴楚县教育局</w:t>
      </w:r>
    </w:p>
    <w:p>
      <w:pPr>
        <w:keepNext/>
        <w:keepLines/>
        <w:ind w:firstLine="420"/>
        <w:rPr>
          <w:color w:val="auto"/>
          <w:highlight w:val="none"/>
        </w:rPr>
      </w:pPr>
      <w:r>
        <w:rPr>
          <w:color w:val="auto"/>
          <w:highlight w:val="none"/>
          <w:lang w:eastAsia="zh-Hans"/>
        </w:rPr>
        <w:t>项目内容：</w:t>
      </w:r>
      <w:r>
        <w:rPr>
          <w:color w:val="auto"/>
          <w:highlight w:val="none"/>
        </w:rPr>
        <w:t>对巴楚县14所乡村中小学开展校舍安全维修改造。具体建设内容可见</w:t>
      </w:r>
      <w:r>
        <w:rPr>
          <w:rFonts w:hint="eastAsia"/>
          <w:color w:val="auto"/>
          <w:highlight w:val="none"/>
        </w:rPr>
        <w:t>“</w:t>
      </w:r>
      <w:r>
        <w:rPr>
          <w:color w:val="auto"/>
          <w:highlight w:val="none"/>
        </w:rPr>
        <w:t>附件2：基础表</w:t>
      </w:r>
      <w:r>
        <w:rPr>
          <w:rFonts w:hint="eastAsia"/>
          <w:color w:val="auto"/>
          <w:highlight w:val="none"/>
        </w:rPr>
        <w:t>”</w:t>
      </w:r>
      <w:r>
        <w:rPr>
          <w:color w:val="auto"/>
          <w:highlight w:val="none"/>
        </w:rPr>
        <w:t>。</w:t>
      </w:r>
    </w:p>
    <w:p>
      <w:pPr>
        <w:keepNext/>
        <w:keepLines/>
        <w:ind w:firstLine="420"/>
        <w:rPr>
          <w:color w:val="auto"/>
          <w:highlight w:val="none"/>
        </w:rPr>
      </w:pPr>
      <w:r>
        <w:rPr>
          <w:color w:val="auto"/>
          <w:highlight w:val="none"/>
        </w:rPr>
        <w:t>项目建设地点：巴楚县阿瓦提镇、色力布亚镇、阿拉格尔乡、阿克萨克马热勒乡、夏马勒乡、多来提巴格乡、恰尔巴格乡、巴楚镇。</w:t>
      </w:r>
    </w:p>
    <w:p>
      <w:pPr>
        <w:keepNext/>
        <w:keepLines/>
        <w:ind w:firstLine="420"/>
        <w:rPr>
          <w:color w:val="auto"/>
          <w:highlight w:val="none"/>
        </w:rPr>
      </w:pPr>
      <w:r>
        <w:rPr>
          <w:color w:val="auto"/>
          <w:highlight w:val="none"/>
        </w:rPr>
        <w:t>项目投资概算情况：项目总投资1</w:t>
      </w:r>
      <w:r>
        <w:rPr>
          <w:rFonts w:hint="eastAsia"/>
          <w:color w:val="auto"/>
          <w:highlight w:val="none"/>
          <w:lang w:eastAsia="zh-CN"/>
        </w:rPr>
        <w:t>，</w:t>
      </w:r>
      <w:r>
        <w:rPr>
          <w:color w:val="auto"/>
          <w:highlight w:val="none"/>
        </w:rPr>
        <w:t>800万元，其中：项目工程费用1</w:t>
      </w:r>
      <w:r>
        <w:rPr>
          <w:rFonts w:hint="eastAsia"/>
          <w:color w:val="auto"/>
          <w:highlight w:val="none"/>
          <w:lang w:eastAsia="zh-CN"/>
        </w:rPr>
        <w:t>，</w:t>
      </w:r>
      <w:r>
        <w:rPr>
          <w:color w:val="auto"/>
          <w:highlight w:val="none"/>
        </w:rPr>
        <w:t>665.57万元，工程建设其他费用95.05万元，预备费39.38万元。</w:t>
      </w:r>
    </w:p>
    <w:p>
      <w:pPr>
        <w:keepNext/>
        <w:keepLines/>
        <w:ind w:firstLine="420"/>
        <w:rPr>
          <w:color w:val="auto"/>
          <w:highlight w:val="none"/>
        </w:rPr>
      </w:pPr>
      <w:r>
        <w:rPr>
          <w:color w:val="auto"/>
          <w:highlight w:val="none"/>
        </w:rPr>
        <w:t>项目建设</w:t>
      </w:r>
      <w:r>
        <w:rPr>
          <w:rFonts w:hint="eastAsia"/>
          <w:color w:val="auto"/>
          <w:highlight w:val="none"/>
        </w:rPr>
        <w:t>年度</w:t>
      </w:r>
      <w:r>
        <w:rPr>
          <w:color w:val="auto"/>
          <w:highlight w:val="none"/>
        </w:rPr>
        <w:t>：2023年</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bookmarkStart w:id="109" w:name="_Toc12467"/>
      <w:bookmarkStart w:id="110" w:name="_Toc22359"/>
      <w:bookmarkStart w:id="111" w:name="_Toc957"/>
      <w:bookmarkStart w:id="112" w:name="_Toc4246"/>
      <w:bookmarkStart w:id="113" w:name="_Toc28219"/>
      <w:bookmarkStart w:id="114" w:name="_Toc15066"/>
      <w:bookmarkStart w:id="115" w:name="_Toc10588"/>
      <w:bookmarkStart w:id="116" w:name="_Toc24868"/>
      <w:r>
        <w:rPr>
          <w:b/>
          <w:bCs/>
          <w:color w:val="auto"/>
          <w:sz w:val="24"/>
          <w:szCs w:val="28"/>
          <w:highlight w:val="none"/>
        </w:rPr>
        <w:t>（二）资金投入和使用情况</w:t>
      </w:r>
      <w:bookmarkEnd w:id="109"/>
      <w:bookmarkEnd w:id="110"/>
      <w:bookmarkEnd w:id="111"/>
      <w:bookmarkEnd w:id="112"/>
      <w:bookmarkEnd w:id="113"/>
      <w:bookmarkEnd w:id="114"/>
      <w:bookmarkEnd w:id="115"/>
      <w:bookmarkEnd w:id="116"/>
    </w:p>
    <w:p>
      <w:pPr>
        <w:keepNext/>
        <w:keepLines/>
        <w:ind w:firstLine="420"/>
        <w:rPr>
          <w:color w:val="auto"/>
          <w:highlight w:val="none"/>
        </w:rPr>
      </w:pPr>
      <w:r>
        <w:rPr>
          <w:color w:val="auto"/>
          <w:highlight w:val="none"/>
        </w:rPr>
        <w:t>该项目总投资为1</w:t>
      </w:r>
      <w:r>
        <w:rPr>
          <w:rFonts w:hint="eastAsia"/>
          <w:color w:val="auto"/>
          <w:highlight w:val="none"/>
          <w:lang w:eastAsia="zh-CN"/>
        </w:rPr>
        <w:t>，</w:t>
      </w:r>
      <w:r>
        <w:rPr>
          <w:color w:val="auto"/>
          <w:highlight w:val="none"/>
        </w:rPr>
        <w:t>800万元，资金来源为2023年城乡义务教育补助经费-校舍安全保障资金。截至2023年12月31日，实际到位资金1</w:t>
      </w:r>
      <w:r>
        <w:rPr>
          <w:rFonts w:hint="eastAsia"/>
          <w:color w:val="auto"/>
          <w:highlight w:val="none"/>
          <w:lang w:eastAsia="zh-CN"/>
        </w:rPr>
        <w:t>，</w:t>
      </w:r>
      <w:r>
        <w:rPr>
          <w:color w:val="auto"/>
          <w:highlight w:val="none"/>
        </w:rPr>
        <w:t>800万元，资金到位率为100%。实际支出资金为1</w:t>
      </w:r>
      <w:r>
        <w:rPr>
          <w:rFonts w:hint="eastAsia"/>
          <w:color w:val="auto"/>
          <w:highlight w:val="none"/>
          <w:lang w:eastAsia="zh-CN"/>
        </w:rPr>
        <w:t>，</w:t>
      </w:r>
      <w:r>
        <w:rPr>
          <w:color w:val="auto"/>
          <w:highlight w:val="none"/>
        </w:rPr>
        <w:t>261.99万元，预算资金执行率为70.11%。</w:t>
      </w:r>
    </w:p>
    <w:p>
      <w:pPr>
        <w:keepNext/>
        <w:keepLines/>
        <w:spacing w:line="240" w:lineRule="auto"/>
        <w:ind w:firstLine="0" w:firstLineChars="0"/>
        <w:jc w:val="center"/>
        <w:rPr>
          <w:b/>
          <w:bCs/>
          <w:color w:val="auto"/>
          <w:highlight w:val="none"/>
        </w:rPr>
      </w:pPr>
      <w:r>
        <w:rPr>
          <w:b/>
          <w:bCs/>
          <w:color w:val="auto"/>
          <w:highlight w:val="none"/>
        </w:rPr>
        <w:t xml:space="preserve">表 </w:t>
      </w:r>
      <w:r>
        <w:rPr>
          <w:b/>
          <w:bCs/>
          <w:color w:val="auto"/>
          <w:highlight w:val="none"/>
        </w:rPr>
        <w:fldChar w:fldCharType="begin"/>
      </w:r>
      <w:r>
        <w:rPr>
          <w:b/>
          <w:bCs/>
          <w:color w:val="auto"/>
          <w:highlight w:val="none"/>
        </w:rPr>
        <w:instrText xml:space="preserve"> SEQ 表 \* ARABIC </w:instrText>
      </w:r>
      <w:r>
        <w:rPr>
          <w:b/>
          <w:bCs/>
          <w:color w:val="auto"/>
          <w:highlight w:val="none"/>
        </w:rPr>
        <w:fldChar w:fldCharType="separate"/>
      </w:r>
      <w:r>
        <w:rPr>
          <w:b/>
          <w:bCs/>
          <w:color w:val="auto"/>
          <w:highlight w:val="none"/>
        </w:rPr>
        <w:t>1</w:t>
      </w:r>
      <w:r>
        <w:rPr>
          <w:b/>
          <w:bCs/>
          <w:color w:val="auto"/>
          <w:highlight w:val="none"/>
        </w:rPr>
        <w:fldChar w:fldCharType="end"/>
      </w:r>
      <w:r>
        <w:rPr>
          <w:b/>
          <w:bCs/>
          <w:color w:val="auto"/>
          <w:highlight w:val="none"/>
        </w:rPr>
        <w:t>-1喀什地区巴楚县2023年城乡义务教育农村校舍安全保障长效机制项目（第一批）资金支付明细表</w:t>
      </w:r>
    </w:p>
    <w:p>
      <w:pPr>
        <w:keepNext/>
        <w:keepLines/>
        <w:spacing w:line="240" w:lineRule="auto"/>
        <w:ind w:firstLine="0" w:firstLineChars="0"/>
        <w:jc w:val="right"/>
        <w:rPr>
          <w:color w:val="auto"/>
          <w:highlight w:val="none"/>
        </w:rPr>
      </w:pPr>
      <w:r>
        <w:rPr>
          <w:color w:val="auto"/>
          <w:highlight w:val="none"/>
        </w:rPr>
        <w:t>单位：万元</w:t>
      </w:r>
    </w:p>
    <w:tbl>
      <w:tblPr>
        <w:tblStyle w:val="19"/>
        <w:tblW w:w="8403" w:type="dxa"/>
        <w:tblInd w:w="0" w:type="dxa"/>
        <w:tblLayout w:type="fixed"/>
        <w:tblCellMar>
          <w:top w:w="0" w:type="dxa"/>
          <w:left w:w="51" w:type="dxa"/>
          <w:bottom w:w="0" w:type="dxa"/>
          <w:right w:w="51" w:type="dxa"/>
        </w:tblCellMar>
      </w:tblPr>
      <w:tblGrid>
        <w:gridCol w:w="433"/>
        <w:gridCol w:w="1133"/>
        <w:gridCol w:w="943"/>
        <w:gridCol w:w="943"/>
        <w:gridCol w:w="2059"/>
        <w:gridCol w:w="876"/>
        <w:gridCol w:w="1029"/>
        <w:gridCol w:w="987"/>
      </w:tblGrid>
      <w:tr>
        <w:tblPrEx>
          <w:tblCellMar>
            <w:top w:w="0" w:type="dxa"/>
            <w:left w:w="51" w:type="dxa"/>
            <w:bottom w:w="0" w:type="dxa"/>
            <w:right w:w="51" w:type="dxa"/>
          </w:tblCellMar>
        </w:tblPrEx>
        <w:trPr>
          <w:trHeight w:val="350" w:hRule="atLeast"/>
          <w:tblHeader/>
        </w:trPr>
        <w:tc>
          <w:tcPr>
            <w:tcW w:w="4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b/>
                <w:bCs/>
                <w:color w:val="auto"/>
                <w:sz w:val="20"/>
                <w:szCs w:val="20"/>
                <w:highlight w:val="none"/>
              </w:rPr>
            </w:pPr>
            <w:r>
              <w:rPr>
                <w:b/>
                <w:bCs/>
                <w:color w:val="auto"/>
                <w:sz w:val="20"/>
                <w:szCs w:val="20"/>
                <w:highlight w:val="none"/>
              </w:rPr>
              <w:t>序号</w:t>
            </w:r>
          </w:p>
        </w:tc>
        <w:tc>
          <w:tcPr>
            <w:tcW w:w="11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b/>
                <w:bCs/>
                <w:color w:val="auto"/>
                <w:sz w:val="20"/>
                <w:szCs w:val="20"/>
                <w:highlight w:val="none"/>
              </w:rPr>
            </w:pPr>
            <w:r>
              <w:rPr>
                <w:b/>
                <w:bCs/>
                <w:color w:val="auto"/>
                <w:sz w:val="20"/>
                <w:szCs w:val="20"/>
                <w:highlight w:val="none"/>
              </w:rPr>
              <w:t>项目名称</w:t>
            </w:r>
          </w:p>
        </w:tc>
        <w:tc>
          <w:tcPr>
            <w:tcW w:w="9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b/>
                <w:bCs/>
                <w:color w:val="auto"/>
                <w:sz w:val="20"/>
                <w:szCs w:val="20"/>
                <w:highlight w:val="none"/>
              </w:rPr>
            </w:pPr>
            <w:r>
              <w:rPr>
                <w:b/>
                <w:bCs/>
                <w:color w:val="auto"/>
                <w:sz w:val="20"/>
                <w:szCs w:val="20"/>
                <w:highlight w:val="none"/>
              </w:rPr>
              <w:t>预算资金</w:t>
            </w:r>
          </w:p>
        </w:tc>
        <w:tc>
          <w:tcPr>
            <w:tcW w:w="9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b/>
                <w:bCs/>
                <w:color w:val="auto"/>
                <w:sz w:val="20"/>
                <w:szCs w:val="20"/>
                <w:highlight w:val="none"/>
              </w:rPr>
            </w:pPr>
            <w:r>
              <w:rPr>
                <w:b/>
                <w:bCs/>
                <w:color w:val="auto"/>
                <w:sz w:val="20"/>
                <w:szCs w:val="20"/>
                <w:highlight w:val="none"/>
              </w:rPr>
              <w:t>费用类型</w:t>
            </w:r>
          </w:p>
        </w:tc>
        <w:tc>
          <w:tcPr>
            <w:tcW w:w="20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b/>
                <w:bCs/>
                <w:color w:val="auto"/>
                <w:sz w:val="20"/>
                <w:szCs w:val="20"/>
                <w:highlight w:val="none"/>
              </w:rPr>
            </w:pPr>
            <w:r>
              <w:rPr>
                <w:b/>
                <w:bCs/>
                <w:color w:val="auto"/>
                <w:sz w:val="20"/>
                <w:szCs w:val="20"/>
                <w:highlight w:val="none"/>
              </w:rPr>
              <w:t>公司名称</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b/>
                <w:bCs/>
                <w:color w:val="auto"/>
                <w:sz w:val="20"/>
                <w:szCs w:val="20"/>
                <w:highlight w:val="none"/>
              </w:rPr>
            </w:pPr>
            <w:r>
              <w:rPr>
                <w:b/>
                <w:bCs/>
                <w:color w:val="auto"/>
                <w:sz w:val="20"/>
                <w:szCs w:val="20"/>
                <w:highlight w:val="none"/>
              </w:rPr>
              <w:t>合同价</w:t>
            </w:r>
          </w:p>
        </w:tc>
        <w:tc>
          <w:tcPr>
            <w:tcW w:w="2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b/>
                <w:bCs/>
                <w:color w:val="auto"/>
                <w:sz w:val="20"/>
                <w:szCs w:val="20"/>
                <w:highlight w:val="none"/>
              </w:rPr>
            </w:pPr>
            <w:r>
              <w:rPr>
                <w:b/>
                <w:bCs/>
                <w:color w:val="auto"/>
                <w:sz w:val="20"/>
                <w:szCs w:val="20"/>
                <w:highlight w:val="none"/>
              </w:rPr>
              <w:t>资金支付情况</w:t>
            </w:r>
          </w:p>
        </w:tc>
      </w:tr>
      <w:tr>
        <w:tblPrEx>
          <w:tblCellMar>
            <w:top w:w="0" w:type="dxa"/>
            <w:left w:w="51" w:type="dxa"/>
            <w:bottom w:w="0" w:type="dxa"/>
            <w:right w:w="51" w:type="dxa"/>
          </w:tblCellMar>
        </w:tblPrEx>
        <w:trPr>
          <w:trHeight w:val="262" w:hRule="atLeast"/>
          <w:tblHeader/>
        </w:trPr>
        <w:tc>
          <w:tcPr>
            <w:tcW w:w="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b/>
                <w:bCs/>
                <w:color w:val="auto"/>
                <w:sz w:val="20"/>
                <w:szCs w:val="20"/>
                <w:highlight w:val="none"/>
              </w:rPr>
            </w:pPr>
          </w:p>
        </w:tc>
        <w:tc>
          <w:tcPr>
            <w:tcW w:w="11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b/>
                <w:bCs/>
                <w:color w:val="auto"/>
                <w:sz w:val="20"/>
                <w:szCs w:val="20"/>
                <w:highlight w:val="none"/>
              </w:rPr>
            </w:pPr>
          </w:p>
        </w:tc>
        <w:tc>
          <w:tcPr>
            <w:tcW w:w="9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b/>
                <w:bCs/>
                <w:color w:val="auto"/>
                <w:sz w:val="20"/>
                <w:szCs w:val="20"/>
                <w:highlight w:val="none"/>
              </w:rPr>
            </w:pPr>
          </w:p>
        </w:tc>
        <w:tc>
          <w:tcPr>
            <w:tcW w:w="9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b/>
                <w:bCs/>
                <w:color w:val="auto"/>
                <w:sz w:val="20"/>
                <w:szCs w:val="20"/>
                <w:highlight w:val="none"/>
              </w:rPr>
            </w:pPr>
          </w:p>
        </w:tc>
        <w:tc>
          <w:tcPr>
            <w:tcW w:w="20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b/>
                <w:bCs/>
                <w:color w:val="auto"/>
                <w:sz w:val="20"/>
                <w:szCs w:val="20"/>
                <w:highlight w:val="none"/>
              </w:rPr>
            </w:pP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b/>
                <w:bCs/>
                <w:color w:val="auto"/>
                <w:sz w:val="20"/>
                <w:szCs w:val="20"/>
                <w:highlight w:val="none"/>
              </w:rPr>
            </w:pP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b/>
                <w:bCs/>
                <w:color w:val="auto"/>
                <w:sz w:val="20"/>
                <w:szCs w:val="20"/>
                <w:highlight w:val="none"/>
              </w:rPr>
            </w:pPr>
            <w:r>
              <w:rPr>
                <w:b/>
                <w:bCs/>
                <w:color w:val="auto"/>
                <w:sz w:val="20"/>
                <w:szCs w:val="20"/>
                <w:highlight w:val="none"/>
              </w:rPr>
              <w:t>实际支出</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b/>
                <w:bCs/>
                <w:color w:val="auto"/>
                <w:sz w:val="20"/>
                <w:szCs w:val="20"/>
                <w:highlight w:val="none"/>
              </w:rPr>
            </w:pPr>
            <w:r>
              <w:rPr>
                <w:b/>
                <w:bCs/>
                <w:color w:val="auto"/>
                <w:sz w:val="20"/>
                <w:szCs w:val="20"/>
                <w:highlight w:val="none"/>
              </w:rPr>
              <w:t>支付比例</w:t>
            </w:r>
          </w:p>
        </w:tc>
      </w:tr>
      <w:tr>
        <w:tblPrEx>
          <w:tblCellMar>
            <w:top w:w="0" w:type="dxa"/>
            <w:left w:w="51" w:type="dxa"/>
            <w:bottom w:w="0" w:type="dxa"/>
            <w:right w:w="51" w:type="dxa"/>
          </w:tblCellMar>
        </w:tblPrEx>
        <w:trPr>
          <w:trHeight w:val="397" w:hRule="atLeast"/>
        </w:trPr>
        <w:tc>
          <w:tcPr>
            <w:tcW w:w="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r>
              <w:rPr>
                <w:color w:val="auto"/>
                <w:sz w:val="20"/>
                <w:szCs w:val="20"/>
                <w:highlight w:val="none"/>
              </w:rPr>
              <w:t>1</w:t>
            </w:r>
          </w:p>
        </w:tc>
        <w:tc>
          <w:tcPr>
            <w:tcW w:w="11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r>
              <w:rPr>
                <w:color w:val="auto"/>
                <w:sz w:val="20"/>
                <w:szCs w:val="20"/>
                <w:highlight w:val="none"/>
              </w:rPr>
              <w:t>喀什地区巴楚县2023年城乡义务教育农村校舍安全保障长效机制项目（第一批）</w:t>
            </w:r>
          </w:p>
        </w:tc>
        <w:tc>
          <w:tcPr>
            <w:tcW w:w="9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rFonts w:hint="eastAsia" w:eastAsiaTheme="minorEastAsia"/>
                <w:color w:val="auto"/>
                <w:sz w:val="20"/>
                <w:szCs w:val="20"/>
                <w:highlight w:val="none"/>
                <w:lang w:eastAsia="zh-CN"/>
              </w:rPr>
            </w:pPr>
            <w:r>
              <w:rPr>
                <w:color w:val="auto"/>
                <w:sz w:val="20"/>
                <w:szCs w:val="20"/>
                <w:highlight w:val="none"/>
              </w:rPr>
              <w:t>1</w:t>
            </w:r>
            <w:r>
              <w:rPr>
                <w:rFonts w:hint="eastAsia"/>
                <w:color w:val="auto"/>
                <w:sz w:val="20"/>
                <w:szCs w:val="20"/>
                <w:highlight w:val="none"/>
                <w:lang w:eastAsia="zh-CN"/>
              </w:rPr>
              <w:t>，</w:t>
            </w:r>
            <w:r>
              <w:rPr>
                <w:color w:val="auto"/>
                <w:sz w:val="20"/>
                <w:szCs w:val="20"/>
                <w:highlight w:val="none"/>
              </w:rPr>
              <w:t>800</w:t>
            </w: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r>
              <w:rPr>
                <w:color w:val="auto"/>
                <w:sz w:val="20"/>
                <w:szCs w:val="20"/>
                <w:highlight w:val="none"/>
              </w:rPr>
              <w:t>工程款</w:t>
            </w:r>
          </w:p>
        </w:tc>
        <w:tc>
          <w:tcPr>
            <w:tcW w:w="2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r>
              <w:rPr>
                <w:color w:val="auto"/>
                <w:sz w:val="20"/>
                <w:szCs w:val="20"/>
                <w:highlight w:val="none"/>
              </w:rPr>
              <w:t>新疆水夫建筑工程有限公司</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r>
              <w:rPr>
                <w:color w:val="auto"/>
                <w:sz w:val="20"/>
                <w:szCs w:val="20"/>
                <w:highlight w:val="none"/>
              </w:rPr>
              <w:t>1</w:t>
            </w:r>
            <w:r>
              <w:rPr>
                <w:rFonts w:hint="eastAsia"/>
                <w:color w:val="auto"/>
                <w:sz w:val="20"/>
                <w:szCs w:val="20"/>
                <w:highlight w:val="none"/>
                <w:lang w:eastAsia="zh-CN"/>
              </w:rPr>
              <w:t>，</w:t>
            </w:r>
            <w:r>
              <w:rPr>
                <w:color w:val="auto"/>
                <w:sz w:val="20"/>
                <w:szCs w:val="20"/>
                <w:highlight w:val="none"/>
              </w:rPr>
              <w:t>478.17</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r>
              <w:rPr>
                <w:color w:val="auto"/>
                <w:sz w:val="20"/>
                <w:szCs w:val="20"/>
                <w:highlight w:val="none"/>
              </w:rPr>
              <w:t>1</w:t>
            </w:r>
            <w:r>
              <w:rPr>
                <w:rFonts w:hint="eastAsia"/>
                <w:color w:val="auto"/>
                <w:sz w:val="20"/>
                <w:szCs w:val="20"/>
                <w:highlight w:val="none"/>
                <w:lang w:eastAsia="zh-CN"/>
              </w:rPr>
              <w:t>，</w:t>
            </w:r>
            <w:r>
              <w:rPr>
                <w:color w:val="auto"/>
                <w:sz w:val="20"/>
                <w:szCs w:val="20"/>
                <w:highlight w:val="none"/>
              </w:rPr>
              <w:t>182.53</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r>
              <w:rPr>
                <w:color w:val="auto"/>
                <w:sz w:val="20"/>
                <w:szCs w:val="20"/>
                <w:highlight w:val="none"/>
              </w:rPr>
              <w:t>80%</w:t>
            </w:r>
          </w:p>
        </w:tc>
      </w:tr>
      <w:tr>
        <w:tblPrEx>
          <w:tblCellMar>
            <w:top w:w="0" w:type="dxa"/>
            <w:left w:w="51" w:type="dxa"/>
            <w:bottom w:w="0" w:type="dxa"/>
            <w:right w:w="51" w:type="dxa"/>
          </w:tblCellMar>
        </w:tblPrEx>
        <w:trPr>
          <w:trHeight w:val="397" w:hRule="atLeast"/>
        </w:trPr>
        <w:tc>
          <w:tcPr>
            <w:tcW w:w="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r>
              <w:rPr>
                <w:color w:val="auto"/>
                <w:sz w:val="20"/>
                <w:szCs w:val="20"/>
                <w:highlight w:val="none"/>
              </w:rPr>
              <w:t>2</w:t>
            </w:r>
          </w:p>
        </w:tc>
        <w:tc>
          <w:tcPr>
            <w:tcW w:w="11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p>
        </w:tc>
        <w:tc>
          <w:tcPr>
            <w:tcW w:w="9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r>
              <w:rPr>
                <w:color w:val="auto"/>
                <w:sz w:val="20"/>
                <w:szCs w:val="20"/>
                <w:highlight w:val="none"/>
              </w:rPr>
              <w:t>监理费</w:t>
            </w:r>
          </w:p>
        </w:tc>
        <w:tc>
          <w:tcPr>
            <w:tcW w:w="2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r>
              <w:rPr>
                <w:color w:val="auto"/>
                <w:sz w:val="20"/>
                <w:szCs w:val="20"/>
                <w:highlight w:val="none"/>
              </w:rPr>
              <w:t>新疆建院工程监理咨询有限公司</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r>
              <w:rPr>
                <w:color w:val="auto"/>
                <w:sz w:val="20"/>
                <w:szCs w:val="20"/>
                <w:highlight w:val="none"/>
              </w:rPr>
              <w:t>21.88</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rFonts w:hint="eastAsia" w:eastAsiaTheme="minorEastAsia"/>
                <w:color w:val="auto"/>
                <w:sz w:val="20"/>
                <w:szCs w:val="20"/>
                <w:highlight w:val="none"/>
                <w:lang w:eastAsia="zh-CN"/>
              </w:rPr>
            </w:pPr>
            <w:r>
              <w:rPr>
                <w:color w:val="auto"/>
                <w:sz w:val="20"/>
                <w:szCs w:val="20"/>
                <w:highlight w:val="none"/>
              </w:rPr>
              <w:t>17</w:t>
            </w:r>
            <w:r>
              <w:rPr>
                <w:rFonts w:hint="eastAsia"/>
                <w:color w:val="auto"/>
                <w:sz w:val="20"/>
                <w:szCs w:val="20"/>
                <w:highlight w:val="none"/>
                <w:lang w:eastAsia="zh-CN"/>
              </w:rPr>
              <w:t>.5</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r>
              <w:rPr>
                <w:color w:val="auto"/>
                <w:sz w:val="20"/>
                <w:szCs w:val="20"/>
                <w:highlight w:val="none"/>
              </w:rPr>
              <w:t>80%</w:t>
            </w:r>
          </w:p>
        </w:tc>
      </w:tr>
      <w:tr>
        <w:tblPrEx>
          <w:tblCellMar>
            <w:top w:w="0" w:type="dxa"/>
            <w:left w:w="51" w:type="dxa"/>
            <w:bottom w:w="0" w:type="dxa"/>
            <w:right w:w="51" w:type="dxa"/>
          </w:tblCellMar>
        </w:tblPrEx>
        <w:trPr>
          <w:trHeight w:val="397" w:hRule="atLeast"/>
        </w:trPr>
        <w:tc>
          <w:tcPr>
            <w:tcW w:w="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r>
              <w:rPr>
                <w:color w:val="auto"/>
                <w:sz w:val="20"/>
                <w:szCs w:val="20"/>
                <w:highlight w:val="none"/>
              </w:rPr>
              <w:t>3</w:t>
            </w:r>
          </w:p>
        </w:tc>
        <w:tc>
          <w:tcPr>
            <w:tcW w:w="11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p>
        </w:tc>
        <w:tc>
          <w:tcPr>
            <w:tcW w:w="9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r>
              <w:rPr>
                <w:color w:val="auto"/>
                <w:sz w:val="20"/>
                <w:szCs w:val="20"/>
                <w:highlight w:val="none"/>
              </w:rPr>
              <w:t>初步设计费</w:t>
            </w:r>
          </w:p>
        </w:tc>
        <w:tc>
          <w:tcPr>
            <w:tcW w:w="2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r>
              <w:rPr>
                <w:color w:val="auto"/>
                <w:sz w:val="20"/>
                <w:szCs w:val="20"/>
                <w:highlight w:val="none"/>
              </w:rPr>
              <w:t>上海传承博华建筑规划设计有限公司</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rFonts w:hint="eastAsia" w:eastAsiaTheme="minorEastAsia"/>
                <w:color w:val="auto"/>
                <w:sz w:val="20"/>
                <w:szCs w:val="20"/>
                <w:highlight w:val="none"/>
                <w:lang w:eastAsia="zh-CN"/>
              </w:rPr>
            </w:pPr>
            <w:r>
              <w:rPr>
                <w:color w:val="auto"/>
                <w:sz w:val="20"/>
                <w:szCs w:val="20"/>
                <w:highlight w:val="none"/>
              </w:rPr>
              <w:t>9</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rFonts w:hint="eastAsia" w:eastAsiaTheme="minorEastAsia"/>
                <w:color w:val="auto"/>
                <w:sz w:val="20"/>
                <w:szCs w:val="20"/>
                <w:highlight w:val="none"/>
                <w:lang w:eastAsia="zh-CN"/>
              </w:rPr>
            </w:pPr>
            <w:r>
              <w:rPr>
                <w:color w:val="auto"/>
                <w:sz w:val="20"/>
                <w:szCs w:val="20"/>
                <w:highlight w:val="none"/>
              </w:rPr>
              <w:t>9</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r>
              <w:rPr>
                <w:color w:val="auto"/>
                <w:sz w:val="20"/>
                <w:szCs w:val="20"/>
                <w:highlight w:val="none"/>
              </w:rPr>
              <w:t>100%</w:t>
            </w:r>
          </w:p>
        </w:tc>
      </w:tr>
      <w:tr>
        <w:tblPrEx>
          <w:tblCellMar>
            <w:top w:w="0" w:type="dxa"/>
            <w:left w:w="51" w:type="dxa"/>
            <w:bottom w:w="0" w:type="dxa"/>
            <w:right w:w="51" w:type="dxa"/>
          </w:tblCellMar>
        </w:tblPrEx>
        <w:trPr>
          <w:trHeight w:val="397" w:hRule="atLeast"/>
        </w:trPr>
        <w:tc>
          <w:tcPr>
            <w:tcW w:w="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r>
              <w:rPr>
                <w:color w:val="auto"/>
                <w:sz w:val="20"/>
                <w:szCs w:val="20"/>
                <w:highlight w:val="none"/>
              </w:rPr>
              <w:t>4</w:t>
            </w:r>
          </w:p>
        </w:tc>
        <w:tc>
          <w:tcPr>
            <w:tcW w:w="11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p>
        </w:tc>
        <w:tc>
          <w:tcPr>
            <w:tcW w:w="9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r>
              <w:rPr>
                <w:color w:val="auto"/>
                <w:sz w:val="20"/>
                <w:szCs w:val="20"/>
                <w:highlight w:val="none"/>
              </w:rPr>
              <w:t>设计费</w:t>
            </w:r>
          </w:p>
        </w:tc>
        <w:tc>
          <w:tcPr>
            <w:tcW w:w="2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r>
              <w:rPr>
                <w:color w:val="auto"/>
                <w:sz w:val="20"/>
                <w:szCs w:val="20"/>
                <w:highlight w:val="none"/>
              </w:rPr>
              <w:t>上海传承博华建筑规划设计有限公司</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rFonts w:hint="eastAsia" w:eastAsiaTheme="minorEastAsia"/>
                <w:color w:val="auto"/>
                <w:sz w:val="20"/>
                <w:szCs w:val="20"/>
                <w:highlight w:val="none"/>
                <w:lang w:eastAsia="zh-CN"/>
              </w:rPr>
            </w:pPr>
            <w:r>
              <w:rPr>
                <w:color w:val="auto"/>
                <w:sz w:val="20"/>
                <w:szCs w:val="20"/>
                <w:highlight w:val="none"/>
              </w:rPr>
              <w:t>36</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rFonts w:hint="eastAsia" w:eastAsiaTheme="minorEastAsia"/>
                <w:color w:val="auto"/>
                <w:sz w:val="20"/>
                <w:szCs w:val="20"/>
                <w:highlight w:val="none"/>
                <w:lang w:eastAsia="zh-CN"/>
              </w:rPr>
            </w:pPr>
            <w:r>
              <w:rPr>
                <w:color w:val="auto"/>
                <w:sz w:val="20"/>
                <w:szCs w:val="20"/>
                <w:highlight w:val="none"/>
              </w:rPr>
              <w:t>36</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r>
              <w:rPr>
                <w:color w:val="auto"/>
                <w:sz w:val="20"/>
                <w:szCs w:val="20"/>
                <w:highlight w:val="none"/>
              </w:rPr>
              <w:t>100%</w:t>
            </w:r>
          </w:p>
        </w:tc>
      </w:tr>
      <w:tr>
        <w:tblPrEx>
          <w:tblCellMar>
            <w:top w:w="0" w:type="dxa"/>
            <w:left w:w="51" w:type="dxa"/>
            <w:bottom w:w="0" w:type="dxa"/>
            <w:right w:w="51" w:type="dxa"/>
          </w:tblCellMar>
        </w:tblPrEx>
        <w:trPr>
          <w:trHeight w:val="397" w:hRule="atLeast"/>
        </w:trPr>
        <w:tc>
          <w:tcPr>
            <w:tcW w:w="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r>
              <w:rPr>
                <w:color w:val="auto"/>
                <w:sz w:val="20"/>
                <w:szCs w:val="20"/>
                <w:highlight w:val="none"/>
              </w:rPr>
              <w:t>5</w:t>
            </w:r>
          </w:p>
        </w:tc>
        <w:tc>
          <w:tcPr>
            <w:tcW w:w="11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p>
        </w:tc>
        <w:tc>
          <w:tcPr>
            <w:tcW w:w="9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r>
              <w:rPr>
                <w:color w:val="auto"/>
                <w:sz w:val="20"/>
                <w:szCs w:val="20"/>
                <w:highlight w:val="none"/>
              </w:rPr>
              <w:t>可研费</w:t>
            </w:r>
          </w:p>
        </w:tc>
        <w:tc>
          <w:tcPr>
            <w:tcW w:w="2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r>
              <w:rPr>
                <w:color w:val="auto"/>
                <w:sz w:val="20"/>
                <w:szCs w:val="20"/>
                <w:highlight w:val="none"/>
              </w:rPr>
              <w:t>中晏建设集团有限公司</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rFonts w:hint="eastAsia" w:eastAsiaTheme="minorEastAsia"/>
                <w:color w:val="auto"/>
                <w:sz w:val="20"/>
                <w:szCs w:val="20"/>
                <w:highlight w:val="none"/>
                <w:lang w:eastAsia="zh-CN"/>
              </w:rPr>
            </w:pPr>
            <w:r>
              <w:rPr>
                <w:color w:val="auto"/>
                <w:sz w:val="20"/>
                <w:szCs w:val="20"/>
                <w:highlight w:val="none"/>
              </w:rPr>
              <w:t>9</w:t>
            </w:r>
            <w:r>
              <w:rPr>
                <w:rFonts w:hint="eastAsia"/>
                <w:color w:val="auto"/>
                <w:sz w:val="20"/>
                <w:szCs w:val="20"/>
                <w:highlight w:val="none"/>
                <w:lang w:eastAsia="zh-CN"/>
              </w:rPr>
              <w:t>.5</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rFonts w:hint="eastAsia" w:eastAsiaTheme="minorEastAsia"/>
                <w:color w:val="auto"/>
                <w:sz w:val="20"/>
                <w:szCs w:val="20"/>
                <w:highlight w:val="none"/>
                <w:lang w:eastAsia="zh-CN"/>
              </w:rPr>
            </w:pPr>
            <w:r>
              <w:rPr>
                <w:color w:val="auto"/>
                <w:sz w:val="20"/>
                <w:szCs w:val="20"/>
                <w:highlight w:val="none"/>
              </w:rPr>
              <w:t>9</w:t>
            </w:r>
            <w:r>
              <w:rPr>
                <w:rFonts w:hint="eastAsia"/>
                <w:color w:val="auto"/>
                <w:sz w:val="20"/>
                <w:szCs w:val="20"/>
                <w:highlight w:val="none"/>
                <w:lang w:eastAsia="zh-CN"/>
              </w:rPr>
              <w:t>.5</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r>
              <w:rPr>
                <w:color w:val="auto"/>
                <w:sz w:val="20"/>
                <w:szCs w:val="20"/>
                <w:highlight w:val="none"/>
              </w:rPr>
              <w:t>100%</w:t>
            </w:r>
          </w:p>
        </w:tc>
      </w:tr>
      <w:tr>
        <w:tblPrEx>
          <w:tblCellMar>
            <w:top w:w="0" w:type="dxa"/>
            <w:left w:w="51" w:type="dxa"/>
            <w:bottom w:w="0" w:type="dxa"/>
            <w:right w:w="51" w:type="dxa"/>
          </w:tblCellMar>
        </w:tblPrEx>
        <w:trPr>
          <w:trHeight w:val="397" w:hRule="atLeast"/>
        </w:trPr>
        <w:tc>
          <w:tcPr>
            <w:tcW w:w="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r>
              <w:rPr>
                <w:color w:val="auto"/>
                <w:sz w:val="20"/>
                <w:szCs w:val="20"/>
                <w:highlight w:val="none"/>
              </w:rPr>
              <w:t>6</w:t>
            </w:r>
          </w:p>
        </w:tc>
        <w:tc>
          <w:tcPr>
            <w:tcW w:w="11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p>
        </w:tc>
        <w:tc>
          <w:tcPr>
            <w:tcW w:w="9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r>
              <w:rPr>
                <w:color w:val="auto"/>
                <w:sz w:val="20"/>
                <w:szCs w:val="20"/>
                <w:highlight w:val="none"/>
              </w:rPr>
              <w:t>地勘费</w:t>
            </w:r>
          </w:p>
        </w:tc>
        <w:tc>
          <w:tcPr>
            <w:tcW w:w="2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r>
              <w:rPr>
                <w:color w:val="auto"/>
                <w:sz w:val="20"/>
                <w:szCs w:val="20"/>
                <w:highlight w:val="none"/>
              </w:rPr>
              <w:t>新疆时代岩土工程勘察设计院有限公司</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rFonts w:hint="eastAsia" w:eastAsiaTheme="minorEastAsia"/>
                <w:color w:val="auto"/>
                <w:sz w:val="20"/>
                <w:szCs w:val="20"/>
                <w:highlight w:val="none"/>
                <w:lang w:eastAsia="zh-CN"/>
              </w:rPr>
            </w:pPr>
            <w:r>
              <w:rPr>
                <w:color w:val="auto"/>
                <w:sz w:val="20"/>
                <w:szCs w:val="20"/>
                <w:highlight w:val="none"/>
              </w:rPr>
              <w:t>3</w:t>
            </w:r>
            <w:r>
              <w:rPr>
                <w:rFonts w:hint="eastAsia"/>
                <w:color w:val="auto"/>
                <w:sz w:val="20"/>
                <w:szCs w:val="20"/>
                <w:highlight w:val="none"/>
                <w:lang w:eastAsia="zh-CN"/>
              </w:rPr>
              <w:t>.6</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rFonts w:hint="eastAsia" w:eastAsiaTheme="minorEastAsia"/>
                <w:color w:val="auto"/>
                <w:sz w:val="20"/>
                <w:szCs w:val="20"/>
                <w:highlight w:val="none"/>
                <w:lang w:eastAsia="zh-CN"/>
              </w:rPr>
            </w:pPr>
            <w:r>
              <w:rPr>
                <w:color w:val="auto"/>
                <w:sz w:val="20"/>
                <w:szCs w:val="20"/>
                <w:highlight w:val="none"/>
              </w:rPr>
              <w:t>3</w:t>
            </w:r>
            <w:r>
              <w:rPr>
                <w:rFonts w:hint="eastAsia"/>
                <w:color w:val="auto"/>
                <w:sz w:val="20"/>
                <w:szCs w:val="20"/>
                <w:highlight w:val="none"/>
                <w:lang w:eastAsia="zh-CN"/>
              </w:rPr>
              <w:t>.6</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r>
              <w:rPr>
                <w:color w:val="auto"/>
                <w:sz w:val="20"/>
                <w:szCs w:val="20"/>
                <w:highlight w:val="none"/>
              </w:rPr>
              <w:t>100%</w:t>
            </w:r>
          </w:p>
        </w:tc>
      </w:tr>
      <w:tr>
        <w:tblPrEx>
          <w:tblCellMar>
            <w:top w:w="0" w:type="dxa"/>
            <w:left w:w="51" w:type="dxa"/>
            <w:bottom w:w="0" w:type="dxa"/>
            <w:right w:w="51" w:type="dxa"/>
          </w:tblCellMar>
        </w:tblPrEx>
        <w:trPr>
          <w:trHeight w:val="397" w:hRule="atLeast"/>
        </w:trPr>
        <w:tc>
          <w:tcPr>
            <w:tcW w:w="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r>
              <w:rPr>
                <w:color w:val="auto"/>
                <w:sz w:val="20"/>
                <w:szCs w:val="20"/>
                <w:highlight w:val="none"/>
              </w:rPr>
              <w:t>7</w:t>
            </w:r>
          </w:p>
        </w:tc>
        <w:tc>
          <w:tcPr>
            <w:tcW w:w="11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p>
        </w:tc>
        <w:tc>
          <w:tcPr>
            <w:tcW w:w="9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r>
              <w:rPr>
                <w:color w:val="auto"/>
                <w:sz w:val="20"/>
                <w:szCs w:val="20"/>
                <w:highlight w:val="none"/>
              </w:rPr>
              <w:t>审计费</w:t>
            </w:r>
          </w:p>
        </w:tc>
        <w:tc>
          <w:tcPr>
            <w:tcW w:w="2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r>
              <w:rPr>
                <w:rFonts w:hint="eastAsia"/>
                <w:color w:val="auto"/>
                <w:sz w:val="20"/>
                <w:szCs w:val="20"/>
                <w:highlight w:val="none"/>
              </w:rPr>
              <w:t>永明项目管理有限公司</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r>
              <w:rPr>
                <w:color w:val="auto"/>
                <w:sz w:val="20"/>
                <w:szCs w:val="20"/>
                <w:highlight w:val="none"/>
              </w:rPr>
              <w:t>5.09</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rFonts w:hint="eastAsia" w:eastAsiaTheme="minorEastAsia"/>
                <w:color w:val="auto"/>
                <w:sz w:val="20"/>
                <w:szCs w:val="20"/>
                <w:highlight w:val="none"/>
                <w:lang w:eastAsia="zh-CN"/>
              </w:rPr>
            </w:pPr>
            <w:r>
              <w:rPr>
                <w:color w:val="auto"/>
                <w:sz w:val="20"/>
                <w:szCs w:val="20"/>
                <w:highlight w:val="none"/>
              </w:rPr>
              <w:t>0</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r>
              <w:rPr>
                <w:color w:val="auto"/>
                <w:sz w:val="20"/>
                <w:szCs w:val="20"/>
                <w:highlight w:val="none"/>
              </w:rPr>
              <w:t>0%</w:t>
            </w:r>
          </w:p>
        </w:tc>
      </w:tr>
      <w:tr>
        <w:tblPrEx>
          <w:tblCellMar>
            <w:top w:w="0" w:type="dxa"/>
            <w:left w:w="51" w:type="dxa"/>
            <w:bottom w:w="0" w:type="dxa"/>
            <w:right w:w="51" w:type="dxa"/>
          </w:tblCellMar>
        </w:tblPrEx>
        <w:trPr>
          <w:trHeight w:val="397" w:hRule="atLeast"/>
        </w:trPr>
        <w:tc>
          <w:tcPr>
            <w:tcW w:w="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r>
              <w:rPr>
                <w:color w:val="auto"/>
                <w:sz w:val="20"/>
                <w:szCs w:val="20"/>
                <w:highlight w:val="none"/>
              </w:rPr>
              <w:t>8</w:t>
            </w:r>
          </w:p>
        </w:tc>
        <w:tc>
          <w:tcPr>
            <w:tcW w:w="11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p>
        </w:tc>
        <w:tc>
          <w:tcPr>
            <w:tcW w:w="9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p>
        </w:tc>
        <w:tc>
          <w:tcPr>
            <w:tcW w:w="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r>
              <w:rPr>
                <w:color w:val="auto"/>
                <w:sz w:val="20"/>
                <w:szCs w:val="20"/>
                <w:highlight w:val="none"/>
              </w:rPr>
              <w:t>评审费</w:t>
            </w:r>
          </w:p>
        </w:tc>
        <w:tc>
          <w:tcPr>
            <w:tcW w:w="2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r>
              <w:rPr>
                <w:color w:val="auto"/>
                <w:sz w:val="20"/>
                <w:szCs w:val="20"/>
                <w:highlight w:val="none"/>
              </w:rPr>
              <w:t>新疆经纬线工程管理咨询有限公司</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r>
              <w:rPr>
                <w:color w:val="auto"/>
                <w:sz w:val="20"/>
                <w:szCs w:val="20"/>
                <w:highlight w:val="none"/>
              </w:rPr>
              <w:t>3.86</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r>
              <w:rPr>
                <w:color w:val="auto"/>
                <w:sz w:val="20"/>
                <w:szCs w:val="20"/>
                <w:highlight w:val="none"/>
              </w:rPr>
              <w:t>3.86</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r>
              <w:rPr>
                <w:color w:val="auto"/>
                <w:sz w:val="20"/>
                <w:szCs w:val="20"/>
                <w:highlight w:val="none"/>
              </w:rPr>
              <w:t>100%</w:t>
            </w:r>
          </w:p>
        </w:tc>
      </w:tr>
      <w:tr>
        <w:tblPrEx>
          <w:tblCellMar>
            <w:top w:w="0" w:type="dxa"/>
            <w:left w:w="51" w:type="dxa"/>
            <w:bottom w:w="0" w:type="dxa"/>
            <w:right w:w="51" w:type="dxa"/>
          </w:tblCellMar>
        </w:tblPrEx>
        <w:trPr>
          <w:trHeight w:val="397" w:hRule="atLeast"/>
        </w:trPr>
        <w:tc>
          <w:tcPr>
            <w:tcW w:w="551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r>
              <w:rPr>
                <w:color w:val="auto"/>
                <w:sz w:val="20"/>
                <w:szCs w:val="20"/>
                <w:highlight w:val="none"/>
              </w:rPr>
              <w:t>合计</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r>
              <w:rPr>
                <w:color w:val="auto"/>
                <w:sz w:val="20"/>
                <w:szCs w:val="20"/>
                <w:highlight w:val="none"/>
              </w:rPr>
              <w:t>1</w:t>
            </w:r>
            <w:r>
              <w:rPr>
                <w:rFonts w:hint="eastAsia"/>
                <w:color w:val="auto"/>
                <w:sz w:val="20"/>
                <w:szCs w:val="20"/>
                <w:highlight w:val="none"/>
                <w:lang w:eastAsia="zh-CN"/>
              </w:rPr>
              <w:t>，</w:t>
            </w:r>
            <w:r>
              <w:rPr>
                <w:color w:val="auto"/>
                <w:sz w:val="20"/>
                <w:szCs w:val="20"/>
                <w:highlight w:val="none"/>
              </w:rPr>
              <w:t>567.09</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r>
              <w:rPr>
                <w:color w:val="auto"/>
                <w:sz w:val="20"/>
                <w:szCs w:val="20"/>
                <w:highlight w:val="none"/>
              </w:rPr>
              <w:t>1</w:t>
            </w:r>
            <w:r>
              <w:rPr>
                <w:rFonts w:hint="eastAsia"/>
                <w:color w:val="auto"/>
                <w:sz w:val="20"/>
                <w:szCs w:val="20"/>
                <w:highlight w:val="none"/>
                <w:lang w:eastAsia="zh-CN"/>
              </w:rPr>
              <w:t>，</w:t>
            </w:r>
            <w:r>
              <w:rPr>
                <w:color w:val="auto"/>
                <w:sz w:val="20"/>
                <w:szCs w:val="20"/>
                <w:highlight w:val="none"/>
              </w:rPr>
              <w:t>261.99</w:t>
            </w:r>
          </w:p>
        </w:tc>
        <w:tc>
          <w:tcPr>
            <w:tcW w:w="9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sz w:val="20"/>
                <w:szCs w:val="20"/>
                <w:highlight w:val="none"/>
              </w:rPr>
            </w:pPr>
            <w:r>
              <w:rPr>
                <w:color w:val="auto"/>
                <w:sz w:val="20"/>
                <w:szCs w:val="20"/>
                <w:highlight w:val="none"/>
              </w:rPr>
              <w:t>80.53%</w:t>
            </w:r>
          </w:p>
        </w:tc>
      </w:tr>
    </w:tbl>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bookmarkStart w:id="117" w:name="_Toc545"/>
      <w:bookmarkStart w:id="118" w:name="_Toc32207"/>
      <w:bookmarkStart w:id="119" w:name="_Toc8155"/>
      <w:bookmarkStart w:id="120" w:name="_Toc29964"/>
      <w:bookmarkStart w:id="121" w:name="_Toc22358"/>
      <w:bookmarkStart w:id="122" w:name="_Toc31689"/>
      <w:bookmarkStart w:id="123" w:name="_Toc2773"/>
      <w:bookmarkStart w:id="124" w:name="_Toc21564"/>
      <w:r>
        <w:rPr>
          <w:b/>
          <w:bCs/>
          <w:color w:val="auto"/>
          <w:sz w:val="24"/>
          <w:szCs w:val="28"/>
          <w:highlight w:val="none"/>
        </w:rPr>
        <w:t>（三）项目组织及管理情况</w:t>
      </w:r>
      <w:bookmarkEnd w:id="117"/>
      <w:bookmarkEnd w:id="118"/>
      <w:bookmarkEnd w:id="119"/>
      <w:bookmarkEnd w:id="120"/>
      <w:bookmarkEnd w:id="121"/>
      <w:bookmarkEnd w:id="122"/>
      <w:bookmarkEnd w:id="123"/>
      <w:bookmarkEnd w:id="124"/>
      <w:bookmarkStart w:id="125" w:name="（二）项目组织及管理情况"/>
      <w:bookmarkEnd w:id="125"/>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1.项目组织机构及职责</w:t>
      </w:r>
    </w:p>
    <w:p>
      <w:pPr>
        <w:keepNext/>
        <w:keepLines/>
        <w:ind w:firstLine="420"/>
        <w:rPr>
          <w:color w:val="auto"/>
          <w:highlight w:val="none"/>
        </w:rPr>
      </w:pPr>
      <w:r>
        <w:rPr>
          <w:color w:val="auto"/>
          <w:highlight w:val="none"/>
        </w:rPr>
        <w:t>巴楚县教育局内设项目办，负责建设项目一体化规划统筹、设计统筹，建设项目设计一体化审查；负责所有设计审查，统筹初步设计和施工图设计审查工作。组织项目的前期工作和立项申报；负责建设项目合同的谈判、签署和管理工作；统筹初步设计和施工图设计。负责基础设施建设的监督管理工作。指导监督工程施工质量，安全生产和施工现场的管理工作。承担工程项目招投标审查委员会日常工作。负责工程质量监督、施工安全监督及造价管理工作以及全局建设的后期维护工作。负责建设资金的预算、监管等相关职责。</w:t>
      </w:r>
    </w:p>
    <w:p>
      <w:pPr>
        <w:keepNext/>
        <w:keepLines/>
        <w:ind w:firstLine="420"/>
        <w:rPr>
          <w:color w:val="auto"/>
          <w:highlight w:val="none"/>
        </w:rPr>
      </w:pPr>
      <w:r>
        <w:rPr>
          <w:color w:val="auto"/>
          <w:highlight w:val="none"/>
        </w:rPr>
        <w:t>巴楚县教育局内设项目办纪检监察审计处，负责全局建设项目的纪检、监察等职责。</w:t>
      </w:r>
    </w:p>
    <w:p>
      <w:pPr>
        <w:keepNext/>
        <w:keepLines/>
        <w:ind w:firstLine="420"/>
        <w:rPr>
          <w:color w:val="auto"/>
          <w:highlight w:val="none"/>
        </w:rPr>
      </w:pPr>
      <w:r>
        <w:rPr>
          <w:color w:val="auto"/>
          <w:highlight w:val="none"/>
        </w:rPr>
        <w:t>该项目涉及其他相关利益单位详见下表：</w:t>
      </w:r>
    </w:p>
    <w:tbl>
      <w:tblPr>
        <w:tblStyle w:val="19"/>
        <w:tblW w:w="8519" w:type="dxa"/>
        <w:tblInd w:w="0" w:type="dxa"/>
        <w:tblLayout w:type="fixed"/>
        <w:tblCellMar>
          <w:top w:w="0" w:type="dxa"/>
          <w:left w:w="108" w:type="dxa"/>
          <w:bottom w:w="0" w:type="dxa"/>
          <w:right w:w="108" w:type="dxa"/>
        </w:tblCellMar>
      </w:tblPr>
      <w:tblGrid>
        <w:gridCol w:w="991"/>
        <w:gridCol w:w="5314"/>
        <w:gridCol w:w="2214"/>
      </w:tblGrid>
      <w:tr>
        <w:tblPrEx>
          <w:tblCellMar>
            <w:top w:w="0" w:type="dxa"/>
            <w:left w:w="108" w:type="dxa"/>
            <w:bottom w:w="0" w:type="dxa"/>
            <w:right w:w="108" w:type="dxa"/>
          </w:tblCellMar>
        </w:tblPrEx>
        <w:trPr>
          <w:trHeight w:val="482" w:hRule="atLeast"/>
          <w:tblHeader/>
        </w:trPr>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b/>
                <w:bCs/>
                <w:color w:val="auto"/>
                <w:highlight w:val="none"/>
              </w:rPr>
            </w:pPr>
            <w:r>
              <w:rPr>
                <w:b/>
                <w:bCs/>
                <w:color w:val="auto"/>
                <w:highlight w:val="none"/>
              </w:rPr>
              <w:t>序号</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left"/>
              <w:rPr>
                <w:b/>
                <w:bCs/>
                <w:color w:val="auto"/>
                <w:highlight w:val="none"/>
              </w:rPr>
            </w:pPr>
            <w:r>
              <w:rPr>
                <w:b/>
                <w:bCs/>
                <w:color w:val="auto"/>
                <w:highlight w:val="none"/>
              </w:rPr>
              <w:t>单位名称</w:t>
            </w:r>
          </w:p>
        </w:tc>
        <w:tc>
          <w:tcPr>
            <w:tcW w:w="22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b/>
                <w:bCs/>
                <w:color w:val="auto"/>
                <w:highlight w:val="none"/>
              </w:rPr>
            </w:pPr>
            <w:r>
              <w:rPr>
                <w:b/>
                <w:bCs/>
                <w:color w:val="auto"/>
                <w:highlight w:val="none"/>
              </w:rPr>
              <w:t>项目角色</w:t>
            </w:r>
          </w:p>
        </w:tc>
      </w:tr>
      <w:tr>
        <w:tblPrEx>
          <w:tblCellMar>
            <w:top w:w="0" w:type="dxa"/>
            <w:left w:w="108" w:type="dxa"/>
            <w:bottom w:w="0" w:type="dxa"/>
            <w:right w:w="108" w:type="dxa"/>
          </w:tblCellMar>
        </w:tblPrEx>
        <w:trPr>
          <w:trHeight w:val="482" w:hRule="atLeast"/>
        </w:trPr>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highlight w:val="none"/>
              </w:rPr>
            </w:pPr>
            <w:r>
              <w:rPr>
                <w:color w:val="auto"/>
                <w:highlight w:val="none"/>
              </w:rPr>
              <w:t>1</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left"/>
              <w:rPr>
                <w:color w:val="auto"/>
                <w:highlight w:val="none"/>
                <w:lang w:eastAsia="en-US"/>
              </w:rPr>
            </w:pPr>
            <w:r>
              <w:rPr>
                <w:color w:val="auto"/>
                <w:highlight w:val="none"/>
              </w:rPr>
              <w:t>新疆水夫建筑工程有限公司</w:t>
            </w:r>
          </w:p>
        </w:tc>
        <w:tc>
          <w:tcPr>
            <w:tcW w:w="22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highlight w:val="none"/>
              </w:rPr>
            </w:pPr>
            <w:r>
              <w:rPr>
                <w:color w:val="auto"/>
                <w:highlight w:val="none"/>
              </w:rPr>
              <w:t>施工单位</w:t>
            </w:r>
          </w:p>
        </w:tc>
      </w:tr>
      <w:tr>
        <w:tblPrEx>
          <w:tblCellMar>
            <w:top w:w="0" w:type="dxa"/>
            <w:left w:w="108" w:type="dxa"/>
            <w:bottom w:w="0" w:type="dxa"/>
            <w:right w:w="108" w:type="dxa"/>
          </w:tblCellMar>
        </w:tblPrEx>
        <w:trPr>
          <w:trHeight w:val="482" w:hRule="atLeast"/>
        </w:trPr>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highlight w:val="none"/>
              </w:rPr>
            </w:pPr>
            <w:r>
              <w:rPr>
                <w:color w:val="auto"/>
                <w:highlight w:val="none"/>
              </w:rPr>
              <w:t>2</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left"/>
              <w:rPr>
                <w:color w:val="auto"/>
                <w:highlight w:val="none"/>
              </w:rPr>
            </w:pPr>
            <w:r>
              <w:rPr>
                <w:color w:val="auto"/>
                <w:highlight w:val="none"/>
              </w:rPr>
              <w:t>新疆建院工程监理咨询有限公司</w:t>
            </w:r>
          </w:p>
        </w:tc>
        <w:tc>
          <w:tcPr>
            <w:tcW w:w="22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highlight w:val="none"/>
                <w:lang w:eastAsia="en-US"/>
              </w:rPr>
            </w:pPr>
            <w:r>
              <w:rPr>
                <w:color w:val="auto"/>
                <w:highlight w:val="none"/>
              </w:rPr>
              <w:t>监理单位</w:t>
            </w:r>
          </w:p>
        </w:tc>
      </w:tr>
      <w:tr>
        <w:tblPrEx>
          <w:tblCellMar>
            <w:top w:w="0" w:type="dxa"/>
            <w:left w:w="108" w:type="dxa"/>
            <w:bottom w:w="0" w:type="dxa"/>
            <w:right w:w="108" w:type="dxa"/>
          </w:tblCellMar>
        </w:tblPrEx>
        <w:trPr>
          <w:trHeight w:val="482" w:hRule="atLeast"/>
        </w:trPr>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highlight w:val="none"/>
              </w:rPr>
            </w:pPr>
            <w:r>
              <w:rPr>
                <w:color w:val="auto"/>
                <w:highlight w:val="none"/>
              </w:rPr>
              <w:t>3</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left"/>
              <w:rPr>
                <w:color w:val="auto"/>
                <w:highlight w:val="none"/>
              </w:rPr>
            </w:pPr>
            <w:r>
              <w:rPr>
                <w:color w:val="auto"/>
                <w:highlight w:val="none"/>
              </w:rPr>
              <w:t>上海传承博华建筑规划设计有限公司</w:t>
            </w:r>
          </w:p>
        </w:tc>
        <w:tc>
          <w:tcPr>
            <w:tcW w:w="22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highlight w:val="none"/>
                <w:lang w:eastAsia="en-US"/>
              </w:rPr>
            </w:pPr>
            <w:r>
              <w:rPr>
                <w:color w:val="auto"/>
                <w:highlight w:val="none"/>
              </w:rPr>
              <w:t>设计单位</w:t>
            </w:r>
          </w:p>
        </w:tc>
      </w:tr>
      <w:tr>
        <w:tblPrEx>
          <w:tblCellMar>
            <w:top w:w="0" w:type="dxa"/>
            <w:left w:w="108" w:type="dxa"/>
            <w:bottom w:w="0" w:type="dxa"/>
            <w:right w:w="108" w:type="dxa"/>
          </w:tblCellMar>
        </w:tblPrEx>
        <w:trPr>
          <w:trHeight w:val="482" w:hRule="atLeast"/>
        </w:trPr>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highlight w:val="none"/>
              </w:rPr>
            </w:pPr>
            <w:r>
              <w:rPr>
                <w:color w:val="auto"/>
                <w:highlight w:val="none"/>
              </w:rPr>
              <w:t>4</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left"/>
              <w:rPr>
                <w:color w:val="auto"/>
                <w:highlight w:val="none"/>
              </w:rPr>
            </w:pPr>
            <w:r>
              <w:rPr>
                <w:color w:val="auto"/>
                <w:highlight w:val="none"/>
              </w:rPr>
              <w:t>中晏建设集团有限公司</w:t>
            </w:r>
          </w:p>
        </w:tc>
        <w:tc>
          <w:tcPr>
            <w:tcW w:w="22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highlight w:val="none"/>
              </w:rPr>
            </w:pPr>
            <w:r>
              <w:rPr>
                <w:color w:val="auto"/>
                <w:highlight w:val="none"/>
              </w:rPr>
              <w:t>可研编制单位</w:t>
            </w:r>
          </w:p>
        </w:tc>
      </w:tr>
      <w:tr>
        <w:tblPrEx>
          <w:tblCellMar>
            <w:top w:w="0" w:type="dxa"/>
            <w:left w:w="108" w:type="dxa"/>
            <w:bottom w:w="0" w:type="dxa"/>
            <w:right w:w="108" w:type="dxa"/>
          </w:tblCellMar>
        </w:tblPrEx>
        <w:trPr>
          <w:trHeight w:val="482" w:hRule="atLeast"/>
        </w:trPr>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highlight w:val="none"/>
              </w:rPr>
            </w:pPr>
            <w:r>
              <w:rPr>
                <w:color w:val="auto"/>
                <w:highlight w:val="none"/>
              </w:rPr>
              <w:t>5</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left"/>
              <w:rPr>
                <w:color w:val="auto"/>
                <w:highlight w:val="none"/>
              </w:rPr>
            </w:pPr>
            <w:r>
              <w:rPr>
                <w:color w:val="auto"/>
                <w:highlight w:val="none"/>
              </w:rPr>
              <w:t>新疆时代岩土工程勘察设计院有限公司</w:t>
            </w:r>
          </w:p>
        </w:tc>
        <w:tc>
          <w:tcPr>
            <w:tcW w:w="22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highlight w:val="none"/>
              </w:rPr>
            </w:pPr>
            <w:r>
              <w:rPr>
                <w:color w:val="auto"/>
                <w:highlight w:val="none"/>
              </w:rPr>
              <w:t>地勘单位</w:t>
            </w:r>
          </w:p>
        </w:tc>
      </w:tr>
      <w:tr>
        <w:tblPrEx>
          <w:tblCellMar>
            <w:top w:w="0" w:type="dxa"/>
            <w:left w:w="108" w:type="dxa"/>
            <w:bottom w:w="0" w:type="dxa"/>
            <w:right w:w="108" w:type="dxa"/>
          </w:tblCellMar>
        </w:tblPrEx>
        <w:trPr>
          <w:trHeight w:val="482" w:hRule="atLeast"/>
        </w:trPr>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highlight w:val="none"/>
              </w:rPr>
            </w:pPr>
            <w:r>
              <w:rPr>
                <w:rFonts w:hint="eastAsia"/>
                <w:color w:val="auto"/>
                <w:highlight w:val="none"/>
              </w:rPr>
              <w:t>6</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left"/>
              <w:rPr>
                <w:color w:val="auto"/>
                <w:highlight w:val="none"/>
              </w:rPr>
            </w:pPr>
            <w:r>
              <w:rPr>
                <w:rFonts w:hint="eastAsia"/>
                <w:color w:val="auto"/>
                <w:highlight w:val="none"/>
              </w:rPr>
              <w:t>永明项目管理有限公司</w:t>
            </w:r>
          </w:p>
        </w:tc>
        <w:tc>
          <w:tcPr>
            <w:tcW w:w="22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highlight w:val="none"/>
              </w:rPr>
            </w:pPr>
            <w:r>
              <w:rPr>
                <w:color w:val="auto"/>
                <w:highlight w:val="none"/>
              </w:rPr>
              <w:t>审计单位</w:t>
            </w:r>
          </w:p>
        </w:tc>
      </w:tr>
      <w:tr>
        <w:tblPrEx>
          <w:tblCellMar>
            <w:top w:w="0" w:type="dxa"/>
            <w:left w:w="108" w:type="dxa"/>
            <w:bottom w:w="0" w:type="dxa"/>
            <w:right w:w="108" w:type="dxa"/>
          </w:tblCellMar>
        </w:tblPrEx>
        <w:trPr>
          <w:trHeight w:val="482" w:hRule="atLeast"/>
        </w:trPr>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highlight w:val="none"/>
              </w:rPr>
            </w:pPr>
            <w:r>
              <w:rPr>
                <w:color w:val="auto"/>
                <w:highlight w:val="none"/>
              </w:rPr>
              <w:t>7</w:t>
            </w:r>
          </w:p>
        </w:tc>
        <w:tc>
          <w:tcPr>
            <w:tcW w:w="53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left"/>
              <w:rPr>
                <w:color w:val="auto"/>
                <w:highlight w:val="none"/>
              </w:rPr>
            </w:pPr>
            <w:r>
              <w:rPr>
                <w:color w:val="auto"/>
                <w:highlight w:val="none"/>
              </w:rPr>
              <w:t>新疆经纬线工程管理咨询有限公司</w:t>
            </w:r>
          </w:p>
        </w:tc>
        <w:tc>
          <w:tcPr>
            <w:tcW w:w="22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rPr>
                <w:color w:val="auto"/>
                <w:highlight w:val="none"/>
              </w:rPr>
            </w:pPr>
            <w:r>
              <w:rPr>
                <w:color w:val="auto"/>
                <w:highlight w:val="none"/>
              </w:rPr>
              <w:t>评审单位</w:t>
            </w:r>
          </w:p>
        </w:tc>
      </w:tr>
    </w:tbl>
    <w:p>
      <w:pPr>
        <w:keepNext/>
        <w:keepLines/>
        <w:ind w:firstLine="0" w:firstLineChars="0"/>
        <w:rPr>
          <w:b/>
          <w:bCs/>
          <w:color w:val="auto"/>
          <w:highlight w:val="none"/>
        </w:rPr>
      </w:pP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2.项目前期手续办理情况</w:t>
      </w:r>
    </w:p>
    <w:p>
      <w:pPr>
        <w:keepNext/>
        <w:keepLines/>
        <w:ind w:firstLine="420"/>
        <w:rPr>
          <w:color w:val="auto"/>
          <w:highlight w:val="none"/>
        </w:rPr>
      </w:pPr>
      <w:r>
        <w:rPr>
          <w:color w:val="auto"/>
          <w:highlight w:val="none"/>
        </w:rPr>
        <w:t>2023年4月24日，项目办理取得《关于喀什地区巴楚县2023年城乡义务教育农村校舍安全保障长效机制项目（第一批）可行性研究报告（代项目建议书）的批复》（巴发改项目〔2023〕95号）。</w:t>
      </w:r>
    </w:p>
    <w:p>
      <w:pPr>
        <w:keepNext/>
        <w:keepLines/>
        <w:ind w:firstLine="420"/>
        <w:rPr>
          <w:color w:val="auto"/>
          <w:highlight w:val="none"/>
        </w:rPr>
      </w:pPr>
      <w:r>
        <w:rPr>
          <w:color w:val="auto"/>
          <w:highlight w:val="none"/>
        </w:rPr>
        <w:t>2023年5月17日，巴楚县教育局取得巴楚县自然资</w:t>
      </w:r>
      <w:r>
        <w:rPr>
          <w:rFonts w:hint="eastAsia"/>
          <w:color w:val="auto"/>
          <w:highlight w:val="none"/>
        </w:rPr>
        <w:t>源局</w:t>
      </w:r>
      <w:r>
        <w:rPr>
          <w:color w:val="auto"/>
          <w:highlight w:val="none"/>
        </w:rPr>
        <w:t>颁发的乡村建设规划许可证。</w:t>
      </w:r>
    </w:p>
    <w:p>
      <w:pPr>
        <w:keepNext/>
        <w:keepLines/>
        <w:ind w:firstLine="420"/>
        <w:rPr>
          <w:color w:val="auto"/>
          <w:highlight w:val="none"/>
        </w:rPr>
      </w:pPr>
      <w:r>
        <w:rPr>
          <w:color w:val="auto"/>
          <w:highlight w:val="none"/>
        </w:rPr>
        <w:t>2023年5月17日，巴楚县教育局取得巴楚县自然资</w:t>
      </w:r>
      <w:r>
        <w:rPr>
          <w:rFonts w:hint="eastAsia"/>
          <w:color w:val="auto"/>
          <w:highlight w:val="none"/>
        </w:rPr>
        <w:t>源局</w:t>
      </w:r>
      <w:r>
        <w:rPr>
          <w:color w:val="auto"/>
          <w:highlight w:val="none"/>
        </w:rPr>
        <w:t>颁发的建设工程规划许可证。</w:t>
      </w:r>
    </w:p>
    <w:p>
      <w:pPr>
        <w:keepNext/>
        <w:keepLines/>
        <w:ind w:firstLine="420"/>
        <w:rPr>
          <w:color w:val="auto"/>
          <w:highlight w:val="none"/>
        </w:rPr>
      </w:pPr>
      <w:r>
        <w:rPr>
          <w:color w:val="auto"/>
          <w:highlight w:val="none"/>
        </w:rPr>
        <w:t>2023年5月，巴楚县教育局取得由喀什地区建筑工程施工图审查中心出具的77份施工图设计文件审查合格证书。</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3.项目实施完成情况</w:t>
      </w:r>
    </w:p>
    <w:p>
      <w:pPr>
        <w:keepNext/>
        <w:keepLines/>
        <w:ind w:firstLine="420"/>
        <w:rPr>
          <w:color w:val="auto"/>
          <w:highlight w:val="none"/>
        </w:rPr>
      </w:pPr>
      <w:r>
        <w:rPr>
          <w:color w:val="auto"/>
          <w:highlight w:val="none"/>
        </w:rPr>
        <w:t>2023年6月25日，巴楚县教育局委托新疆卓捷工程造价咨询有限公司开展政府采购代理工作，经公开招标确定施工中标单位为新疆水夫建筑工程有限公司，中标金额为1</w:t>
      </w:r>
      <w:r>
        <w:rPr>
          <w:rFonts w:hint="eastAsia"/>
          <w:color w:val="auto"/>
          <w:highlight w:val="none"/>
          <w:lang w:eastAsia="zh-CN"/>
        </w:rPr>
        <w:t>，</w:t>
      </w:r>
      <w:r>
        <w:rPr>
          <w:color w:val="auto"/>
          <w:highlight w:val="none"/>
        </w:rPr>
        <w:t>478.17万元，中标工期2023年7月5日</w:t>
      </w:r>
      <w:r>
        <w:rPr>
          <w:rFonts w:hint="eastAsia"/>
          <w:color w:val="auto"/>
          <w:highlight w:val="none"/>
        </w:rPr>
        <w:t>—</w:t>
      </w:r>
      <w:r>
        <w:rPr>
          <w:color w:val="auto"/>
          <w:highlight w:val="none"/>
        </w:rPr>
        <w:t>2023年10月12日，中标内容为对巴楚14所中小学进行维修改造，配套相关附属设施。</w:t>
      </w:r>
    </w:p>
    <w:p>
      <w:pPr>
        <w:keepNext/>
        <w:keepLines/>
        <w:ind w:firstLine="420"/>
        <w:rPr>
          <w:color w:val="auto"/>
          <w:highlight w:val="none"/>
        </w:rPr>
      </w:pPr>
      <w:r>
        <w:rPr>
          <w:color w:val="auto"/>
          <w:highlight w:val="none"/>
        </w:rPr>
        <w:t>项目实际于2023年</w:t>
      </w:r>
      <w:r>
        <w:rPr>
          <w:rFonts w:hint="eastAsia"/>
          <w:color w:val="auto"/>
          <w:highlight w:val="none"/>
        </w:rPr>
        <w:t>7</w:t>
      </w:r>
      <w:r>
        <w:rPr>
          <w:color w:val="auto"/>
          <w:highlight w:val="none"/>
        </w:rPr>
        <w:t>月</w:t>
      </w:r>
      <w:r>
        <w:rPr>
          <w:rFonts w:hint="eastAsia"/>
          <w:color w:val="auto"/>
          <w:highlight w:val="none"/>
        </w:rPr>
        <w:t>27</w:t>
      </w:r>
      <w:r>
        <w:rPr>
          <w:color w:val="auto"/>
          <w:highlight w:val="none"/>
        </w:rPr>
        <w:t>日开工，并于2023年10月12日建设完工</w:t>
      </w:r>
      <w:r>
        <w:rPr>
          <w:rFonts w:hint="eastAsia"/>
          <w:color w:val="auto"/>
          <w:highlight w:val="none"/>
        </w:rPr>
        <w:t>，完工后</w:t>
      </w:r>
      <w:r>
        <w:rPr>
          <w:color w:val="auto"/>
          <w:highlight w:val="none"/>
        </w:rPr>
        <w:t>由施工、监理、勘察、设计以及建设单位五方开展工程联合验收，</w:t>
      </w:r>
      <w:r>
        <w:rPr>
          <w:rFonts w:hint="eastAsia"/>
          <w:color w:val="auto"/>
          <w:highlight w:val="none"/>
          <w:lang w:val="en-US" w:eastAsia="zh-CN"/>
        </w:rPr>
        <w:t>验收内容包括</w:t>
      </w:r>
      <w:r>
        <w:rPr>
          <w:color w:val="auto"/>
          <w:highlight w:val="none"/>
        </w:rPr>
        <w:t>：巴楚县第八小学、巴楚县第五小学、巴楚县阿瓦提镇第一小学等乡村学校、巴楚县阿拉格尔第一小学乡村小学、巴楚县阿克萨克马热勒乡第一小学、巴楚县阿克萨克马热勒乡第二小学等乡村学校、巴楚县多来提巴格乡第一小学、巴楚县多来提巴格乡中学、巴楚县色力布亚镇第一中学、巴楚县第一小学、巴楚县第六小学、巴楚县色力布亚镇第二中学、巴楚县夏马勒第一小学等乡村学校、巴楚县恰尔巴格乡第二小学的维修改造</w:t>
      </w:r>
      <w:r>
        <w:rPr>
          <w:rFonts w:hint="eastAsia"/>
          <w:color w:val="auto"/>
          <w:highlight w:val="none"/>
          <w:lang w:eastAsia="zh-CN"/>
        </w:rPr>
        <w:t>（</w:t>
      </w:r>
      <w:r>
        <w:rPr>
          <w:rFonts w:hint="eastAsia"/>
          <w:color w:val="auto"/>
          <w:highlight w:val="none"/>
          <w:lang w:val="en-US" w:eastAsia="zh-CN"/>
        </w:rPr>
        <w:t>项目具体完成情况见附表2</w:t>
      </w:r>
      <w:r>
        <w:rPr>
          <w:rFonts w:hint="eastAsia"/>
          <w:color w:val="auto"/>
          <w:highlight w:val="none"/>
          <w:lang w:eastAsia="zh-CN"/>
        </w:rPr>
        <w:t>）</w:t>
      </w:r>
      <w:r>
        <w:rPr>
          <w:color w:val="auto"/>
          <w:highlight w:val="none"/>
        </w:rPr>
        <w:t>。验收结果为工程质量符合国家标准。</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4.项目资产管理</w:t>
      </w:r>
    </w:p>
    <w:p>
      <w:pPr>
        <w:keepNext/>
        <w:keepLines/>
        <w:ind w:firstLine="420"/>
        <w:rPr>
          <w:color w:val="auto"/>
          <w:highlight w:val="none"/>
        </w:rPr>
      </w:pPr>
      <w:r>
        <w:rPr>
          <w:color w:val="auto"/>
          <w:highlight w:val="none"/>
        </w:rPr>
        <w:t>截至评价日，巴楚县第八小学相关建设内容未投入使用，其他学校已完成维修改造并投入使用。该项目尚未开展工程结算审计及竣工财务决算审计，尚未进行资产移交。</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bookmarkStart w:id="126" w:name="_Toc13355"/>
      <w:bookmarkStart w:id="127" w:name="_Toc23010"/>
      <w:bookmarkStart w:id="128" w:name="_Toc40"/>
      <w:bookmarkStart w:id="129" w:name="_Toc21917"/>
      <w:bookmarkStart w:id="130" w:name="_Toc2563"/>
      <w:bookmarkStart w:id="131" w:name="_Toc4258"/>
      <w:bookmarkStart w:id="132" w:name="_Toc4065"/>
      <w:bookmarkStart w:id="133" w:name="_Toc23177"/>
      <w:r>
        <w:rPr>
          <w:b/>
          <w:bCs/>
          <w:color w:val="auto"/>
          <w:sz w:val="24"/>
          <w:szCs w:val="28"/>
          <w:highlight w:val="none"/>
        </w:rPr>
        <w:t>二、项目绩效目标</w:t>
      </w:r>
      <w:bookmarkEnd w:id="108"/>
      <w:bookmarkEnd w:id="126"/>
      <w:bookmarkEnd w:id="127"/>
      <w:bookmarkEnd w:id="128"/>
      <w:bookmarkEnd w:id="129"/>
      <w:bookmarkEnd w:id="130"/>
      <w:bookmarkEnd w:id="131"/>
      <w:bookmarkEnd w:id="132"/>
      <w:bookmarkEnd w:id="133"/>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（一）项目绩效总目标</w:t>
      </w:r>
    </w:p>
    <w:p>
      <w:pPr>
        <w:keepNext/>
        <w:keepLines/>
        <w:ind w:firstLine="420"/>
        <w:rPr>
          <w:rFonts w:hint="eastAsia" w:eastAsiaTheme="minorEastAsia"/>
          <w:color w:val="auto"/>
          <w:highlight w:val="none"/>
          <w:lang w:eastAsia="zh-CN"/>
        </w:rPr>
      </w:pPr>
      <w:r>
        <w:rPr>
          <w:color w:val="auto"/>
          <w:highlight w:val="none"/>
        </w:rPr>
        <w:t>基于巴楚县乡村学校基础设施损坏现状，巴楚县教育局坚持以人为本、落实国家防灾减灾总体部署，贯彻加大对教育事业的投入、改善办学条件的文件精神，对巴楚县乡村中小学校区基础设施进行维修改造，减少校舍安全隐患，保障师生安全状况，提高中小学校舍防震减灾能力，实现城乡中小学校舍安全达标，建立长效机制</w:t>
      </w:r>
      <w:r>
        <w:rPr>
          <w:rFonts w:hint="eastAsia"/>
          <w:color w:val="auto"/>
          <w:highlight w:val="none"/>
          <w:lang w:eastAsia="zh-CN"/>
        </w:rPr>
        <w:t>。</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rFonts w:hint="eastAsia"/>
          <w:b/>
          <w:bCs/>
          <w:color w:val="auto"/>
          <w:sz w:val="24"/>
          <w:szCs w:val="28"/>
          <w:highlight w:val="none"/>
          <w:lang w:val="en-US" w:eastAsia="zh-CN"/>
        </w:rPr>
        <w:t>（二）</w:t>
      </w:r>
      <w:r>
        <w:rPr>
          <w:b/>
          <w:bCs/>
          <w:color w:val="auto"/>
          <w:sz w:val="24"/>
          <w:szCs w:val="28"/>
          <w:highlight w:val="none"/>
        </w:rPr>
        <w:t>年度绩效目标</w:t>
      </w:r>
    </w:p>
    <w:p>
      <w:pPr>
        <w:keepNext/>
        <w:keepLines/>
        <w:numPr>
          <w:ilvl w:val="255"/>
          <w:numId w:val="0"/>
        </w:numPr>
        <w:ind w:firstLine="420" w:firstLineChars="200"/>
        <w:rPr>
          <w:color w:val="auto"/>
          <w:highlight w:val="none"/>
        </w:rPr>
      </w:pPr>
      <w:r>
        <w:rPr>
          <w:rFonts w:hint="eastAsia"/>
          <w:color w:val="auto"/>
          <w:highlight w:val="none"/>
        </w:rPr>
        <w:t>根据</w:t>
      </w:r>
      <w:r>
        <w:rPr>
          <w:color w:val="auto"/>
          <w:highlight w:val="none"/>
        </w:rPr>
        <w:t>《项目支出绩效评价管理办法》（财预〔2020〕10号）的规定，绩效评价小组结合项目实际情况，对喀什地区巴楚县2023年城乡义务教育农村校舍安全保障长效机制项目（第一批）绩效目标进行梳理、细化和补充完善，经报委托方审核，最终确定该项目年度目</w:t>
      </w:r>
    </w:p>
    <w:p>
      <w:pPr>
        <w:keepNext/>
        <w:keepLines/>
        <w:numPr>
          <w:ilvl w:val="255"/>
          <w:numId w:val="0"/>
        </w:numPr>
        <w:rPr>
          <w:color w:val="auto"/>
          <w:highlight w:val="none"/>
        </w:rPr>
      </w:pPr>
      <w:r>
        <w:rPr>
          <w:color w:val="auto"/>
          <w:highlight w:val="none"/>
        </w:rPr>
        <w:t>标为：项目计划对巴楚县14所乡村学校进行维修改造，计划于2023年7月5日开工，2023年10月12日完工，通过项目实施，提升学校基础设施水平，减少校舍安全隐患，保障师生</w:t>
      </w:r>
    </w:p>
    <w:p>
      <w:pPr>
        <w:keepNext/>
        <w:keepLines/>
        <w:ind w:firstLine="0" w:firstLineChars="0"/>
        <w:rPr>
          <w:color w:val="auto"/>
          <w:highlight w:val="none"/>
        </w:rPr>
      </w:pPr>
      <w:r>
        <w:rPr>
          <w:color w:val="auto"/>
          <w:highlight w:val="none"/>
        </w:rPr>
        <w:t>安全。该项目个性目标设置具体如下：</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1.项目产出目标</w:t>
      </w:r>
    </w:p>
    <w:p>
      <w:pPr>
        <w:keepNext/>
        <w:keepLines/>
        <w:ind w:firstLine="420"/>
        <w:rPr>
          <w:color w:val="auto"/>
          <w:highlight w:val="none"/>
        </w:rPr>
      </w:pPr>
      <w:r>
        <w:rPr>
          <w:color w:val="auto"/>
          <w:highlight w:val="none"/>
        </w:rPr>
        <w:t>（1）数量指标</w:t>
      </w:r>
    </w:p>
    <w:p>
      <w:pPr>
        <w:keepNext/>
        <w:keepLines/>
        <w:ind w:firstLine="420"/>
        <w:rPr>
          <w:color w:val="auto"/>
          <w:highlight w:val="none"/>
        </w:rPr>
      </w:pPr>
      <w:r>
        <w:rPr>
          <w:rFonts w:hint="eastAsia"/>
          <w:color w:val="auto"/>
          <w:highlight w:val="none"/>
        </w:rPr>
        <w:t>“</w:t>
      </w:r>
      <w:r>
        <w:rPr>
          <w:color w:val="auto"/>
          <w:highlight w:val="none"/>
        </w:rPr>
        <w:t>C11维修改造学校数量</w:t>
      </w:r>
      <w:r>
        <w:rPr>
          <w:rFonts w:hint="eastAsia"/>
          <w:color w:val="auto"/>
          <w:highlight w:val="none"/>
        </w:rPr>
        <w:t>”</w:t>
      </w:r>
      <w:r>
        <w:rPr>
          <w:color w:val="auto"/>
          <w:highlight w:val="none"/>
        </w:rPr>
        <w:t>指标，预期指标值为大于等于14个。</w:t>
      </w:r>
    </w:p>
    <w:p>
      <w:pPr>
        <w:keepNext/>
        <w:keepLines/>
        <w:ind w:firstLine="420"/>
        <w:rPr>
          <w:color w:val="auto"/>
          <w:highlight w:val="none"/>
        </w:rPr>
      </w:pPr>
      <w:r>
        <w:rPr>
          <w:color w:val="auto"/>
          <w:highlight w:val="none"/>
        </w:rPr>
        <w:t>（2）质量指标</w:t>
      </w:r>
    </w:p>
    <w:p>
      <w:pPr>
        <w:keepNext/>
        <w:keepLines/>
        <w:ind w:firstLine="420"/>
        <w:rPr>
          <w:color w:val="auto"/>
          <w:highlight w:val="none"/>
        </w:rPr>
      </w:pPr>
      <w:r>
        <w:rPr>
          <w:rFonts w:hint="eastAsia"/>
          <w:color w:val="auto"/>
          <w:highlight w:val="none"/>
        </w:rPr>
        <w:t>“</w:t>
      </w:r>
      <w:r>
        <w:rPr>
          <w:color w:val="auto"/>
          <w:highlight w:val="none"/>
        </w:rPr>
        <w:t>C23竣工验收合格率</w:t>
      </w:r>
      <w:r>
        <w:rPr>
          <w:rFonts w:hint="eastAsia"/>
          <w:color w:val="auto"/>
          <w:highlight w:val="none"/>
        </w:rPr>
        <w:t>”</w:t>
      </w:r>
      <w:r>
        <w:rPr>
          <w:color w:val="auto"/>
          <w:highlight w:val="none"/>
        </w:rPr>
        <w:t>指标，预期指标值为100%。</w:t>
      </w:r>
    </w:p>
    <w:p>
      <w:pPr>
        <w:keepNext/>
        <w:keepLines/>
        <w:ind w:firstLine="420"/>
        <w:rPr>
          <w:color w:val="auto"/>
          <w:highlight w:val="none"/>
        </w:rPr>
      </w:pPr>
      <w:r>
        <w:rPr>
          <w:color w:val="auto"/>
          <w:highlight w:val="none"/>
        </w:rPr>
        <w:t>（3）时效指标</w:t>
      </w:r>
    </w:p>
    <w:p>
      <w:pPr>
        <w:keepNext/>
        <w:keepLines/>
        <w:ind w:firstLine="420"/>
        <w:rPr>
          <w:color w:val="auto"/>
          <w:highlight w:val="none"/>
        </w:rPr>
      </w:pPr>
      <w:r>
        <w:rPr>
          <w:rFonts w:hint="eastAsia"/>
          <w:color w:val="auto"/>
          <w:highlight w:val="none"/>
        </w:rPr>
        <w:t>“</w:t>
      </w:r>
      <w:r>
        <w:rPr>
          <w:color w:val="auto"/>
          <w:highlight w:val="none"/>
        </w:rPr>
        <w:t>C31</w:t>
      </w:r>
      <w:r>
        <w:rPr>
          <w:rFonts w:hint="eastAsia"/>
          <w:color w:val="auto"/>
          <w:highlight w:val="none"/>
        </w:rPr>
        <w:t>项目开工及时率”</w:t>
      </w:r>
      <w:r>
        <w:rPr>
          <w:color w:val="auto"/>
          <w:highlight w:val="none"/>
        </w:rPr>
        <w:t>指标，预期指标值为2023年7月5日。</w:t>
      </w:r>
    </w:p>
    <w:p>
      <w:pPr>
        <w:keepNext/>
        <w:keepLines/>
        <w:ind w:firstLine="420"/>
        <w:rPr>
          <w:color w:val="auto"/>
          <w:highlight w:val="none"/>
        </w:rPr>
      </w:pPr>
      <w:r>
        <w:rPr>
          <w:rFonts w:hint="eastAsia"/>
          <w:color w:val="auto"/>
          <w:highlight w:val="none"/>
        </w:rPr>
        <w:t>“</w:t>
      </w:r>
      <w:r>
        <w:rPr>
          <w:color w:val="auto"/>
          <w:highlight w:val="none"/>
        </w:rPr>
        <w:t>C32</w:t>
      </w:r>
      <w:r>
        <w:rPr>
          <w:rFonts w:hint="eastAsia"/>
          <w:color w:val="auto"/>
          <w:highlight w:val="none"/>
        </w:rPr>
        <w:t>项目完工及时率”</w:t>
      </w:r>
      <w:r>
        <w:rPr>
          <w:color w:val="auto"/>
          <w:highlight w:val="none"/>
        </w:rPr>
        <w:t>指标，预期指标值为2023年10月12日。</w:t>
      </w:r>
    </w:p>
    <w:p>
      <w:pPr>
        <w:keepNext/>
        <w:keepLines/>
        <w:ind w:firstLine="420"/>
        <w:rPr>
          <w:color w:val="auto"/>
          <w:highlight w:val="none"/>
        </w:rPr>
      </w:pPr>
      <w:r>
        <w:rPr>
          <w:color w:val="auto"/>
          <w:highlight w:val="none"/>
        </w:rPr>
        <w:t>（4）成本指标</w:t>
      </w:r>
    </w:p>
    <w:p>
      <w:pPr>
        <w:keepNext/>
        <w:keepLines/>
        <w:ind w:firstLine="420"/>
        <w:rPr>
          <w:color w:val="auto"/>
          <w:highlight w:val="none"/>
        </w:rPr>
      </w:pPr>
      <w:r>
        <w:rPr>
          <w:rFonts w:hint="eastAsia"/>
          <w:color w:val="auto"/>
          <w:highlight w:val="none"/>
        </w:rPr>
        <w:t>“</w:t>
      </w:r>
      <w:r>
        <w:rPr>
          <w:color w:val="auto"/>
          <w:highlight w:val="none"/>
        </w:rPr>
        <w:t>C41</w:t>
      </w:r>
      <w:r>
        <w:rPr>
          <w:rFonts w:hint="eastAsia"/>
          <w:color w:val="auto"/>
          <w:highlight w:val="none"/>
        </w:rPr>
        <w:t>工程建设成本预算控制率”</w:t>
      </w:r>
      <w:r>
        <w:rPr>
          <w:color w:val="auto"/>
          <w:highlight w:val="none"/>
        </w:rPr>
        <w:t>指标，预期指标值为</w:t>
      </w:r>
      <w:r>
        <w:rPr>
          <w:rFonts w:hint="eastAsia"/>
          <w:color w:val="auto"/>
          <w:highlight w:val="none"/>
          <w:lang w:val="en-US" w:eastAsia="zh-CN"/>
        </w:rPr>
        <w:t>0%~15%</w:t>
      </w:r>
      <w:r>
        <w:rPr>
          <w:color w:val="auto"/>
          <w:highlight w:val="none"/>
        </w:rPr>
        <w:t>。</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2.项目效益目标</w:t>
      </w:r>
    </w:p>
    <w:p>
      <w:pPr>
        <w:keepNext/>
        <w:keepLines/>
        <w:ind w:firstLine="420"/>
        <w:rPr>
          <w:color w:val="auto"/>
          <w:highlight w:val="none"/>
        </w:rPr>
      </w:pPr>
      <w:r>
        <w:rPr>
          <w:color w:val="auto"/>
          <w:highlight w:val="none"/>
        </w:rPr>
        <w:t>（1）社会效益指标</w:t>
      </w:r>
    </w:p>
    <w:p>
      <w:pPr>
        <w:keepNext/>
        <w:keepLines/>
        <w:ind w:firstLine="420"/>
        <w:rPr>
          <w:color w:val="auto"/>
          <w:highlight w:val="none"/>
        </w:rPr>
      </w:pPr>
      <w:r>
        <w:rPr>
          <w:rFonts w:hint="eastAsia"/>
          <w:color w:val="auto"/>
          <w:highlight w:val="none"/>
        </w:rPr>
        <w:t>“</w:t>
      </w:r>
      <w:r>
        <w:rPr>
          <w:color w:val="auto"/>
          <w:highlight w:val="none"/>
        </w:rPr>
        <w:t>D11维修改造正常运转率</w:t>
      </w:r>
      <w:r>
        <w:rPr>
          <w:rFonts w:hint="eastAsia"/>
          <w:color w:val="auto"/>
          <w:highlight w:val="none"/>
        </w:rPr>
        <w:t>”</w:t>
      </w:r>
      <w:r>
        <w:rPr>
          <w:color w:val="auto"/>
          <w:highlight w:val="none"/>
        </w:rPr>
        <w:t>指标，预期指标值为大于等于90%。</w:t>
      </w:r>
    </w:p>
    <w:p>
      <w:pPr>
        <w:keepNext/>
        <w:keepLines/>
        <w:ind w:firstLine="420"/>
        <w:rPr>
          <w:color w:val="auto"/>
          <w:highlight w:val="none"/>
        </w:rPr>
      </w:pPr>
      <w:r>
        <w:rPr>
          <w:rFonts w:hint="eastAsia"/>
          <w:color w:val="auto"/>
          <w:highlight w:val="none"/>
        </w:rPr>
        <w:t>“</w:t>
      </w:r>
      <w:r>
        <w:rPr>
          <w:color w:val="auto"/>
          <w:highlight w:val="none"/>
        </w:rPr>
        <w:t>D12重大事故发生数</w:t>
      </w:r>
      <w:r>
        <w:rPr>
          <w:rFonts w:hint="eastAsia"/>
          <w:color w:val="auto"/>
          <w:highlight w:val="none"/>
        </w:rPr>
        <w:t>”</w:t>
      </w:r>
      <w:r>
        <w:rPr>
          <w:color w:val="auto"/>
          <w:highlight w:val="none"/>
        </w:rPr>
        <w:t>指标，预期指标值为0件。</w:t>
      </w:r>
    </w:p>
    <w:p>
      <w:pPr>
        <w:keepNext/>
        <w:keepLines/>
        <w:ind w:firstLine="420"/>
        <w:rPr>
          <w:color w:val="auto"/>
          <w:highlight w:val="none"/>
        </w:rPr>
      </w:pPr>
      <w:r>
        <w:rPr>
          <w:rFonts w:hint="eastAsia"/>
          <w:color w:val="auto"/>
          <w:highlight w:val="none"/>
        </w:rPr>
        <w:t>“</w:t>
      </w:r>
      <w:r>
        <w:rPr>
          <w:color w:val="auto"/>
          <w:highlight w:val="none"/>
        </w:rPr>
        <w:t>D13提升学校基础设施水平</w:t>
      </w:r>
      <w:r>
        <w:rPr>
          <w:rFonts w:hint="eastAsia"/>
          <w:color w:val="auto"/>
          <w:highlight w:val="none"/>
        </w:rPr>
        <w:t>”</w:t>
      </w:r>
      <w:r>
        <w:rPr>
          <w:color w:val="auto"/>
          <w:highlight w:val="none"/>
        </w:rPr>
        <w:t>指标，预期指标值为有效提高。</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3.</w:t>
      </w:r>
      <w:r>
        <w:rPr>
          <w:b/>
          <w:bCs/>
          <w:color w:val="auto"/>
          <w:sz w:val="24"/>
          <w:szCs w:val="28"/>
          <w:highlight w:val="none"/>
          <w:lang w:eastAsia="zh-Hans"/>
        </w:rPr>
        <w:t>满意度目标</w:t>
      </w:r>
    </w:p>
    <w:p>
      <w:pPr>
        <w:keepNext/>
        <w:keepLines/>
        <w:ind w:firstLine="420"/>
        <w:rPr>
          <w:color w:val="auto"/>
          <w:highlight w:val="none"/>
        </w:rPr>
      </w:pPr>
      <w:r>
        <w:rPr>
          <w:color w:val="auto"/>
          <w:highlight w:val="none"/>
        </w:rPr>
        <w:t>（1）满意度指标</w:t>
      </w:r>
    </w:p>
    <w:p>
      <w:pPr>
        <w:keepNext/>
        <w:keepLines/>
        <w:ind w:firstLine="420"/>
        <w:rPr>
          <w:color w:val="auto"/>
          <w:highlight w:val="none"/>
        </w:rPr>
      </w:pPr>
      <w:r>
        <w:rPr>
          <w:rFonts w:hint="eastAsia"/>
          <w:color w:val="auto"/>
          <w:highlight w:val="none"/>
        </w:rPr>
        <w:t>“</w:t>
      </w:r>
      <w:r>
        <w:rPr>
          <w:color w:val="auto"/>
          <w:highlight w:val="none"/>
        </w:rPr>
        <w:t>D21受益教师及学生满意度</w:t>
      </w:r>
      <w:r>
        <w:rPr>
          <w:rFonts w:hint="eastAsia"/>
          <w:color w:val="auto"/>
          <w:highlight w:val="none"/>
        </w:rPr>
        <w:t>”</w:t>
      </w:r>
      <w:r>
        <w:rPr>
          <w:color w:val="auto"/>
          <w:highlight w:val="none"/>
        </w:rPr>
        <w:t>指标，预期指标值为大于等于90%。</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bookmarkStart w:id="134" w:name="_Toc11031"/>
      <w:bookmarkStart w:id="135" w:name="_Toc68364660"/>
      <w:bookmarkStart w:id="136" w:name="_Toc18221"/>
      <w:bookmarkStart w:id="137" w:name="_Toc18969"/>
      <w:bookmarkStart w:id="138" w:name="_Toc13531"/>
      <w:bookmarkStart w:id="139" w:name="_Toc27261"/>
      <w:bookmarkStart w:id="140" w:name="_Toc2145"/>
      <w:bookmarkStart w:id="141" w:name="_Toc1644"/>
      <w:bookmarkStart w:id="142" w:name="_Toc27578"/>
      <w:r>
        <w:rPr>
          <w:b/>
          <w:bCs/>
          <w:color w:val="auto"/>
          <w:sz w:val="24"/>
          <w:szCs w:val="28"/>
          <w:highlight w:val="none"/>
        </w:rPr>
        <w:t>三、绩效评价工作开展情况</w:t>
      </w:r>
      <w:bookmarkEnd w:id="134"/>
      <w:bookmarkEnd w:id="135"/>
      <w:bookmarkEnd w:id="136"/>
      <w:bookmarkEnd w:id="137"/>
      <w:bookmarkEnd w:id="138"/>
      <w:bookmarkEnd w:id="139"/>
      <w:bookmarkEnd w:id="140"/>
      <w:bookmarkEnd w:id="141"/>
      <w:bookmarkEnd w:id="142"/>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bookmarkStart w:id="143" w:name="_Toc9933"/>
      <w:bookmarkStart w:id="144" w:name="_Toc16422"/>
      <w:bookmarkStart w:id="145" w:name="_Toc11050"/>
      <w:bookmarkStart w:id="146" w:name="_Toc27940"/>
      <w:bookmarkStart w:id="147" w:name="_Toc2003"/>
      <w:bookmarkStart w:id="148" w:name="_Toc22356"/>
      <w:bookmarkStart w:id="149" w:name="_Toc6651"/>
      <w:bookmarkStart w:id="150" w:name="_Toc32677"/>
      <w:bookmarkStart w:id="151" w:name="_Toc20938"/>
      <w:bookmarkStart w:id="152" w:name="_Toc68364661"/>
      <w:r>
        <w:rPr>
          <w:b/>
          <w:bCs/>
          <w:color w:val="auto"/>
          <w:sz w:val="24"/>
          <w:szCs w:val="28"/>
          <w:highlight w:val="none"/>
        </w:rPr>
        <w:t>（一）绩效评价依据</w:t>
      </w:r>
      <w:bookmarkEnd w:id="143"/>
      <w:bookmarkEnd w:id="144"/>
      <w:bookmarkEnd w:id="145"/>
      <w:bookmarkEnd w:id="146"/>
      <w:bookmarkEnd w:id="147"/>
      <w:bookmarkEnd w:id="148"/>
      <w:bookmarkEnd w:id="149"/>
      <w:bookmarkEnd w:id="150"/>
      <w:bookmarkEnd w:id="151"/>
    </w:p>
    <w:p>
      <w:pPr>
        <w:keepNext/>
        <w:keepLines/>
        <w:numPr>
          <w:ilvl w:val="0"/>
          <w:numId w:val="0"/>
        </w:numPr>
        <w:ind w:left="477" w:leftChars="0"/>
        <w:rPr>
          <w:color w:val="auto"/>
          <w:highlight w:val="none"/>
        </w:rPr>
      </w:pPr>
      <w:r>
        <w:rPr>
          <w:rFonts w:hint="eastAsia"/>
          <w:color w:val="auto"/>
          <w:highlight w:val="none"/>
          <w:lang w:val="en-US" w:eastAsia="zh-CN"/>
        </w:rPr>
        <w:t>1.</w:t>
      </w:r>
      <w:r>
        <w:rPr>
          <w:color w:val="auto"/>
          <w:highlight w:val="none"/>
        </w:rPr>
        <w:t>《中华人民共和国预算法》</w:t>
      </w:r>
    </w:p>
    <w:p>
      <w:pPr>
        <w:keepNext/>
        <w:keepLines/>
        <w:numPr>
          <w:ilvl w:val="0"/>
          <w:numId w:val="0"/>
        </w:numPr>
        <w:ind w:left="477" w:leftChars="0"/>
        <w:rPr>
          <w:color w:val="auto"/>
          <w:highlight w:val="none"/>
        </w:rPr>
      </w:pPr>
      <w:r>
        <w:rPr>
          <w:rFonts w:hint="eastAsia"/>
          <w:color w:val="auto"/>
          <w:highlight w:val="none"/>
          <w:lang w:val="en-US" w:eastAsia="zh-CN"/>
        </w:rPr>
        <w:t>2.</w:t>
      </w:r>
      <w:r>
        <w:rPr>
          <w:color w:val="auto"/>
          <w:highlight w:val="none"/>
        </w:rPr>
        <w:t>《中共中央国务院关于全面实施预算绩效管理的意见》（中发〔2018〕34号）</w:t>
      </w:r>
    </w:p>
    <w:p>
      <w:pPr>
        <w:keepNext/>
        <w:keepLines/>
        <w:numPr>
          <w:ilvl w:val="0"/>
          <w:numId w:val="0"/>
        </w:numPr>
        <w:ind w:left="477" w:leftChars="0"/>
        <w:rPr>
          <w:color w:val="auto"/>
          <w:highlight w:val="none"/>
        </w:rPr>
      </w:pPr>
      <w:r>
        <w:rPr>
          <w:rFonts w:hint="eastAsia"/>
          <w:color w:val="auto"/>
          <w:highlight w:val="none"/>
          <w:lang w:val="en-US" w:eastAsia="zh-CN"/>
        </w:rPr>
        <w:t>3.</w:t>
      </w:r>
      <w:r>
        <w:rPr>
          <w:color w:val="auto"/>
          <w:highlight w:val="none"/>
        </w:rPr>
        <w:t>《项目支出绩效评价管理办法》（财预〔2020〕10号）</w:t>
      </w:r>
    </w:p>
    <w:p>
      <w:pPr>
        <w:keepNext/>
        <w:keepLines/>
        <w:numPr>
          <w:ilvl w:val="0"/>
          <w:numId w:val="0"/>
        </w:numPr>
        <w:ind w:left="477" w:leftChars="0"/>
        <w:rPr>
          <w:color w:val="auto"/>
          <w:highlight w:val="none"/>
        </w:rPr>
      </w:pPr>
      <w:r>
        <w:rPr>
          <w:rFonts w:hint="eastAsia"/>
          <w:color w:val="auto"/>
          <w:highlight w:val="none"/>
          <w:lang w:val="en-US" w:eastAsia="zh-CN"/>
        </w:rPr>
        <w:t>4.</w:t>
      </w:r>
      <w:r>
        <w:rPr>
          <w:color w:val="auto"/>
          <w:highlight w:val="none"/>
        </w:rPr>
        <w:t>《财政部关于印发〈第三方机构预算绩效评价业务监督管理暂行办法〉的通知》（财</w:t>
      </w:r>
    </w:p>
    <w:p>
      <w:pPr>
        <w:keepNext/>
        <w:keepLines/>
        <w:numPr>
          <w:ilvl w:val="255"/>
          <w:numId w:val="0"/>
        </w:numPr>
        <w:rPr>
          <w:color w:val="auto"/>
          <w:highlight w:val="none"/>
        </w:rPr>
      </w:pPr>
      <w:r>
        <w:rPr>
          <w:color w:val="auto"/>
          <w:highlight w:val="none"/>
        </w:rPr>
        <w:t>监〔2021〕4号）</w:t>
      </w:r>
    </w:p>
    <w:p>
      <w:pPr>
        <w:keepNext/>
        <w:keepLines/>
        <w:numPr>
          <w:ilvl w:val="0"/>
          <w:numId w:val="0"/>
        </w:numPr>
        <w:ind w:left="477" w:leftChars="0"/>
        <w:rPr>
          <w:color w:val="auto"/>
          <w:highlight w:val="none"/>
        </w:rPr>
      </w:pPr>
      <w:r>
        <w:rPr>
          <w:rFonts w:hint="eastAsia"/>
          <w:color w:val="auto"/>
          <w:highlight w:val="none"/>
          <w:lang w:val="en-US" w:eastAsia="zh-CN"/>
        </w:rPr>
        <w:t>5.</w:t>
      </w:r>
      <w:r>
        <w:rPr>
          <w:color w:val="auto"/>
          <w:highlight w:val="none"/>
        </w:rPr>
        <w:t>《关于进一步加强和规范第三方机构参与预算绩效管理的通知》（新财预〔2021〕</w:t>
      </w:r>
    </w:p>
    <w:p>
      <w:pPr>
        <w:keepNext/>
        <w:keepLines/>
        <w:numPr>
          <w:ilvl w:val="255"/>
          <w:numId w:val="0"/>
        </w:numPr>
        <w:rPr>
          <w:color w:val="auto"/>
          <w:highlight w:val="none"/>
        </w:rPr>
      </w:pPr>
      <w:r>
        <w:rPr>
          <w:color w:val="auto"/>
          <w:highlight w:val="none"/>
        </w:rPr>
        <w:t>49号）</w:t>
      </w:r>
    </w:p>
    <w:p>
      <w:pPr>
        <w:keepNext/>
        <w:keepLines/>
        <w:numPr>
          <w:ilvl w:val="0"/>
          <w:numId w:val="0"/>
        </w:numPr>
        <w:ind w:left="477" w:leftChars="0"/>
        <w:rPr>
          <w:color w:val="auto"/>
          <w:highlight w:val="none"/>
        </w:rPr>
      </w:pPr>
      <w:r>
        <w:rPr>
          <w:rFonts w:hint="eastAsia"/>
          <w:color w:val="auto"/>
          <w:highlight w:val="none"/>
          <w:lang w:val="en-US" w:eastAsia="zh-CN"/>
        </w:rPr>
        <w:t>6.</w:t>
      </w:r>
      <w:r>
        <w:rPr>
          <w:color w:val="auto"/>
          <w:highlight w:val="none"/>
        </w:rPr>
        <w:t>《中华人民共和国防震减灾法》和《国家中长期教育改革和发展规划纲要</w:t>
      </w:r>
    </w:p>
    <w:p>
      <w:pPr>
        <w:keepNext/>
        <w:keepLines/>
        <w:numPr>
          <w:ilvl w:val="255"/>
          <w:numId w:val="0"/>
        </w:numPr>
        <w:rPr>
          <w:color w:val="auto"/>
          <w:highlight w:val="none"/>
        </w:rPr>
      </w:pPr>
      <w:r>
        <w:rPr>
          <w:color w:val="auto"/>
          <w:highlight w:val="none"/>
        </w:rPr>
        <w:t>（2010—2020年）》</w:t>
      </w:r>
    </w:p>
    <w:p>
      <w:pPr>
        <w:keepNext/>
        <w:keepLines/>
        <w:numPr>
          <w:ilvl w:val="0"/>
          <w:numId w:val="0"/>
        </w:numPr>
        <w:ind w:left="477" w:leftChars="0"/>
        <w:rPr>
          <w:color w:val="auto"/>
          <w:highlight w:val="none"/>
        </w:rPr>
      </w:pPr>
      <w:r>
        <w:rPr>
          <w:rFonts w:hint="eastAsia"/>
          <w:color w:val="auto"/>
          <w:highlight w:val="none"/>
          <w:lang w:val="en-US" w:eastAsia="zh-CN"/>
        </w:rPr>
        <w:t>7.</w:t>
      </w:r>
      <w:r>
        <w:rPr>
          <w:color w:val="auto"/>
          <w:highlight w:val="none"/>
        </w:rPr>
        <w:t>《喀什地区国民经济和社会发展第十四个五年规划和2035年远景目标纲要》</w:t>
      </w:r>
    </w:p>
    <w:p>
      <w:pPr>
        <w:keepNext/>
        <w:keepLines/>
        <w:numPr>
          <w:ilvl w:val="0"/>
          <w:numId w:val="0"/>
        </w:numPr>
        <w:ind w:left="477" w:leftChars="0"/>
        <w:rPr>
          <w:color w:val="auto"/>
          <w:highlight w:val="none"/>
        </w:rPr>
      </w:pPr>
      <w:r>
        <w:rPr>
          <w:rFonts w:hint="eastAsia"/>
          <w:color w:val="auto"/>
          <w:highlight w:val="none"/>
          <w:lang w:val="en-US" w:eastAsia="zh-CN"/>
        </w:rPr>
        <w:t>8.</w:t>
      </w:r>
      <w:r>
        <w:rPr>
          <w:color w:val="auto"/>
          <w:highlight w:val="none"/>
        </w:rPr>
        <w:t>《关于提前下达2023年城乡义务教育补助经费预算（中央直达资金）的通知》（喀</w:t>
      </w:r>
    </w:p>
    <w:p>
      <w:pPr>
        <w:keepNext/>
        <w:keepLines/>
        <w:numPr>
          <w:ilvl w:val="255"/>
          <w:numId w:val="0"/>
        </w:numPr>
        <w:rPr>
          <w:color w:val="auto"/>
          <w:highlight w:val="none"/>
        </w:rPr>
      </w:pPr>
      <w:r>
        <w:rPr>
          <w:color w:val="auto"/>
          <w:highlight w:val="none"/>
        </w:rPr>
        <w:t>地财教〔2022〕63号）</w:t>
      </w:r>
    </w:p>
    <w:p>
      <w:pPr>
        <w:keepNext/>
        <w:keepLines/>
        <w:numPr>
          <w:ilvl w:val="0"/>
          <w:numId w:val="0"/>
        </w:numPr>
        <w:ind w:left="477" w:leftChars="0"/>
        <w:rPr>
          <w:color w:val="auto"/>
          <w:highlight w:val="none"/>
        </w:rPr>
      </w:pPr>
      <w:r>
        <w:rPr>
          <w:rFonts w:hint="eastAsia"/>
          <w:color w:val="auto"/>
          <w:highlight w:val="none"/>
          <w:lang w:val="en-US" w:eastAsia="zh-CN"/>
        </w:rPr>
        <w:t>9.</w:t>
      </w:r>
      <w:r>
        <w:rPr>
          <w:color w:val="auto"/>
          <w:highlight w:val="none"/>
        </w:rPr>
        <w:t>《关于喀什地区巴楚县2023年城乡义务教育农村校舍安全保障长效机制项目（第</w:t>
      </w:r>
    </w:p>
    <w:p>
      <w:pPr>
        <w:keepNext/>
        <w:keepLines/>
        <w:numPr>
          <w:ilvl w:val="255"/>
          <w:numId w:val="0"/>
        </w:numPr>
        <w:rPr>
          <w:color w:val="auto"/>
          <w:highlight w:val="none"/>
        </w:rPr>
      </w:pPr>
      <w:r>
        <w:rPr>
          <w:color w:val="auto"/>
          <w:highlight w:val="none"/>
        </w:rPr>
        <w:t>一批）可行性研究报告（代项目建议书）的批复》（巴发改项目〔2023〕95号）</w:t>
      </w:r>
    </w:p>
    <w:p>
      <w:pPr>
        <w:keepNext/>
        <w:keepLines/>
        <w:numPr>
          <w:ilvl w:val="0"/>
          <w:numId w:val="0"/>
        </w:numPr>
        <w:ind w:left="477" w:leftChars="0"/>
        <w:rPr>
          <w:color w:val="auto"/>
          <w:highlight w:val="none"/>
        </w:rPr>
      </w:pPr>
      <w:r>
        <w:rPr>
          <w:rFonts w:hint="eastAsia"/>
          <w:color w:val="auto"/>
          <w:highlight w:val="none"/>
          <w:lang w:val="en-US" w:eastAsia="zh-CN"/>
        </w:rPr>
        <w:t>10.</w:t>
      </w:r>
      <w:r>
        <w:rPr>
          <w:color w:val="auto"/>
          <w:highlight w:val="none"/>
        </w:rPr>
        <w:t>《喀什地区巴楚县2023年城乡义务教育农村校舍安全保障长效机制项目（第一批）</w:t>
      </w:r>
    </w:p>
    <w:p>
      <w:pPr>
        <w:keepNext/>
        <w:keepLines/>
        <w:numPr>
          <w:ilvl w:val="255"/>
          <w:numId w:val="0"/>
        </w:numPr>
        <w:rPr>
          <w:color w:val="auto"/>
          <w:highlight w:val="none"/>
        </w:rPr>
      </w:pPr>
      <w:r>
        <w:rPr>
          <w:color w:val="auto"/>
          <w:highlight w:val="none"/>
        </w:rPr>
        <w:t>可行性研究报告（代项目建议书）》</w:t>
      </w:r>
    </w:p>
    <w:p>
      <w:pPr>
        <w:keepNext/>
        <w:keepLines/>
        <w:numPr>
          <w:ilvl w:val="0"/>
          <w:numId w:val="0"/>
        </w:numPr>
        <w:ind w:left="477" w:leftChars="0"/>
        <w:rPr>
          <w:color w:val="auto"/>
          <w:highlight w:val="none"/>
        </w:rPr>
      </w:pPr>
      <w:r>
        <w:rPr>
          <w:rFonts w:hint="eastAsia"/>
          <w:color w:val="auto"/>
          <w:highlight w:val="none"/>
          <w:lang w:val="en-US" w:eastAsia="zh-CN"/>
        </w:rPr>
        <w:t>11.</w:t>
      </w:r>
      <w:r>
        <w:rPr>
          <w:color w:val="auto"/>
          <w:highlight w:val="none"/>
        </w:rPr>
        <w:t>项目前期审批手续、开工报告、验收单等其他相关资料</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bookmarkStart w:id="153" w:name="_Toc3321"/>
      <w:bookmarkStart w:id="154" w:name="_Toc6928"/>
      <w:bookmarkStart w:id="155" w:name="_Toc14112"/>
      <w:bookmarkStart w:id="156" w:name="_Toc25120"/>
      <w:bookmarkStart w:id="157" w:name="_Toc17984"/>
      <w:bookmarkStart w:id="158" w:name="_Toc19532"/>
      <w:bookmarkStart w:id="159" w:name="_Toc17114"/>
      <w:bookmarkStart w:id="160" w:name="_Toc29020"/>
      <w:r>
        <w:rPr>
          <w:b/>
          <w:bCs/>
          <w:color w:val="auto"/>
          <w:sz w:val="24"/>
          <w:szCs w:val="28"/>
          <w:highlight w:val="none"/>
        </w:rPr>
        <w:t>（二）绩效评价目的、对象和范围</w:t>
      </w:r>
      <w:bookmarkEnd w:id="152"/>
      <w:bookmarkEnd w:id="153"/>
      <w:bookmarkEnd w:id="154"/>
      <w:bookmarkEnd w:id="155"/>
      <w:bookmarkEnd w:id="156"/>
      <w:bookmarkEnd w:id="157"/>
      <w:bookmarkEnd w:id="158"/>
      <w:bookmarkEnd w:id="159"/>
      <w:bookmarkEnd w:id="160"/>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bookmarkStart w:id="161" w:name="_Toc68364662"/>
      <w:r>
        <w:rPr>
          <w:b/>
          <w:bCs/>
          <w:color w:val="auto"/>
          <w:sz w:val="24"/>
          <w:szCs w:val="28"/>
          <w:highlight w:val="none"/>
        </w:rPr>
        <w:t>1.绩效评价目的</w:t>
      </w:r>
    </w:p>
    <w:p>
      <w:pPr>
        <w:keepNext/>
        <w:keepLines/>
        <w:ind w:firstLine="420"/>
        <w:rPr>
          <w:color w:val="auto"/>
          <w:highlight w:val="none"/>
        </w:rPr>
      </w:pPr>
      <w:r>
        <w:rPr>
          <w:color w:val="auto"/>
          <w:highlight w:val="none"/>
        </w:rPr>
        <w:t>本次绩效评价遵循财政部《项目支出绩效评价管理办法》（财预〔2020〕10号）和自治区财政厅《自治区财政支出绩效评价管理暂行办法》（新财预〔2018〕189号）等相关政策文件与规定，旨在评价财政项目实施前期、过程及效果，对财政项目支出的经济性、效率性、效益性和公平性进行客观、公正的测量、分析和评判。</w:t>
      </w:r>
    </w:p>
    <w:p>
      <w:pPr>
        <w:keepNext/>
        <w:keepLines/>
        <w:ind w:firstLine="420"/>
        <w:rPr>
          <w:color w:val="auto"/>
          <w:highlight w:val="none"/>
        </w:rPr>
      </w:pPr>
      <w:r>
        <w:rPr>
          <w:color w:val="auto"/>
          <w:highlight w:val="none"/>
        </w:rPr>
        <w:t>绩效评价的目的是为全面了解该项目预算编制合理性、资金使用合规性、项目管理的规范性、项目目标的实现情况、服务对象的满意度等，通过本次项目绩效评价来总结项目经验，促进项目成果转化和应用，为今后类似项目的长效管理，提供可行性参考建议。</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2.绩效评价对象及范围</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color w:val="auto"/>
          <w:highlight w:val="none"/>
        </w:rPr>
        <w:t>本次绩效评价的对象为喀什地区巴楚县2023年城乡义务教育农村校舍安全保障长效机制项目（第一批），主要评价该项目的投入、产出及效益。本次绩效评价范围主要围绕项目决策情况、资金管理和使用情况、相关管理制度办法的健全性及执行情况、实现的产出情况、取得的效益情况以及其他相关内容。</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rFonts w:hint="eastAsia"/>
          <w:b/>
          <w:bCs/>
          <w:color w:val="auto"/>
          <w:sz w:val="24"/>
          <w:szCs w:val="28"/>
          <w:highlight w:val="none"/>
          <w:lang w:val="en-US" w:eastAsia="zh-CN"/>
        </w:rPr>
        <w:t>3.</w:t>
      </w:r>
      <w:r>
        <w:rPr>
          <w:b/>
          <w:bCs/>
          <w:color w:val="auto"/>
          <w:sz w:val="24"/>
          <w:szCs w:val="28"/>
          <w:highlight w:val="none"/>
        </w:rPr>
        <w:t>绩效评价时段</w:t>
      </w:r>
    </w:p>
    <w:p>
      <w:pPr>
        <w:keepNext/>
        <w:keepLines/>
        <w:ind w:firstLine="420"/>
        <w:rPr>
          <w:color w:val="auto"/>
          <w:highlight w:val="none"/>
        </w:rPr>
      </w:pPr>
      <w:r>
        <w:rPr>
          <w:color w:val="auto"/>
          <w:highlight w:val="none"/>
        </w:rPr>
        <w:t>本次绩效评价工作的评价时段为：2023年1月至2023年12月</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bookmarkStart w:id="162" w:name="_Toc5916"/>
      <w:bookmarkStart w:id="163" w:name="_Toc25504"/>
      <w:bookmarkStart w:id="164" w:name="_Toc10723"/>
      <w:bookmarkStart w:id="165" w:name="_Toc26692"/>
      <w:bookmarkStart w:id="166" w:name="_Toc8743"/>
      <w:bookmarkStart w:id="167" w:name="_Toc28019"/>
      <w:bookmarkStart w:id="168" w:name="_Toc23348"/>
      <w:bookmarkStart w:id="169" w:name="_Toc21366"/>
      <w:r>
        <w:rPr>
          <w:b/>
          <w:bCs/>
          <w:color w:val="auto"/>
          <w:sz w:val="24"/>
          <w:szCs w:val="28"/>
          <w:highlight w:val="none"/>
        </w:rPr>
        <w:t>（三）绩效评价原则</w:t>
      </w:r>
      <w:bookmarkEnd w:id="161"/>
      <w:bookmarkEnd w:id="162"/>
      <w:bookmarkEnd w:id="163"/>
      <w:bookmarkEnd w:id="164"/>
      <w:bookmarkEnd w:id="165"/>
      <w:bookmarkEnd w:id="166"/>
      <w:bookmarkEnd w:id="167"/>
      <w:bookmarkEnd w:id="168"/>
      <w:bookmarkEnd w:id="169"/>
    </w:p>
    <w:p>
      <w:pPr>
        <w:keepNext/>
        <w:keepLines/>
        <w:ind w:firstLine="420"/>
        <w:rPr>
          <w:color w:val="auto"/>
          <w:highlight w:val="none"/>
        </w:rPr>
      </w:pPr>
      <w:r>
        <w:rPr>
          <w:color w:val="auto"/>
          <w:highlight w:val="none"/>
        </w:rPr>
        <w:t>本次绩效评价遵循的原则包括：</w:t>
      </w:r>
    </w:p>
    <w:p>
      <w:pPr>
        <w:keepNext/>
        <w:keepLines/>
        <w:ind w:firstLine="420"/>
        <w:rPr>
          <w:color w:val="auto"/>
          <w:highlight w:val="none"/>
        </w:rPr>
      </w:pPr>
      <w:r>
        <w:rPr>
          <w:color w:val="auto"/>
          <w:highlight w:val="none"/>
        </w:rPr>
        <w:t>（1）独立性原则：在评价工作中保持充分的第三方独立性，不</w:t>
      </w:r>
      <w:r>
        <w:rPr>
          <w:rFonts w:hint="eastAsia"/>
          <w:color w:val="auto"/>
          <w:highlight w:val="none"/>
        </w:rPr>
        <w:t>受</w:t>
      </w:r>
      <w:r>
        <w:rPr>
          <w:color w:val="auto"/>
          <w:highlight w:val="none"/>
        </w:rPr>
        <w:t>其他第三方不当干预。</w:t>
      </w:r>
    </w:p>
    <w:p>
      <w:pPr>
        <w:keepNext/>
        <w:keepLines/>
        <w:ind w:firstLine="420"/>
        <w:rPr>
          <w:color w:val="auto"/>
          <w:highlight w:val="none"/>
        </w:rPr>
      </w:pPr>
      <w:r>
        <w:rPr>
          <w:color w:val="auto"/>
          <w:highlight w:val="none"/>
        </w:rPr>
        <w:t>（2）客观性原则：第三方机构应当按照协议（合同）约定事项开展绩效评价，实事求是地向委托方提供服务，以客观事实为依据，确保内容真实、数字准确和资料可靠。</w:t>
      </w:r>
    </w:p>
    <w:p>
      <w:pPr>
        <w:keepNext/>
        <w:keepLines/>
        <w:ind w:firstLine="420"/>
        <w:rPr>
          <w:color w:val="auto"/>
          <w:highlight w:val="none"/>
        </w:rPr>
      </w:pPr>
      <w:r>
        <w:rPr>
          <w:color w:val="auto"/>
          <w:highlight w:val="none"/>
        </w:rPr>
        <w:t>（3）科学性原则。第三方机构应当履行必要评价程序，对原始资料进行核查验证，选择一种或多种方法进行对比分析，形成结论并出具评价报告。</w:t>
      </w:r>
    </w:p>
    <w:p>
      <w:pPr>
        <w:keepNext/>
        <w:keepLines/>
        <w:ind w:firstLine="420"/>
        <w:rPr>
          <w:color w:val="auto"/>
          <w:highlight w:val="none"/>
        </w:rPr>
      </w:pPr>
      <w:r>
        <w:rPr>
          <w:color w:val="auto"/>
          <w:highlight w:val="none"/>
        </w:rPr>
        <w:t>（4）公正性原则：在评价过程中坚持公正、客观地反映实际情况，不隐瞒、弄虚作假。</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bookmarkStart w:id="170" w:name="_Toc16633"/>
      <w:bookmarkStart w:id="171" w:name="_Toc2929"/>
      <w:bookmarkStart w:id="172" w:name="_Toc8036"/>
      <w:bookmarkStart w:id="173" w:name="_Toc23247"/>
      <w:bookmarkStart w:id="174" w:name="_Toc28649"/>
      <w:bookmarkStart w:id="175" w:name="_Toc13826"/>
      <w:bookmarkStart w:id="176" w:name="_Toc12580"/>
      <w:bookmarkStart w:id="177" w:name="_Toc4306"/>
      <w:r>
        <w:rPr>
          <w:b/>
          <w:bCs/>
          <w:color w:val="auto"/>
          <w:sz w:val="24"/>
          <w:szCs w:val="28"/>
          <w:highlight w:val="none"/>
        </w:rPr>
        <w:t>（四）绩效评价指标体系设计</w:t>
      </w:r>
      <w:bookmarkEnd w:id="170"/>
      <w:bookmarkEnd w:id="171"/>
      <w:bookmarkEnd w:id="172"/>
      <w:bookmarkEnd w:id="173"/>
      <w:bookmarkEnd w:id="174"/>
      <w:bookmarkEnd w:id="175"/>
      <w:bookmarkEnd w:id="176"/>
      <w:bookmarkEnd w:id="177"/>
    </w:p>
    <w:p>
      <w:pPr>
        <w:keepNext/>
        <w:keepLines/>
        <w:ind w:firstLine="420"/>
        <w:rPr>
          <w:color w:val="auto"/>
          <w:highlight w:val="none"/>
          <w:lang w:val="zh-TW" w:eastAsia="zh-TW"/>
        </w:rPr>
      </w:pPr>
      <w:bookmarkStart w:id="178" w:name="_Toc7109"/>
      <w:bookmarkStart w:id="179" w:name="_Toc6497"/>
      <w:bookmarkStart w:id="180" w:name="_Toc68364664"/>
      <w:r>
        <w:rPr>
          <w:color w:val="auto"/>
          <w:highlight w:val="none"/>
          <w:lang w:val="zh-TW" w:eastAsia="zh-TW"/>
        </w:rPr>
        <w:t>按照《项目支出绩效评价管理办法》（财预〔2020〕10号）文件要求，绩效评价指标的确定应当与评价对象密切相关，全面反映项目决策、项目和资金管理、产出和效益；优先选取最具代表性、最能直接反映产出和效益的核心指标，精简实用；指标内涵应当明确、具体、可衡量，数据及佐证资料应当可采集、可获得；同类项目绩效评价指标和标准应具有一致性，便于评价结果相互比较。</w:t>
      </w:r>
    </w:p>
    <w:p>
      <w:pPr>
        <w:keepNext/>
        <w:keepLines/>
        <w:ind w:firstLine="420"/>
        <w:rPr>
          <w:color w:val="auto"/>
          <w:highlight w:val="none"/>
        </w:rPr>
      </w:pPr>
      <w:r>
        <w:rPr>
          <w:color w:val="auto"/>
          <w:highlight w:val="none"/>
        </w:rPr>
        <w:t>绩效评价小组结合项目的实际情况，综合考虑相关性、重要性、可衡量性、可操作性和可实现性，按照逻辑分析法设计本次绩效评价指标体系，绩效评价指标的权重设计突出建设期项目管理，设置一级指标共4个，包括决策指标（10%）、过程指标（25%）、产出指标（30%）、效益指标（35%）四类指标；主要围绕资金使用、项目管理、资源配置等方面，客观分析项目的产出和效果，从而考察项目预算定额标准的合理性，进而提出完善意见。整个评价框架构成体现从投入、过程到产出、效果和影响的绩效逻辑路径。具体指标分类如下</w:t>
      </w:r>
      <w:r>
        <w:rPr>
          <w:color w:val="auto"/>
          <w:highlight w:val="none"/>
          <w:lang w:val="zh-TW"/>
        </w:rPr>
        <w:t>。</w:t>
      </w:r>
      <w:r>
        <w:rPr>
          <w:color w:val="auto"/>
          <w:highlight w:val="none"/>
        </w:rPr>
        <w:t>具体指标分类如下：</w:t>
      </w:r>
    </w:p>
    <w:p>
      <w:pPr>
        <w:keepNext/>
        <w:keepLines/>
        <w:ind w:firstLine="420"/>
        <w:rPr>
          <w:color w:val="auto"/>
          <w:highlight w:val="none"/>
        </w:rPr>
      </w:pPr>
      <w:r>
        <w:rPr>
          <w:color w:val="auto"/>
          <w:highlight w:val="none"/>
        </w:rPr>
        <w:t>（1）决策指标：从项目立项、绩效目标、资金投入三个方面对项目决策情况进行评价，设置了包括：立项依据充分性、立项程序规范性、绩效目标合理性、绩效指标明确性、预算编制科学性、资金分配合理性等6个三级指标。</w:t>
      </w:r>
    </w:p>
    <w:p>
      <w:pPr>
        <w:keepNext/>
        <w:keepLines/>
        <w:ind w:firstLine="420"/>
        <w:rPr>
          <w:color w:val="auto"/>
          <w:highlight w:val="none"/>
        </w:rPr>
      </w:pPr>
      <w:r>
        <w:rPr>
          <w:color w:val="auto"/>
          <w:highlight w:val="none"/>
        </w:rPr>
        <w:t>（2）过程指标：从资金管理、组织实施两个方面评价项目实施过程情况，包括资金到位率、预算执行率、资金使用合规性、管理制度健全性、制度执行有效性等5个三级指标。</w:t>
      </w:r>
    </w:p>
    <w:p>
      <w:pPr>
        <w:keepNext/>
        <w:keepLines/>
        <w:ind w:firstLine="420"/>
        <w:rPr>
          <w:color w:val="auto"/>
          <w:highlight w:val="none"/>
        </w:rPr>
      </w:pPr>
      <w:r>
        <w:rPr>
          <w:color w:val="auto"/>
          <w:highlight w:val="none"/>
        </w:rPr>
        <w:t>（3）产出指标：从数量、质量、时效、成本等四方面评价项目产出情况，包括维修改造学校数量</w:t>
      </w:r>
      <w:r>
        <w:rPr>
          <w:rFonts w:hint="eastAsia"/>
          <w:color w:val="auto"/>
          <w:highlight w:val="none"/>
        </w:rPr>
        <w:t>、</w:t>
      </w:r>
      <w:r>
        <w:rPr>
          <w:color w:val="auto"/>
          <w:highlight w:val="none"/>
        </w:rPr>
        <w:t>竣工验收合格率</w:t>
      </w:r>
      <w:r>
        <w:rPr>
          <w:rFonts w:hint="eastAsia"/>
          <w:color w:val="auto"/>
          <w:highlight w:val="none"/>
        </w:rPr>
        <w:t>、项目开工及时率、项目完工及时率、</w:t>
      </w:r>
      <w:r>
        <w:rPr>
          <w:rFonts w:hint="eastAsia"/>
          <w:color w:val="auto"/>
          <w:highlight w:val="none"/>
          <w:lang w:eastAsia="zh-CN"/>
        </w:rPr>
        <w:t>工程建设成本预算控制率</w:t>
      </w:r>
      <w:r>
        <w:rPr>
          <w:rFonts w:hint="eastAsia"/>
          <w:color w:val="auto"/>
          <w:highlight w:val="none"/>
        </w:rPr>
        <w:t>5</w:t>
      </w:r>
      <w:r>
        <w:rPr>
          <w:color w:val="auto"/>
          <w:highlight w:val="none"/>
        </w:rPr>
        <w:t>三级指标。</w:t>
      </w:r>
    </w:p>
    <w:p>
      <w:pPr>
        <w:keepNext/>
        <w:keepLines/>
        <w:ind w:firstLine="420"/>
        <w:rPr>
          <w:color w:val="auto"/>
          <w:highlight w:val="none"/>
        </w:rPr>
      </w:pPr>
      <w:r>
        <w:rPr>
          <w:color w:val="auto"/>
          <w:highlight w:val="none"/>
        </w:rPr>
        <w:t>（4）效果指标：从社会效益、服务对象满意度等2个方面评价项目效益情况，包括维修改造正常运转率</w:t>
      </w:r>
      <w:r>
        <w:rPr>
          <w:rFonts w:hint="eastAsia"/>
          <w:color w:val="auto"/>
          <w:highlight w:val="none"/>
        </w:rPr>
        <w:t>、</w:t>
      </w:r>
      <w:r>
        <w:rPr>
          <w:color w:val="auto"/>
          <w:highlight w:val="none"/>
        </w:rPr>
        <w:t>重大事故发生数</w:t>
      </w:r>
      <w:r>
        <w:rPr>
          <w:rFonts w:hint="eastAsia"/>
          <w:color w:val="auto"/>
          <w:highlight w:val="none"/>
        </w:rPr>
        <w:t>、</w:t>
      </w:r>
      <w:r>
        <w:rPr>
          <w:color w:val="auto"/>
          <w:highlight w:val="none"/>
        </w:rPr>
        <w:t>提升学校基础设施水平</w:t>
      </w:r>
      <w:r>
        <w:rPr>
          <w:rFonts w:hint="eastAsia"/>
          <w:color w:val="auto"/>
          <w:highlight w:val="none"/>
        </w:rPr>
        <w:t>、</w:t>
      </w:r>
      <w:r>
        <w:rPr>
          <w:color w:val="auto"/>
          <w:highlight w:val="none"/>
        </w:rPr>
        <w:t>受益教师及学生满意度4个三级指标。</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bookmarkStart w:id="181" w:name="_Toc23299"/>
      <w:bookmarkStart w:id="182" w:name="_Toc16447"/>
      <w:bookmarkStart w:id="183" w:name="_Toc26259"/>
      <w:bookmarkStart w:id="184" w:name="_Toc31104"/>
      <w:bookmarkStart w:id="185" w:name="_Toc5019"/>
      <w:bookmarkStart w:id="186" w:name="_Toc21159"/>
      <w:bookmarkStart w:id="187" w:name="_Toc17217"/>
      <w:bookmarkStart w:id="188" w:name="_Toc25822"/>
      <w:r>
        <w:rPr>
          <w:b/>
          <w:bCs/>
          <w:color w:val="auto"/>
          <w:sz w:val="24"/>
          <w:szCs w:val="28"/>
          <w:highlight w:val="none"/>
        </w:rPr>
        <w:t>（五）绩效评价方法</w:t>
      </w:r>
      <w:bookmarkEnd w:id="178"/>
      <w:bookmarkEnd w:id="179"/>
      <w:bookmarkEnd w:id="181"/>
      <w:bookmarkEnd w:id="182"/>
      <w:bookmarkEnd w:id="183"/>
      <w:bookmarkEnd w:id="184"/>
      <w:bookmarkEnd w:id="185"/>
      <w:bookmarkEnd w:id="186"/>
      <w:bookmarkEnd w:id="187"/>
      <w:bookmarkEnd w:id="188"/>
    </w:p>
    <w:p>
      <w:pPr>
        <w:keepNext/>
        <w:keepLines/>
        <w:ind w:firstLine="420"/>
        <w:rPr>
          <w:color w:val="auto"/>
          <w:highlight w:val="none"/>
        </w:rPr>
      </w:pPr>
      <w:bookmarkStart w:id="189" w:name="_Toc1243"/>
      <w:bookmarkStart w:id="190" w:name="_Toc1972"/>
      <w:r>
        <w:rPr>
          <w:color w:val="auto"/>
          <w:highlight w:val="none"/>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该项目绩效。根据不同三级指标的类型进行逐项分析。</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（1）项目决策类指标评价方法</w:t>
      </w:r>
    </w:p>
    <w:p>
      <w:pPr>
        <w:keepNext/>
        <w:keepLines/>
        <w:ind w:firstLine="420"/>
        <w:rPr>
          <w:color w:val="auto"/>
          <w:highlight w:val="none"/>
        </w:rPr>
      </w:pPr>
      <w:r>
        <w:rPr>
          <w:color w:val="auto"/>
          <w:highlight w:val="none"/>
        </w:rPr>
        <w:t>立项依据充分性：比较法和文献法，查找法律法规政策以及规划，对比实际执行内容和政策支持内容是否匹配，分析立项依据充分性。</w:t>
      </w:r>
    </w:p>
    <w:p>
      <w:pPr>
        <w:keepNext/>
        <w:keepLines/>
        <w:ind w:firstLine="420"/>
        <w:rPr>
          <w:color w:val="auto"/>
          <w:highlight w:val="none"/>
        </w:rPr>
      </w:pPr>
      <w:r>
        <w:rPr>
          <w:color w:val="auto"/>
          <w:highlight w:val="none"/>
        </w:rPr>
        <w:t>立项程序规范性：比较法和文献法，查找相关项目设立的政策和文件要求，对比分析实际执行程序是否按照政策及文件要求执行，分析立项程序的规范性。</w:t>
      </w:r>
    </w:p>
    <w:p>
      <w:pPr>
        <w:keepNext/>
        <w:keepLines/>
        <w:ind w:firstLine="420"/>
        <w:rPr>
          <w:color w:val="auto"/>
          <w:highlight w:val="none"/>
        </w:rPr>
      </w:pPr>
      <w:r>
        <w:rPr>
          <w:color w:val="auto"/>
          <w:highlight w:val="none"/>
        </w:rPr>
        <w:t>绩效目标合理性：文献法和因素分析法，对比分析年初编制项目支出绩效目标表与项目内容的相关性、资金的匹配性等。</w:t>
      </w:r>
    </w:p>
    <w:p>
      <w:pPr>
        <w:keepNext/>
        <w:keepLines/>
        <w:ind w:firstLine="420"/>
        <w:rPr>
          <w:color w:val="auto"/>
          <w:highlight w:val="none"/>
        </w:rPr>
      </w:pPr>
      <w:r>
        <w:rPr>
          <w:color w:val="auto"/>
          <w:highlight w:val="none"/>
        </w:rPr>
        <w:t>绩效指标明确性：文献法和因素分析法，比较分析年初编制项目支出绩效目标表是否符合双七原则，是否可衡量。</w:t>
      </w:r>
    </w:p>
    <w:p>
      <w:pPr>
        <w:keepNext/>
        <w:keepLines/>
        <w:ind w:firstLine="420"/>
        <w:rPr>
          <w:color w:val="auto"/>
          <w:highlight w:val="none"/>
        </w:rPr>
      </w:pPr>
      <w:r>
        <w:rPr>
          <w:color w:val="auto"/>
          <w:highlight w:val="none"/>
        </w:rPr>
        <w:t>预算编制科学性：比较法和因素分析法，项目预算编制是否经过科学论证、有明确标准，资金额度与年度目标是否相适应，用以反映和考核项目预算编制的科学性、合理性情况。</w:t>
      </w:r>
    </w:p>
    <w:p>
      <w:pPr>
        <w:keepNext/>
        <w:keepLines/>
        <w:ind w:firstLine="420"/>
        <w:rPr>
          <w:rFonts w:eastAsia="宋体"/>
          <w:color w:val="auto"/>
          <w:highlight w:val="none"/>
        </w:rPr>
      </w:pPr>
      <w:r>
        <w:rPr>
          <w:color w:val="auto"/>
          <w:highlight w:val="none"/>
        </w:rPr>
        <w:t>资金分配合理性：因素分析法，综合分析资金的分配依据是否充分，分配金额是否与项目实施单位需求金额一致。</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（2）项目过程类指标评价方法</w:t>
      </w:r>
    </w:p>
    <w:p>
      <w:pPr>
        <w:keepNext/>
        <w:keepLines/>
        <w:ind w:firstLine="420"/>
        <w:rPr>
          <w:color w:val="auto"/>
          <w:highlight w:val="none"/>
        </w:rPr>
      </w:pPr>
      <w:r>
        <w:rPr>
          <w:color w:val="auto"/>
          <w:highlight w:val="none"/>
        </w:rPr>
        <w:t>资金到位率：比较法和因素分析法，项目完成且资金到位数满足年度预算规模需求，得3分；项目尚未完成，资金到位</w:t>
      </w:r>
      <w:r>
        <w:rPr>
          <w:rFonts w:eastAsia="宋体"/>
          <w:color w:val="auto"/>
          <w:highlight w:val="none"/>
        </w:rPr>
        <w:t>率小于100%且大于等于80%的得2分，资金到位率小于80%且大于等于60%的得1</w:t>
      </w:r>
      <w:r>
        <w:rPr>
          <w:rFonts w:hint="eastAsia" w:eastAsia="宋体"/>
          <w:color w:val="auto"/>
          <w:highlight w:val="none"/>
          <w:lang w:eastAsia="zh-CN"/>
        </w:rPr>
        <w:t>.5</w:t>
      </w:r>
      <w:r>
        <w:rPr>
          <w:rFonts w:eastAsia="宋体"/>
          <w:color w:val="auto"/>
          <w:highlight w:val="none"/>
        </w:rPr>
        <w:t>分，资金到位率小于60%的不得分，并分</w:t>
      </w:r>
      <w:r>
        <w:rPr>
          <w:color w:val="auto"/>
          <w:highlight w:val="none"/>
        </w:rPr>
        <w:t>析实际完成值和预期指标值之间的差距和原因。</w:t>
      </w:r>
    </w:p>
    <w:p>
      <w:pPr>
        <w:keepNext/>
        <w:keepLines/>
        <w:ind w:firstLine="420"/>
        <w:rPr>
          <w:color w:val="auto"/>
          <w:highlight w:val="none"/>
        </w:rPr>
      </w:pPr>
      <w:r>
        <w:rPr>
          <w:rFonts w:eastAsia="宋体"/>
          <w:color w:val="auto"/>
          <w:highlight w:val="none"/>
        </w:rPr>
        <w:t>预算执行率：比较法和因素分析法，项目完成且执行数控制在年度预算规模之内的，得5分；项目尚未完成，预算执行率小于100%且大于等于80%的得3分，预算执行率小于80%且大于等于60%的得2分，预算执行率小于60%的不得分，并分析</w:t>
      </w:r>
      <w:r>
        <w:rPr>
          <w:color w:val="auto"/>
          <w:highlight w:val="none"/>
        </w:rPr>
        <w:t>实际完成值和预期指标值之间的差距和原因。</w:t>
      </w:r>
    </w:p>
    <w:p>
      <w:pPr>
        <w:keepNext/>
        <w:keepLines/>
        <w:ind w:firstLine="420"/>
        <w:rPr>
          <w:color w:val="auto"/>
          <w:highlight w:val="none"/>
        </w:rPr>
      </w:pPr>
      <w:r>
        <w:rPr>
          <w:color w:val="auto"/>
          <w:highlight w:val="none"/>
        </w:rPr>
        <w:t>资金使用合规性：比较法、文献法和因素分析法等，通过实地</w:t>
      </w:r>
      <w:r>
        <w:rPr>
          <w:color w:val="auto"/>
          <w:szCs w:val="28"/>
          <w:highlight w:val="none"/>
          <w:lang w:val="zh-TW"/>
        </w:rPr>
        <w:t>调研</w:t>
      </w:r>
      <w:r>
        <w:rPr>
          <w:color w:val="auto"/>
          <w:highlight w:val="none"/>
        </w:rPr>
        <w:t>，检查</w:t>
      </w:r>
      <w:r>
        <w:rPr>
          <w:color w:val="auto"/>
          <w:szCs w:val="28"/>
          <w:highlight w:val="none"/>
          <w:lang w:val="zh-TW"/>
        </w:rPr>
        <w:t>项目资金使用情况，</w:t>
      </w:r>
      <w:r>
        <w:rPr>
          <w:color w:val="auto"/>
          <w:highlight w:val="none"/>
        </w:rPr>
        <w:t>对比专项资金管理办法要求，</w:t>
      </w:r>
      <w:r>
        <w:rPr>
          <w:color w:val="auto"/>
          <w:szCs w:val="28"/>
          <w:highlight w:val="none"/>
        </w:rPr>
        <w:t>分析</w:t>
      </w:r>
      <w:r>
        <w:rPr>
          <w:color w:val="auto"/>
          <w:highlight w:val="none"/>
        </w:rPr>
        <w:t>资金使用合规性。</w:t>
      </w:r>
    </w:p>
    <w:p>
      <w:pPr>
        <w:keepNext/>
        <w:keepLines/>
        <w:ind w:firstLine="420"/>
        <w:rPr>
          <w:color w:val="auto"/>
          <w:highlight w:val="none"/>
        </w:rPr>
      </w:pPr>
      <w:r>
        <w:rPr>
          <w:color w:val="auto"/>
          <w:highlight w:val="none"/>
        </w:rPr>
        <w:t>管理制度健全性：文献法、比较法和因素分析法等，通过查阅项目实施单位提供的财务和业务管理制度，将已建立的制度与现行的法律法规和政策要求进行对比，分析项目制度的合法性、合规性、完整性。</w:t>
      </w:r>
    </w:p>
    <w:p>
      <w:pPr>
        <w:keepNext/>
        <w:keepLines/>
        <w:ind w:firstLine="420"/>
        <w:rPr>
          <w:color w:val="auto"/>
          <w:highlight w:val="none"/>
        </w:rPr>
      </w:pPr>
      <w:r>
        <w:rPr>
          <w:color w:val="auto"/>
          <w:highlight w:val="none"/>
        </w:rPr>
        <w:t>制度执行有效性：文献法和因素分析法，结合项目实际实施过程性文件，根据已建设的财务管理制度和项目管理制度综合分析制度执行的有效性。</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（3）项目产出类指标评价方法</w:t>
      </w:r>
    </w:p>
    <w:p>
      <w:pPr>
        <w:keepNext/>
        <w:keepLines/>
        <w:ind w:firstLine="420"/>
        <w:rPr>
          <w:color w:val="auto"/>
          <w:highlight w:val="none"/>
        </w:rPr>
      </w:pPr>
      <w:r>
        <w:rPr>
          <w:color w:val="auto"/>
          <w:highlight w:val="none"/>
        </w:rPr>
        <w:t>一般量化统计类等定量指标：通过对比实际完成值和预期指标值和历史值对比分析，并以国内同类项目中较高的绩效水平为标杆进行评判，达成预期指标值的，记该指标所赋全部分值；对完成值高于指标值较多的，要分析原因，如果是由于年初指标值设定明显偏低造成的，要按照偏离度适度调减分值；未完成指标值的，</w:t>
      </w:r>
      <w:r>
        <w:rPr>
          <w:rFonts w:eastAsia="宋体"/>
          <w:color w:val="auto"/>
          <w:highlight w:val="none"/>
        </w:rPr>
        <w:t>按照完成值与指标值的</w:t>
      </w:r>
      <w:r>
        <w:rPr>
          <w:color w:val="auto"/>
          <w:highlight w:val="none"/>
          <w:lang w:eastAsia="zh-Hans"/>
        </w:rPr>
        <w:t>比值计算分值</w:t>
      </w:r>
      <w:r>
        <w:rPr>
          <w:color w:val="auto"/>
          <w:highlight w:val="none"/>
        </w:rPr>
        <w:t>。</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（4）项目效益类指标评价方法</w:t>
      </w:r>
    </w:p>
    <w:p>
      <w:pPr>
        <w:keepNext/>
        <w:keepLines/>
        <w:ind w:firstLine="420"/>
        <w:rPr>
          <w:color w:val="auto"/>
          <w:highlight w:val="none"/>
        </w:rPr>
      </w:pPr>
      <w:r>
        <w:rPr>
          <w:color w:val="auto"/>
          <w:highlight w:val="none"/>
        </w:rPr>
        <w:t>项目效益类指标主要采用公众评判法，辅以文献法、比较法和因素分析法，通过问卷及抽样调查等方式评价该项目实施后社会公众对于其实施效果的满意程度。</w:t>
      </w:r>
    </w:p>
    <w:p>
      <w:pPr>
        <w:keepNext/>
        <w:keepLines/>
        <w:ind w:firstLine="420"/>
        <w:rPr>
          <w:color w:val="auto"/>
          <w:highlight w:val="none"/>
        </w:rPr>
      </w:pPr>
      <w:r>
        <w:rPr>
          <w:color w:val="auto"/>
          <w:highlight w:val="none"/>
        </w:rPr>
        <w:fldChar w:fldCharType="begin"/>
      </w:r>
      <w:r>
        <w:rPr>
          <w:color w:val="auto"/>
          <w:highlight w:val="none"/>
        </w:rPr>
        <w:instrText xml:space="preserve"> = 1 \* GB3 </w:instrText>
      </w:r>
      <w:r>
        <w:rPr>
          <w:color w:val="auto"/>
          <w:highlight w:val="none"/>
        </w:rPr>
        <w:fldChar w:fldCharType="separate"/>
      </w:r>
      <w:r>
        <w:rPr>
          <w:color w:val="auto"/>
          <w:highlight w:val="none"/>
        </w:rPr>
        <w:t>①</w:t>
      </w:r>
      <w:r>
        <w:rPr>
          <w:color w:val="auto"/>
          <w:highlight w:val="none"/>
        </w:rPr>
        <w:fldChar w:fldCharType="end"/>
      </w:r>
      <w:r>
        <w:rPr>
          <w:color w:val="auto"/>
          <w:highlight w:val="none"/>
        </w:rPr>
        <w:t>文献研究法：对项目实施内容、预算执行管理要求、活动完成情况及预期效果实现情况等相关资料进行研究、比较、分析，提取重要信息。</w:t>
      </w:r>
    </w:p>
    <w:p>
      <w:pPr>
        <w:keepNext/>
        <w:keepLines/>
        <w:ind w:firstLine="420"/>
        <w:rPr>
          <w:color w:val="auto"/>
          <w:highlight w:val="none"/>
        </w:rPr>
      </w:pPr>
      <w:r>
        <w:rPr>
          <w:color w:val="auto"/>
          <w:highlight w:val="none"/>
        </w:rPr>
        <w:fldChar w:fldCharType="begin"/>
      </w:r>
      <w:r>
        <w:rPr>
          <w:color w:val="auto"/>
          <w:highlight w:val="none"/>
        </w:rPr>
        <w:instrText xml:space="preserve"> = 2 \* GB3 </w:instrText>
      </w:r>
      <w:r>
        <w:rPr>
          <w:color w:val="auto"/>
          <w:highlight w:val="none"/>
        </w:rPr>
        <w:fldChar w:fldCharType="separate"/>
      </w:r>
      <w:r>
        <w:rPr>
          <w:color w:val="auto"/>
          <w:highlight w:val="none"/>
        </w:rPr>
        <w:t>②</w:t>
      </w:r>
      <w:r>
        <w:rPr>
          <w:color w:val="auto"/>
          <w:highlight w:val="none"/>
        </w:rPr>
        <w:fldChar w:fldCharType="end"/>
      </w:r>
      <w:r>
        <w:rPr>
          <w:color w:val="auto"/>
          <w:highlight w:val="none"/>
        </w:rPr>
        <w:t>公众评判法：利益相关方对实施效果的反馈对本次评价工作具有重要意义，评价过程中采用个别访谈或调查问卷等方式开展相关工作。调研结果参照《关于印发</w:t>
      </w:r>
      <w:r>
        <w:rPr>
          <w:rFonts w:hint="eastAsia"/>
          <w:color w:val="auto"/>
          <w:highlight w:val="none"/>
          <w:lang w:eastAsia="zh-CN"/>
        </w:rPr>
        <w:t>＜</w:t>
      </w:r>
      <w:r>
        <w:rPr>
          <w:color w:val="auto"/>
          <w:highlight w:val="none"/>
        </w:rPr>
        <w:t>自治区项目支出绩效目标设置指引&gt;的通知）（新财预〔2022〕42号）文件，分为基本达成目标、部分实现目标、实现目标程度较低三档，分别按照该指标对应分值区间</w:t>
      </w:r>
      <w:r>
        <w:rPr>
          <w:rFonts w:hint="eastAsia"/>
          <w:color w:val="auto"/>
          <w:highlight w:val="none"/>
          <w:lang w:eastAsia="zh-CN"/>
        </w:rPr>
        <w:t>100%~80%（含）、80%~60%（含）、60%~0%</w:t>
      </w:r>
      <w:r>
        <w:rPr>
          <w:color w:val="auto"/>
          <w:highlight w:val="none"/>
        </w:rPr>
        <w:t>合理确定分值。</w:t>
      </w:r>
    </w:p>
    <w:p>
      <w:pPr>
        <w:keepNext/>
        <w:keepLines/>
        <w:ind w:firstLine="420"/>
        <w:rPr>
          <w:color w:val="auto"/>
          <w:highlight w:val="none"/>
        </w:rPr>
      </w:pPr>
      <w:r>
        <w:rPr>
          <w:color w:val="auto"/>
          <w:highlight w:val="none"/>
        </w:rPr>
        <w:fldChar w:fldCharType="begin"/>
      </w:r>
      <w:r>
        <w:rPr>
          <w:color w:val="auto"/>
          <w:highlight w:val="none"/>
        </w:rPr>
        <w:instrText xml:space="preserve"> = 3 \* GB3 </w:instrText>
      </w:r>
      <w:r>
        <w:rPr>
          <w:color w:val="auto"/>
          <w:highlight w:val="none"/>
        </w:rPr>
        <w:fldChar w:fldCharType="separate"/>
      </w:r>
      <w:r>
        <w:rPr>
          <w:color w:val="auto"/>
          <w:highlight w:val="none"/>
        </w:rPr>
        <w:t>③</w:t>
      </w:r>
      <w:r>
        <w:rPr>
          <w:color w:val="auto"/>
          <w:highlight w:val="none"/>
        </w:rPr>
        <w:fldChar w:fldCharType="end"/>
      </w:r>
      <w:r>
        <w:rPr>
          <w:color w:val="auto"/>
          <w:highlight w:val="none"/>
        </w:rPr>
        <w:t>比较法：在分析实际发挥效果程度时，通过对工作任务、目标与实施完成情况、实施效果的比较，综合分析年度目标任务的实现程度。</w:t>
      </w:r>
    </w:p>
    <w:p>
      <w:pPr>
        <w:keepNext/>
        <w:keepLines/>
        <w:ind w:firstLine="420"/>
        <w:rPr>
          <w:color w:val="auto"/>
          <w:highlight w:val="none"/>
        </w:rPr>
      </w:pPr>
      <w:r>
        <w:rPr>
          <w:color w:val="auto"/>
          <w:highlight w:val="none"/>
        </w:rPr>
        <w:fldChar w:fldCharType="begin"/>
      </w:r>
      <w:r>
        <w:rPr>
          <w:color w:val="auto"/>
          <w:highlight w:val="none"/>
        </w:rPr>
        <w:instrText xml:space="preserve"> = 4 \* GB3 </w:instrText>
      </w:r>
      <w:r>
        <w:rPr>
          <w:color w:val="auto"/>
          <w:highlight w:val="none"/>
        </w:rPr>
        <w:fldChar w:fldCharType="separate"/>
      </w:r>
      <w:r>
        <w:rPr>
          <w:color w:val="auto"/>
          <w:highlight w:val="none"/>
        </w:rPr>
        <w:t>④</w:t>
      </w:r>
      <w:r>
        <w:rPr>
          <w:color w:val="auto"/>
          <w:highlight w:val="none"/>
        </w:rPr>
        <w:fldChar w:fldCharType="end"/>
      </w:r>
      <w:r>
        <w:rPr>
          <w:color w:val="auto"/>
          <w:highlight w:val="none"/>
        </w:rPr>
        <w:t>因素分析法：通过综合分析影响项目年度任务实现及实施效果的内外因素，评价其实现程度。</w:t>
      </w:r>
    </w:p>
    <w:p>
      <w:pPr>
        <w:keepNext/>
        <w:keepLines/>
        <w:pageBreakBefore w:val="0"/>
        <w:widowControl w:val="0"/>
        <w:numPr>
          <w:ilvl w:val="0"/>
          <w:numId w:val="1"/>
        </w:numPr>
        <w:kinsoku/>
        <w:wordWrap/>
        <w:overflowPunct/>
        <w:topLinePunct w:val="0"/>
        <w:autoSpaceDE/>
        <w:autoSpaceDN/>
        <w:bidi w:val="0"/>
        <w:spacing w:line="360" w:lineRule="exact"/>
        <w:ind w:firstLine="482"/>
        <w:textAlignment w:val="auto"/>
        <w:rPr>
          <w:rFonts w:hint="default"/>
          <w:b/>
          <w:bCs/>
          <w:color w:val="auto"/>
          <w:sz w:val="24"/>
          <w:szCs w:val="28"/>
          <w:highlight w:val="none"/>
          <w:lang w:val="en-US" w:eastAsia="zh-CN"/>
        </w:rPr>
      </w:pPr>
      <w:bookmarkStart w:id="191" w:name="_Toc13856"/>
      <w:bookmarkStart w:id="192" w:name="_Toc11729"/>
      <w:bookmarkStart w:id="193" w:name="_Toc13180"/>
      <w:r>
        <w:rPr>
          <w:b/>
          <w:bCs/>
          <w:color w:val="auto"/>
          <w:sz w:val="24"/>
          <w:szCs w:val="28"/>
          <w:highlight w:val="none"/>
        </w:rPr>
        <w:t>绩效评价</w:t>
      </w:r>
      <w:r>
        <w:rPr>
          <w:rFonts w:hint="default"/>
          <w:b/>
          <w:bCs/>
          <w:color w:val="auto"/>
          <w:sz w:val="24"/>
          <w:szCs w:val="28"/>
          <w:highlight w:val="none"/>
          <w:lang w:val="en-US" w:eastAsia="zh-CN"/>
        </w:rPr>
        <w:t>标准</w:t>
      </w:r>
      <w:bookmarkEnd w:id="191"/>
      <w:bookmarkEnd w:id="192"/>
      <w:bookmarkEnd w:id="193"/>
    </w:p>
    <w:p>
      <w:pPr>
        <w:keepNext/>
        <w:keepLines/>
        <w:pageBreakBefore w:val="0"/>
        <w:widowControl w:val="0"/>
        <w:numPr>
          <w:ilvl w:val="0"/>
          <w:numId w:val="0"/>
        </w:numPr>
        <w:kinsoku/>
        <w:wordWrap/>
        <w:overflowPunct/>
        <w:topLinePunct w:val="0"/>
        <w:autoSpaceDE/>
        <w:autoSpaceDN/>
        <w:bidi w:val="0"/>
        <w:spacing w:line="360" w:lineRule="exact"/>
        <w:ind w:firstLine="420" w:firstLineChars="200"/>
        <w:textAlignment w:val="auto"/>
        <w:rPr>
          <w:rFonts w:hint="default"/>
          <w:b/>
          <w:bCs/>
          <w:color w:val="auto"/>
          <w:sz w:val="24"/>
          <w:szCs w:val="28"/>
          <w:highlight w:val="none"/>
          <w:lang w:val="en-US" w:eastAsia="zh-CN"/>
        </w:rPr>
      </w:pPr>
      <w:r>
        <w:rPr>
          <w:rFonts w:ascii="Times New Roman" w:hAnsi="Times New Roman" w:cs="Times New Roman" w:eastAsiaTheme="minorEastAsia"/>
          <w:color w:val="auto"/>
          <w:sz w:val="21"/>
          <w:szCs w:val="21"/>
          <w:highlight w:val="none"/>
        </w:rPr>
        <w:t>绩效评价标准通常包括计划标准、行业标准、历史标准等。本次绩效评价采用计划标准，以预先制定的目标、计划、预算、定额等作为评价标准，对比分析项目产出、效益的完成情</w:t>
      </w:r>
    </w:p>
    <w:p>
      <w:pPr>
        <w:keepNext/>
        <w:keepLines/>
        <w:pageBreakBefore w:val="0"/>
        <w:widowControl w:val="0"/>
        <w:numPr>
          <w:ilvl w:val="0"/>
          <w:numId w:val="0"/>
        </w:numPr>
        <w:kinsoku/>
        <w:wordWrap/>
        <w:overflowPunct/>
        <w:topLinePunct w:val="0"/>
        <w:autoSpaceDE/>
        <w:autoSpaceDN/>
        <w:bidi w:val="0"/>
        <w:spacing w:line="360" w:lineRule="exact"/>
        <w:textAlignment w:val="auto"/>
        <w:rPr>
          <w:rFonts w:hint="default"/>
          <w:b/>
          <w:bCs/>
          <w:color w:val="auto"/>
          <w:sz w:val="24"/>
          <w:szCs w:val="28"/>
          <w:highlight w:val="none"/>
          <w:lang w:val="en-US" w:eastAsia="zh-CN"/>
        </w:rPr>
      </w:pPr>
      <w:r>
        <w:rPr>
          <w:rFonts w:ascii="Times New Roman" w:hAnsi="Times New Roman" w:cs="Times New Roman" w:eastAsiaTheme="minorEastAsia"/>
          <w:color w:val="auto"/>
          <w:sz w:val="21"/>
          <w:szCs w:val="21"/>
          <w:highlight w:val="none"/>
        </w:rPr>
        <w:t>况。对于定性指标，通过文献查阅、问卷调查及访谈方式，采集相关数据，运用等级描述法，</w:t>
      </w:r>
    </w:p>
    <w:p>
      <w:pPr>
        <w:keepNext/>
        <w:keepLines/>
        <w:numPr>
          <w:ilvl w:val="-1"/>
          <w:numId w:val="0"/>
        </w:numPr>
        <w:spacing w:beforeLines="-2147483648" w:afterLines="-2147483648"/>
        <w:rPr>
          <w:rFonts w:hint="default"/>
          <w:color w:val="auto"/>
          <w:sz w:val="21"/>
          <w:szCs w:val="21"/>
          <w:highlight w:val="none"/>
        </w:rPr>
      </w:pPr>
      <w:r>
        <w:rPr>
          <w:rFonts w:ascii="Times New Roman" w:hAnsi="Times New Roman" w:cs="Times New Roman" w:eastAsiaTheme="minorEastAsia"/>
          <w:color w:val="auto"/>
          <w:sz w:val="21"/>
          <w:szCs w:val="21"/>
          <w:highlight w:val="none"/>
        </w:rPr>
        <w:t>设置分级标准，体现该指标认可程度的差异。对于定量指标，通过公式计算、数据统计等方式予以量化，可以准确衡量，并设定目标值的考核指标。</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bookmarkStart w:id="194" w:name="_Toc1505"/>
      <w:bookmarkStart w:id="195" w:name="_Toc4265"/>
      <w:bookmarkStart w:id="196" w:name="_Toc9372"/>
      <w:bookmarkStart w:id="197" w:name="_Toc26338"/>
      <w:bookmarkStart w:id="198" w:name="_Toc27254"/>
      <w:bookmarkStart w:id="199" w:name="_Toc9654"/>
      <w:bookmarkStart w:id="200" w:name="_Toc3939"/>
      <w:bookmarkStart w:id="201" w:name="_Toc3390"/>
      <w:r>
        <w:rPr>
          <w:b/>
          <w:bCs/>
          <w:color w:val="auto"/>
          <w:sz w:val="24"/>
          <w:szCs w:val="28"/>
          <w:highlight w:val="none"/>
        </w:rPr>
        <w:t>（</w:t>
      </w:r>
      <w:r>
        <w:rPr>
          <w:rFonts w:hint="eastAsia"/>
          <w:b/>
          <w:bCs/>
          <w:color w:val="auto"/>
          <w:sz w:val="24"/>
          <w:szCs w:val="28"/>
          <w:highlight w:val="none"/>
          <w:lang w:val="en-US" w:eastAsia="zh-CN"/>
        </w:rPr>
        <w:t>七</w:t>
      </w:r>
      <w:r>
        <w:rPr>
          <w:b/>
          <w:bCs/>
          <w:color w:val="auto"/>
          <w:sz w:val="24"/>
          <w:szCs w:val="28"/>
          <w:highlight w:val="none"/>
        </w:rPr>
        <w:t>）绩效评价工作过程</w:t>
      </w:r>
      <w:bookmarkEnd w:id="189"/>
      <w:bookmarkEnd w:id="190"/>
      <w:bookmarkEnd w:id="194"/>
      <w:bookmarkEnd w:id="195"/>
      <w:bookmarkEnd w:id="196"/>
      <w:bookmarkEnd w:id="197"/>
      <w:bookmarkEnd w:id="198"/>
      <w:bookmarkEnd w:id="199"/>
      <w:bookmarkEnd w:id="200"/>
      <w:bookmarkEnd w:id="201"/>
    </w:p>
    <w:p>
      <w:pPr>
        <w:keepNext/>
        <w:keepLines/>
        <w:ind w:firstLine="420"/>
        <w:rPr>
          <w:color w:val="auto"/>
          <w:highlight w:val="none"/>
        </w:rPr>
      </w:pPr>
      <w:r>
        <w:rPr>
          <w:color w:val="auto"/>
          <w:highlight w:val="none"/>
        </w:rPr>
        <w:t>我们接受委托，按规定开展了前期准备、制定绩效评价工作方案、组织实施、报告撰写等绩效评价工作程序。绩效评价从2024年</w:t>
      </w:r>
      <w:r>
        <w:rPr>
          <w:rFonts w:hint="eastAsia"/>
          <w:color w:val="auto"/>
          <w:highlight w:val="none"/>
          <w:lang w:val="en-US" w:eastAsia="zh-CN"/>
        </w:rPr>
        <w:t>7</w:t>
      </w:r>
      <w:r>
        <w:rPr>
          <w:color w:val="auto"/>
          <w:highlight w:val="none"/>
        </w:rPr>
        <w:t>月</w:t>
      </w:r>
      <w:r>
        <w:rPr>
          <w:rFonts w:hint="eastAsia"/>
          <w:color w:val="auto"/>
          <w:highlight w:val="none"/>
          <w:lang w:val="en-US" w:eastAsia="zh-CN"/>
        </w:rPr>
        <w:t>1</w:t>
      </w:r>
      <w:r>
        <w:rPr>
          <w:color w:val="auto"/>
          <w:highlight w:val="none"/>
        </w:rPr>
        <w:t>日启动，在各方有效配合下，评价工作于2024年7月25日前完成。主要实施过程如下：</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bookmarkStart w:id="202" w:name="_Toc4146"/>
      <w:r>
        <w:rPr>
          <w:b/>
          <w:bCs/>
          <w:color w:val="auto"/>
          <w:sz w:val="24"/>
          <w:szCs w:val="28"/>
          <w:highlight w:val="none"/>
        </w:rPr>
        <w:t>1.</w:t>
      </w:r>
      <w:bookmarkEnd w:id="202"/>
      <w:r>
        <w:rPr>
          <w:b/>
          <w:bCs/>
          <w:color w:val="auto"/>
          <w:sz w:val="24"/>
          <w:szCs w:val="28"/>
          <w:highlight w:val="none"/>
        </w:rPr>
        <w:t>前期准备工作</w:t>
      </w:r>
    </w:p>
    <w:p>
      <w:pPr>
        <w:keepNext/>
        <w:keepLines/>
        <w:spacing w:beforeLines="0" w:afterLines="0"/>
        <w:ind w:firstLine="420" w:firstLineChars="200"/>
        <w:rPr>
          <w:rFonts w:hint="eastAsia" w:ascii="Times New Roman" w:hAnsi="Times New Roman"/>
          <w:color w:val="auto"/>
          <w:sz w:val="21"/>
          <w:szCs w:val="24"/>
          <w:highlight w:val="none"/>
        </w:rPr>
      </w:pPr>
      <w:r>
        <w:rPr>
          <w:bCs/>
          <w:color w:val="auto"/>
          <w:highlight w:val="none"/>
        </w:rPr>
        <w:t>根据项目实际情况，</w:t>
      </w:r>
      <w:r>
        <w:rPr>
          <w:color w:val="auto"/>
          <w:highlight w:val="none"/>
        </w:rPr>
        <w:t>收集并了解绩效评价所需文件、资料，</w:t>
      </w:r>
      <w:r>
        <w:rPr>
          <w:bCs/>
          <w:color w:val="auto"/>
          <w:highlight w:val="none"/>
        </w:rPr>
        <w:t>确定绩效评价目的、评价对象和范围、评价期限，</w:t>
      </w:r>
      <w:r>
        <w:rPr>
          <w:color w:val="auto"/>
          <w:highlight w:val="none"/>
        </w:rPr>
        <w:t>制定《喀什地区巴楚县2023年城乡义务教育农村校舍安全保障长效机制项目（第一批）绩效评价工作实施方案》，并成立绩效评价小组。</w:t>
      </w:r>
      <w:bookmarkStart w:id="203" w:name="_Toc2133"/>
      <w:r>
        <w:rPr>
          <w:rFonts w:hint="eastAsia"/>
          <w:color w:val="auto"/>
          <w:sz w:val="21"/>
          <w:szCs w:val="24"/>
          <w:highlight w:val="none"/>
        </w:rPr>
        <w:t>绩效评价小组</w:t>
      </w:r>
      <w:r>
        <w:rPr>
          <w:rFonts w:hint="eastAsia" w:ascii="Times New Roman" w:hAnsi="Times New Roman"/>
          <w:color w:val="auto"/>
          <w:sz w:val="21"/>
          <w:szCs w:val="24"/>
          <w:highlight w:val="none"/>
        </w:rPr>
        <w:t>具体成员及职责分工如下：</w:t>
      </w:r>
    </w:p>
    <w:tbl>
      <w:tblPr>
        <w:tblStyle w:val="19"/>
        <w:tblpPr w:leftFromText="180" w:rightFromText="180" w:vertAnchor="text" w:horzAnchor="page" w:tblpX="1661" w:tblpY="297"/>
        <w:tblOverlap w:val="never"/>
        <w:tblW w:w="887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643"/>
        <w:gridCol w:w="895"/>
        <w:gridCol w:w="1546"/>
        <w:gridCol w:w="1509"/>
        <w:gridCol w:w="42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685" w:hRule="atLeast"/>
        </w:trPr>
        <w:tc>
          <w:tcPr>
            <w:tcW w:w="643"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widowControl w:val="0"/>
              <w:adjustRightInd w:val="0"/>
              <w:snapToGrid w:val="0"/>
              <w:spacing w:beforeLines="0" w:afterLines="0"/>
              <w:ind w:firstLine="0" w:firstLineChars="0"/>
              <w:jc w:val="center"/>
              <w:textAlignment w:val="center"/>
              <w:rPr>
                <w:rFonts w:hint="default" w:ascii="Times New Roman" w:hAnsi="Times New Roman" w:cs="Times New Roman" w:eastAsiaTheme="minorEastAsia"/>
                <w:b/>
                <w:color w:val="auto"/>
                <w:kern w:val="2"/>
                <w:sz w:val="18"/>
                <w:szCs w:val="18"/>
                <w:highlight w:val="none"/>
                <w:lang w:val="en-US" w:eastAsia="en-US" w:bidi="ar-SA"/>
              </w:rPr>
            </w:pPr>
            <w:r>
              <w:rPr>
                <w:rFonts w:hint="eastAsia" w:ascii="Times New Roman" w:hAnsi="Times New Roman"/>
                <w:b/>
                <w:color w:val="auto"/>
                <w:kern w:val="0"/>
                <w:sz w:val="18"/>
                <w:szCs w:val="18"/>
                <w:highlight w:val="none"/>
                <w:lang w:bidi="ar"/>
              </w:rPr>
              <w:t>序号</w:t>
            </w:r>
          </w:p>
        </w:tc>
        <w:tc>
          <w:tcPr>
            <w:tcW w:w="895"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widowControl w:val="0"/>
              <w:adjustRightInd w:val="0"/>
              <w:snapToGrid w:val="0"/>
              <w:spacing w:beforeLines="0" w:afterLines="0"/>
              <w:ind w:firstLine="0" w:firstLineChars="0"/>
              <w:jc w:val="center"/>
              <w:textAlignment w:val="center"/>
              <w:rPr>
                <w:rFonts w:hint="eastAsia" w:ascii="Times New Roman" w:hAnsi="Times New Roman" w:cs="Times New Roman" w:eastAsiaTheme="minorEastAsia"/>
                <w:b/>
                <w:color w:val="auto"/>
                <w:kern w:val="2"/>
                <w:sz w:val="18"/>
                <w:szCs w:val="18"/>
                <w:highlight w:val="none"/>
                <w:lang w:val="en-US" w:eastAsia="en-US" w:bidi="ar-SA"/>
              </w:rPr>
            </w:pPr>
            <w:r>
              <w:rPr>
                <w:rFonts w:hint="eastAsia" w:ascii="Times New Roman" w:hAnsi="Times New Roman"/>
                <w:b/>
                <w:color w:val="auto"/>
                <w:kern w:val="0"/>
                <w:sz w:val="18"/>
                <w:szCs w:val="18"/>
                <w:highlight w:val="none"/>
                <w:lang w:bidi="ar"/>
              </w:rPr>
              <w:t>姓名</w:t>
            </w:r>
          </w:p>
        </w:tc>
        <w:tc>
          <w:tcPr>
            <w:tcW w:w="1546"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widowControl w:val="0"/>
              <w:adjustRightInd w:val="0"/>
              <w:snapToGrid w:val="0"/>
              <w:spacing w:beforeLines="0" w:afterLines="0"/>
              <w:ind w:firstLine="0" w:firstLineChars="0"/>
              <w:jc w:val="center"/>
              <w:textAlignment w:val="center"/>
              <w:rPr>
                <w:rFonts w:hint="eastAsia" w:ascii="Times New Roman" w:hAnsi="Times New Roman" w:cs="Times New Roman" w:eastAsiaTheme="minorEastAsia"/>
                <w:b/>
                <w:color w:val="auto"/>
                <w:kern w:val="2"/>
                <w:sz w:val="18"/>
                <w:szCs w:val="18"/>
                <w:highlight w:val="none"/>
                <w:lang w:val="en-US" w:eastAsia="zh-CN" w:bidi="ar-SA"/>
              </w:rPr>
            </w:pPr>
            <w:r>
              <w:rPr>
                <w:rFonts w:hint="eastAsia" w:ascii="Times New Roman" w:hAnsi="Times New Roman"/>
                <w:b/>
                <w:color w:val="auto"/>
                <w:sz w:val="18"/>
                <w:szCs w:val="18"/>
                <w:highlight w:val="none"/>
              </w:rPr>
              <w:t>项目角色</w:t>
            </w:r>
          </w:p>
        </w:tc>
        <w:tc>
          <w:tcPr>
            <w:tcW w:w="1509"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widowControl w:val="0"/>
              <w:adjustRightInd w:val="0"/>
              <w:snapToGrid w:val="0"/>
              <w:spacing w:beforeLines="0" w:afterLines="0"/>
              <w:ind w:firstLine="0" w:firstLineChars="0"/>
              <w:jc w:val="center"/>
              <w:textAlignment w:val="center"/>
              <w:rPr>
                <w:rFonts w:hint="eastAsia" w:ascii="Times New Roman" w:hAnsi="Times New Roman" w:cs="Times New Roman" w:eastAsiaTheme="minorEastAsia"/>
                <w:b/>
                <w:color w:val="auto"/>
                <w:kern w:val="2"/>
                <w:sz w:val="18"/>
                <w:szCs w:val="18"/>
                <w:highlight w:val="none"/>
                <w:lang w:val="en-US" w:eastAsia="en-US" w:bidi="ar-SA"/>
              </w:rPr>
            </w:pPr>
            <w:r>
              <w:rPr>
                <w:rFonts w:hint="eastAsia" w:ascii="Times New Roman" w:hAnsi="Times New Roman"/>
                <w:b/>
                <w:color w:val="auto"/>
                <w:kern w:val="0"/>
                <w:sz w:val="18"/>
                <w:szCs w:val="18"/>
                <w:highlight w:val="none"/>
                <w:lang w:bidi="ar"/>
              </w:rPr>
              <w:t>资质或公司职位</w:t>
            </w:r>
          </w:p>
        </w:tc>
        <w:tc>
          <w:tcPr>
            <w:tcW w:w="4285"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widowControl w:val="0"/>
              <w:adjustRightInd w:val="0"/>
              <w:snapToGrid w:val="0"/>
              <w:spacing w:beforeLines="0" w:afterLines="0"/>
              <w:ind w:firstLine="0" w:firstLineChars="0"/>
              <w:jc w:val="center"/>
              <w:textAlignment w:val="center"/>
              <w:rPr>
                <w:rFonts w:hint="eastAsia" w:ascii="Times New Roman" w:hAnsi="Times New Roman" w:cs="Times New Roman" w:eastAsiaTheme="minorEastAsia"/>
                <w:b/>
                <w:color w:val="auto"/>
                <w:kern w:val="0"/>
                <w:sz w:val="18"/>
                <w:szCs w:val="18"/>
                <w:highlight w:val="none"/>
                <w:lang w:val="en-US" w:eastAsia="zh-CN" w:bidi="ar"/>
              </w:rPr>
            </w:pPr>
            <w:r>
              <w:rPr>
                <w:rFonts w:hint="eastAsia" w:ascii="Times New Roman" w:hAnsi="Times New Roman"/>
                <w:b/>
                <w:color w:val="auto"/>
                <w:kern w:val="0"/>
                <w:sz w:val="18"/>
                <w:szCs w:val="18"/>
                <w:highlight w:val="none"/>
                <w:lang w:bidi="ar"/>
              </w:rPr>
              <w:t>主要职责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523" w:hRule="atLeast"/>
        </w:trPr>
        <w:tc>
          <w:tcPr>
            <w:tcW w:w="643"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widowControl w:val="0"/>
              <w:adjustRightInd w:val="0"/>
              <w:snapToGrid w:val="0"/>
              <w:spacing w:beforeLines="0" w:afterLines="0"/>
              <w:ind w:firstLine="0" w:firstLineChars="0"/>
              <w:jc w:val="center"/>
              <w:textAlignment w:val="center"/>
              <w:rPr>
                <w:rFonts w:hint="default" w:ascii="Times New Roman" w:hAnsi="Times New Roman"/>
                <w:color w:val="auto"/>
                <w:sz w:val="18"/>
                <w:szCs w:val="18"/>
                <w:highlight w:val="none"/>
              </w:rPr>
            </w:pPr>
            <w:r>
              <w:rPr>
                <w:rFonts w:hint="default" w:ascii="Times New Roman" w:hAnsi="Times New Roman"/>
                <w:color w:val="auto"/>
                <w:kern w:val="0"/>
                <w:sz w:val="18"/>
                <w:szCs w:val="18"/>
                <w:highlight w:val="none"/>
                <w:lang w:bidi="ar"/>
              </w:rPr>
              <w:t>1</w:t>
            </w:r>
          </w:p>
        </w:tc>
        <w:tc>
          <w:tcPr>
            <w:tcW w:w="895"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widowControl w:val="0"/>
              <w:adjustRightInd w:val="0"/>
              <w:snapToGrid w:val="0"/>
              <w:spacing w:beforeLines="0" w:afterLines="0"/>
              <w:ind w:firstLine="0" w:firstLineChars="0"/>
              <w:jc w:val="center"/>
              <w:textAlignment w:val="center"/>
              <w:rPr>
                <w:rFonts w:hint="default" w:ascii="Times New Roman" w:hAnsi="Times New Roman"/>
                <w:color w:val="auto"/>
                <w:kern w:val="0"/>
                <w:sz w:val="18"/>
                <w:szCs w:val="18"/>
                <w:highlight w:val="none"/>
                <w:lang w:bidi="ar"/>
              </w:rPr>
            </w:pPr>
            <w:r>
              <w:rPr>
                <w:rFonts w:hint="eastAsia" w:ascii="Times New Roman" w:hAnsi="Times New Roman"/>
                <w:color w:val="auto"/>
                <w:kern w:val="0"/>
                <w:sz w:val="18"/>
                <w:szCs w:val="18"/>
                <w:highlight w:val="none"/>
                <w:lang w:bidi="ar"/>
              </w:rPr>
              <w:t>冯延萍</w:t>
            </w:r>
          </w:p>
        </w:tc>
        <w:tc>
          <w:tcPr>
            <w:tcW w:w="1546"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widowControl w:val="0"/>
              <w:adjustRightInd w:val="0"/>
              <w:snapToGrid w:val="0"/>
              <w:spacing w:beforeLines="0" w:afterLines="0"/>
              <w:ind w:firstLine="0" w:firstLineChars="0"/>
              <w:jc w:val="center"/>
              <w:textAlignment w:val="center"/>
              <w:rPr>
                <w:rFonts w:hint="default" w:ascii="Times New Roman" w:hAnsi="Times New Roman"/>
                <w:color w:val="auto"/>
                <w:kern w:val="0"/>
                <w:sz w:val="18"/>
                <w:szCs w:val="18"/>
                <w:highlight w:val="none"/>
                <w:lang w:bidi="ar"/>
              </w:rPr>
            </w:pPr>
            <w:r>
              <w:rPr>
                <w:rFonts w:hint="eastAsia" w:ascii="Times New Roman" w:hAnsi="Times New Roman"/>
                <w:color w:val="auto"/>
                <w:kern w:val="0"/>
                <w:sz w:val="18"/>
                <w:szCs w:val="18"/>
                <w:highlight w:val="none"/>
                <w:lang w:bidi="ar"/>
              </w:rPr>
              <w:t>主评人</w:t>
            </w:r>
          </w:p>
        </w:tc>
        <w:tc>
          <w:tcPr>
            <w:tcW w:w="1509"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widowControl w:val="0"/>
              <w:adjustRightInd w:val="0"/>
              <w:snapToGrid w:val="0"/>
              <w:spacing w:beforeLines="0" w:afterLines="0"/>
              <w:ind w:firstLine="0" w:firstLineChars="0"/>
              <w:jc w:val="center"/>
              <w:textAlignment w:val="center"/>
              <w:rPr>
                <w:rFonts w:hint="default" w:ascii="Times New Roman" w:hAnsi="Times New Roman"/>
                <w:b/>
                <w:color w:val="auto"/>
                <w:kern w:val="0"/>
                <w:sz w:val="18"/>
                <w:szCs w:val="18"/>
                <w:highlight w:val="none"/>
                <w:lang w:bidi="ar"/>
              </w:rPr>
            </w:pPr>
            <w:r>
              <w:rPr>
                <w:rFonts w:hint="eastAsia" w:ascii="Times New Roman" w:hAnsi="Times New Roman"/>
                <w:color w:val="auto"/>
                <w:kern w:val="0"/>
                <w:sz w:val="18"/>
                <w:szCs w:val="18"/>
                <w:highlight w:val="none"/>
                <w:lang w:bidi="ar"/>
              </w:rPr>
              <w:t>注册会计师、注册评估师</w:t>
            </w:r>
          </w:p>
        </w:tc>
        <w:tc>
          <w:tcPr>
            <w:tcW w:w="4285"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adjustRightInd w:val="0"/>
              <w:snapToGrid w:val="0"/>
              <w:spacing w:beforeLines="0" w:afterLines="0" w:line="360" w:lineRule="auto"/>
              <w:ind w:firstLine="0" w:firstLineChars="0"/>
              <w:jc w:val="left"/>
              <w:rPr>
                <w:rFonts w:hint="default" w:ascii="Times New Roman" w:hAnsi="Times New Roman"/>
                <w:color w:val="auto"/>
                <w:kern w:val="0"/>
                <w:sz w:val="18"/>
                <w:szCs w:val="18"/>
                <w:highlight w:val="none"/>
                <w:lang w:bidi="ar"/>
              </w:rPr>
            </w:pPr>
            <w:r>
              <w:rPr>
                <w:rFonts w:hint="eastAsia" w:ascii="Times New Roman" w:hAnsi="Times New Roman"/>
                <w:snapToGrid w:val="0"/>
                <w:color w:val="auto"/>
                <w:sz w:val="18"/>
                <w:szCs w:val="18"/>
                <w:highlight w:val="none"/>
              </w:rPr>
              <w:t>报告质量三级复核，对绩效评价工作总体方案及绩效评价指标体系进行整体把关和指导，对绩效评价结论和报告整体质量进行最终复核。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2063" w:hRule="atLeast"/>
        </w:trPr>
        <w:tc>
          <w:tcPr>
            <w:tcW w:w="643"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widowControl w:val="0"/>
              <w:adjustRightInd w:val="0"/>
              <w:snapToGrid w:val="0"/>
              <w:spacing w:beforeLines="0" w:afterLines="0"/>
              <w:ind w:firstLine="0" w:firstLineChars="0"/>
              <w:jc w:val="center"/>
              <w:textAlignment w:val="center"/>
              <w:rPr>
                <w:rFonts w:hint="default" w:ascii="Times New Roman" w:hAnsi="Times New Roman"/>
                <w:color w:val="auto"/>
                <w:sz w:val="18"/>
                <w:szCs w:val="18"/>
                <w:highlight w:val="none"/>
                <w:lang w:eastAsia="en-US"/>
              </w:rPr>
            </w:pPr>
            <w:r>
              <w:rPr>
                <w:rFonts w:hint="default" w:ascii="Times New Roman" w:hAnsi="Times New Roman"/>
                <w:color w:val="auto"/>
                <w:kern w:val="0"/>
                <w:sz w:val="18"/>
                <w:szCs w:val="18"/>
                <w:highlight w:val="none"/>
                <w:lang w:bidi="ar"/>
              </w:rPr>
              <w:t>2</w:t>
            </w:r>
          </w:p>
        </w:tc>
        <w:tc>
          <w:tcPr>
            <w:tcW w:w="895"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widowControl w:val="0"/>
              <w:adjustRightInd w:val="0"/>
              <w:snapToGrid w:val="0"/>
              <w:spacing w:beforeLines="0" w:afterLines="0"/>
              <w:ind w:firstLine="0" w:firstLineChars="0"/>
              <w:jc w:val="center"/>
              <w:textAlignment w:val="center"/>
              <w:rPr>
                <w:rFonts w:hint="default" w:ascii="Times New Roman" w:hAnsi="Times New Roman"/>
                <w:color w:val="auto"/>
                <w:sz w:val="18"/>
                <w:szCs w:val="18"/>
                <w:highlight w:val="none"/>
                <w:lang w:eastAsia="en-US"/>
              </w:rPr>
            </w:pPr>
            <w:r>
              <w:rPr>
                <w:rFonts w:hint="eastAsia" w:ascii="Times New Roman" w:hAnsi="Times New Roman"/>
                <w:color w:val="auto"/>
                <w:sz w:val="18"/>
                <w:szCs w:val="18"/>
                <w:highlight w:val="none"/>
              </w:rPr>
              <w:t>腊晓林</w:t>
            </w:r>
          </w:p>
        </w:tc>
        <w:tc>
          <w:tcPr>
            <w:tcW w:w="1546"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widowControl w:val="0"/>
              <w:adjustRightInd w:val="0"/>
              <w:snapToGrid w:val="0"/>
              <w:spacing w:beforeLines="0" w:afterLines="0"/>
              <w:ind w:firstLine="0" w:firstLineChars="0"/>
              <w:jc w:val="center"/>
              <w:textAlignment w:val="center"/>
              <w:rPr>
                <w:rFonts w:hint="default" w:ascii="Times New Roman" w:hAnsi="Times New Roman"/>
                <w:color w:val="auto"/>
                <w:sz w:val="18"/>
                <w:szCs w:val="18"/>
                <w:highlight w:val="none"/>
                <w:lang w:eastAsia="en-US"/>
              </w:rPr>
            </w:pPr>
            <w:r>
              <w:rPr>
                <w:rFonts w:hint="eastAsia" w:ascii="Times New Roman" w:hAnsi="Times New Roman"/>
                <w:color w:val="auto"/>
                <w:kern w:val="0"/>
                <w:sz w:val="18"/>
                <w:szCs w:val="18"/>
                <w:highlight w:val="none"/>
                <w:lang w:bidi="ar"/>
              </w:rPr>
              <w:t>报告</w:t>
            </w:r>
            <w:r>
              <w:rPr>
                <w:rFonts w:hint="eastAsia"/>
                <w:color w:val="auto"/>
                <w:kern w:val="0"/>
                <w:sz w:val="18"/>
                <w:szCs w:val="18"/>
                <w:highlight w:val="none"/>
                <w:lang w:val="en-US" w:eastAsia="zh-CN" w:bidi="ar"/>
              </w:rPr>
              <w:t>复核</w:t>
            </w:r>
            <w:r>
              <w:rPr>
                <w:rFonts w:hint="eastAsia" w:ascii="Times New Roman" w:hAnsi="Times New Roman"/>
                <w:color w:val="auto"/>
                <w:kern w:val="0"/>
                <w:sz w:val="18"/>
                <w:szCs w:val="18"/>
                <w:highlight w:val="none"/>
                <w:lang w:bidi="ar"/>
              </w:rPr>
              <w:t>人</w:t>
            </w:r>
          </w:p>
        </w:tc>
        <w:tc>
          <w:tcPr>
            <w:tcW w:w="1509"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widowControl w:val="0"/>
              <w:adjustRightInd w:val="0"/>
              <w:snapToGrid w:val="0"/>
              <w:spacing w:beforeLines="0" w:afterLines="0"/>
              <w:ind w:firstLine="0" w:firstLineChars="0"/>
              <w:jc w:val="center"/>
              <w:textAlignment w:val="center"/>
              <w:rPr>
                <w:rFonts w:hint="default" w:ascii="Times New Roman" w:hAnsi="Times New Roman"/>
                <w:color w:val="auto"/>
                <w:sz w:val="18"/>
                <w:szCs w:val="18"/>
                <w:highlight w:val="none"/>
                <w:lang w:eastAsia="en-US"/>
              </w:rPr>
            </w:pPr>
            <w:r>
              <w:rPr>
                <w:rFonts w:hint="eastAsia" w:ascii="Times New Roman" w:hAnsi="Times New Roman"/>
                <w:color w:val="auto"/>
                <w:kern w:val="0"/>
                <w:sz w:val="18"/>
                <w:szCs w:val="18"/>
                <w:highlight w:val="none"/>
                <w:lang w:bidi="ar"/>
              </w:rPr>
              <w:t>技术总监</w:t>
            </w:r>
          </w:p>
        </w:tc>
        <w:tc>
          <w:tcPr>
            <w:tcW w:w="4285"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widowControl w:val="0"/>
              <w:adjustRightInd w:val="0"/>
              <w:snapToGrid w:val="0"/>
              <w:spacing w:beforeLines="0" w:afterLines="0" w:line="360" w:lineRule="auto"/>
              <w:ind w:firstLine="0" w:firstLineChars="0"/>
              <w:jc w:val="left"/>
              <w:textAlignment w:val="center"/>
              <w:rPr>
                <w:rFonts w:hint="default" w:ascii="Times New Roman" w:hAnsi="Times New Roman"/>
                <w:color w:val="auto"/>
                <w:kern w:val="0"/>
                <w:sz w:val="18"/>
                <w:szCs w:val="18"/>
                <w:highlight w:val="none"/>
                <w:lang w:bidi="ar"/>
              </w:rPr>
            </w:pPr>
            <w:r>
              <w:rPr>
                <w:rFonts w:hint="eastAsia" w:ascii="Times New Roman" w:hAnsi="Times New Roman"/>
                <w:color w:val="auto"/>
                <w:sz w:val="18"/>
                <w:szCs w:val="18"/>
                <w:highlight w:val="none"/>
              </w:rPr>
              <w:t>对绩效评价工作程序及绩效评价指标体系进行技术审核，对绩效评价结论的完整性、准确性、规范性、合理性进行审核指导，对出具报告的标准及质量进行审核把关。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2013" w:hRule="atLeast"/>
        </w:trPr>
        <w:tc>
          <w:tcPr>
            <w:tcW w:w="643"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widowControl w:val="0"/>
              <w:adjustRightInd w:val="0"/>
              <w:snapToGrid w:val="0"/>
              <w:spacing w:beforeLines="0" w:afterLines="0"/>
              <w:ind w:firstLine="0" w:firstLineChars="0"/>
              <w:jc w:val="center"/>
              <w:textAlignment w:val="center"/>
              <w:rPr>
                <w:rFonts w:hint="default" w:ascii="Times New Roman" w:hAnsi="Times New Roman"/>
                <w:color w:val="auto"/>
                <w:sz w:val="18"/>
                <w:szCs w:val="18"/>
                <w:highlight w:val="none"/>
                <w:lang w:eastAsia="en-US"/>
              </w:rPr>
            </w:pPr>
            <w:r>
              <w:rPr>
                <w:rFonts w:hint="default" w:ascii="Times New Roman" w:hAnsi="Times New Roman"/>
                <w:color w:val="auto"/>
                <w:kern w:val="0"/>
                <w:sz w:val="18"/>
                <w:szCs w:val="18"/>
                <w:highlight w:val="none"/>
                <w:lang w:bidi="ar"/>
              </w:rPr>
              <w:t>3</w:t>
            </w:r>
          </w:p>
        </w:tc>
        <w:tc>
          <w:tcPr>
            <w:tcW w:w="895"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widowControl w:val="0"/>
              <w:adjustRightInd w:val="0"/>
              <w:snapToGrid w:val="0"/>
              <w:spacing w:beforeLines="0" w:afterLines="0"/>
              <w:ind w:firstLine="0" w:firstLineChars="0"/>
              <w:jc w:val="center"/>
              <w:textAlignment w:val="center"/>
              <w:rPr>
                <w:rFonts w:hint="default" w:ascii="Times New Roman" w:hAnsi="Times New Roman"/>
                <w:color w:val="auto"/>
                <w:sz w:val="18"/>
                <w:szCs w:val="18"/>
                <w:highlight w:val="none"/>
              </w:rPr>
            </w:pPr>
            <w:r>
              <w:rPr>
                <w:rFonts w:hint="eastAsia" w:ascii="Times New Roman" w:hAnsi="Times New Roman"/>
                <w:color w:val="auto"/>
                <w:sz w:val="18"/>
                <w:szCs w:val="18"/>
                <w:highlight w:val="none"/>
              </w:rPr>
              <w:t>赵夏清</w:t>
            </w:r>
          </w:p>
        </w:tc>
        <w:tc>
          <w:tcPr>
            <w:tcW w:w="1546"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widowControl w:val="0"/>
              <w:adjustRightInd w:val="0"/>
              <w:snapToGrid w:val="0"/>
              <w:spacing w:beforeLines="0" w:afterLines="0"/>
              <w:ind w:firstLine="0" w:firstLineChars="0"/>
              <w:jc w:val="center"/>
              <w:textAlignment w:val="center"/>
              <w:rPr>
                <w:rFonts w:hint="default" w:ascii="Times New Roman" w:hAnsi="Times New Roman"/>
                <w:color w:val="auto"/>
                <w:sz w:val="18"/>
                <w:szCs w:val="18"/>
                <w:highlight w:val="none"/>
                <w:lang w:eastAsia="en-US"/>
              </w:rPr>
            </w:pPr>
            <w:r>
              <w:rPr>
                <w:rFonts w:hint="eastAsia" w:ascii="Times New Roman" w:hAnsi="Times New Roman"/>
                <w:color w:val="auto"/>
                <w:kern w:val="0"/>
                <w:sz w:val="18"/>
                <w:szCs w:val="18"/>
                <w:highlight w:val="none"/>
                <w:lang w:bidi="ar"/>
              </w:rPr>
              <w:t>项目负责人</w:t>
            </w:r>
          </w:p>
        </w:tc>
        <w:tc>
          <w:tcPr>
            <w:tcW w:w="1509"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adjustRightInd w:val="0"/>
              <w:snapToGrid w:val="0"/>
              <w:spacing w:beforeLines="0" w:afterLines="0"/>
              <w:ind w:firstLine="0" w:firstLineChars="0"/>
              <w:jc w:val="center"/>
              <w:rPr>
                <w:rFonts w:hint="eastAsia" w:ascii="Times New Roman" w:hAnsi="Times New Roman" w:eastAsiaTheme="minorEastAsia"/>
                <w:color w:val="auto"/>
                <w:kern w:val="0"/>
                <w:sz w:val="18"/>
                <w:szCs w:val="18"/>
                <w:highlight w:val="none"/>
                <w:lang w:eastAsia="zh-CN" w:bidi="ar"/>
              </w:rPr>
            </w:pPr>
            <w:r>
              <w:rPr>
                <w:rFonts w:hint="eastAsia" w:ascii="Times New Roman" w:hAnsi="Times New Roman"/>
                <w:color w:val="auto"/>
                <w:kern w:val="0"/>
                <w:sz w:val="18"/>
                <w:szCs w:val="18"/>
                <w:highlight w:val="none"/>
                <w:lang w:bidi="ar"/>
              </w:rPr>
              <w:t>项目</w:t>
            </w:r>
            <w:r>
              <w:rPr>
                <w:rFonts w:hint="eastAsia"/>
                <w:color w:val="auto"/>
                <w:kern w:val="0"/>
                <w:sz w:val="18"/>
                <w:szCs w:val="18"/>
                <w:highlight w:val="none"/>
                <w:lang w:val="en-US" w:eastAsia="zh-CN" w:bidi="ar"/>
              </w:rPr>
              <w:t>负责人</w:t>
            </w:r>
          </w:p>
        </w:tc>
        <w:tc>
          <w:tcPr>
            <w:tcW w:w="4285"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adjustRightInd w:val="0"/>
              <w:snapToGrid w:val="0"/>
              <w:spacing w:beforeLines="0" w:afterLines="0" w:line="360" w:lineRule="auto"/>
              <w:ind w:firstLine="0" w:firstLineChars="0"/>
              <w:jc w:val="left"/>
              <w:rPr>
                <w:rFonts w:hint="default" w:ascii="Times New Roman" w:hAnsi="Times New Roman"/>
                <w:color w:val="auto"/>
                <w:kern w:val="0"/>
                <w:sz w:val="18"/>
                <w:szCs w:val="18"/>
                <w:highlight w:val="none"/>
                <w:lang w:bidi="ar"/>
              </w:rPr>
            </w:pPr>
            <w:r>
              <w:rPr>
                <w:rFonts w:hint="eastAsia" w:ascii="Times New Roman" w:hAnsi="Times New Roman"/>
                <w:snapToGrid w:val="0"/>
                <w:color w:val="auto"/>
                <w:sz w:val="18"/>
                <w:szCs w:val="18"/>
                <w:highlight w:val="none"/>
              </w:rPr>
              <w:t>负责委托业务对接，签订合同，业务前期准备，制定绩效评价工作方案，组织实施绩效评价工作，撰写绩效评价报告；并对绩效评价工作的底稿内容及质量负责，对报告内容及报告质量负责。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2027" w:hRule="atLeast"/>
        </w:trPr>
        <w:tc>
          <w:tcPr>
            <w:tcW w:w="643"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widowControl w:val="0"/>
              <w:adjustRightInd w:val="0"/>
              <w:snapToGrid w:val="0"/>
              <w:spacing w:beforeLines="0" w:afterLines="0"/>
              <w:ind w:firstLine="0" w:firstLineChars="0"/>
              <w:jc w:val="center"/>
              <w:textAlignment w:val="center"/>
              <w:rPr>
                <w:rFonts w:hint="default" w:ascii="Times New Roman" w:hAnsi="Times New Roman"/>
                <w:color w:val="auto"/>
                <w:kern w:val="0"/>
                <w:sz w:val="18"/>
                <w:szCs w:val="18"/>
                <w:highlight w:val="none"/>
                <w:lang w:bidi="ar"/>
              </w:rPr>
            </w:pPr>
            <w:r>
              <w:rPr>
                <w:rFonts w:hint="default" w:ascii="Times New Roman" w:hAnsi="Times New Roman"/>
                <w:color w:val="auto"/>
                <w:kern w:val="0"/>
                <w:sz w:val="18"/>
                <w:szCs w:val="18"/>
                <w:highlight w:val="none"/>
                <w:lang w:bidi="ar"/>
              </w:rPr>
              <w:t>4</w:t>
            </w:r>
          </w:p>
        </w:tc>
        <w:tc>
          <w:tcPr>
            <w:tcW w:w="895"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adjustRightInd w:val="0"/>
              <w:snapToGrid w:val="0"/>
              <w:spacing w:beforeLines="0" w:afterLines="0"/>
              <w:ind w:firstLine="0" w:firstLineChars="0"/>
              <w:jc w:val="center"/>
              <w:rPr>
                <w:rFonts w:hint="default" w:ascii="Times New Roman" w:hAnsi="Times New Roman"/>
                <w:snapToGrid w:val="0"/>
                <w:color w:val="auto"/>
                <w:sz w:val="18"/>
                <w:szCs w:val="18"/>
                <w:highlight w:val="none"/>
              </w:rPr>
            </w:pPr>
            <w:r>
              <w:rPr>
                <w:rFonts w:hint="eastAsia" w:ascii="Times New Roman" w:hAnsi="Times New Roman"/>
                <w:snapToGrid w:val="0"/>
                <w:color w:val="auto"/>
                <w:sz w:val="18"/>
                <w:szCs w:val="18"/>
                <w:highlight w:val="none"/>
              </w:rPr>
              <w:t>郭璐璐</w:t>
            </w:r>
          </w:p>
        </w:tc>
        <w:tc>
          <w:tcPr>
            <w:tcW w:w="1546"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widowControl w:val="0"/>
              <w:adjustRightInd w:val="0"/>
              <w:snapToGrid w:val="0"/>
              <w:spacing w:beforeLines="0" w:afterLines="0"/>
              <w:ind w:firstLine="0" w:firstLineChars="0"/>
              <w:jc w:val="center"/>
              <w:textAlignment w:val="center"/>
              <w:rPr>
                <w:rFonts w:hint="default" w:ascii="Times New Roman" w:hAnsi="Times New Roman"/>
                <w:snapToGrid w:val="0"/>
                <w:color w:val="auto"/>
                <w:sz w:val="18"/>
                <w:szCs w:val="18"/>
                <w:highlight w:val="none"/>
              </w:rPr>
            </w:pPr>
            <w:r>
              <w:rPr>
                <w:rFonts w:hint="eastAsia" w:ascii="Times New Roman" w:hAnsi="Times New Roman"/>
                <w:snapToGrid w:val="0"/>
                <w:color w:val="auto"/>
                <w:sz w:val="18"/>
                <w:szCs w:val="18"/>
                <w:highlight w:val="none"/>
              </w:rPr>
              <w:t>项目绩效评价人员</w:t>
            </w:r>
          </w:p>
        </w:tc>
        <w:tc>
          <w:tcPr>
            <w:tcW w:w="1509"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adjustRightInd w:val="0"/>
              <w:snapToGrid w:val="0"/>
              <w:spacing w:beforeLines="0" w:afterLines="0"/>
              <w:ind w:firstLine="0" w:firstLineChars="0"/>
              <w:jc w:val="center"/>
              <w:rPr>
                <w:rFonts w:hint="default" w:ascii="Times New Roman" w:hAnsi="Times New Roman"/>
                <w:color w:val="auto"/>
                <w:kern w:val="0"/>
                <w:sz w:val="18"/>
                <w:szCs w:val="18"/>
                <w:highlight w:val="none"/>
                <w:lang w:bidi="ar"/>
              </w:rPr>
            </w:pPr>
            <w:r>
              <w:rPr>
                <w:rFonts w:hint="eastAsia" w:ascii="Times New Roman" w:hAnsi="Times New Roman"/>
                <w:color w:val="auto"/>
                <w:kern w:val="0"/>
                <w:sz w:val="18"/>
                <w:szCs w:val="18"/>
                <w:highlight w:val="none"/>
                <w:lang w:bidi="ar"/>
              </w:rPr>
              <w:t>项目助理</w:t>
            </w:r>
          </w:p>
        </w:tc>
        <w:tc>
          <w:tcPr>
            <w:tcW w:w="4285" w:type="dxa"/>
            <w:tcBorders>
              <w:top w:val="single" w:color="000000" w:sz="4" w:space="0"/>
              <w:left w:val="single" w:color="000000" w:sz="4" w:space="0"/>
              <w:bottom w:val="single" w:color="000000" w:sz="4" w:space="0"/>
              <w:right w:val="single" w:color="000000" w:sz="4" w:space="0"/>
              <w:tl2br w:val="nil"/>
              <w:tr2bl w:val="nil"/>
            </w:tcBorders>
            <w:vAlign w:val="center"/>
          </w:tcPr>
          <w:p>
            <w:pPr>
              <w:keepNext/>
              <w:keepLines/>
              <w:adjustRightInd w:val="0"/>
              <w:snapToGrid w:val="0"/>
              <w:spacing w:beforeLines="0" w:afterLines="0" w:line="360" w:lineRule="auto"/>
              <w:ind w:firstLine="0" w:firstLineChars="0"/>
              <w:jc w:val="left"/>
              <w:rPr>
                <w:rFonts w:hint="default" w:ascii="Times New Roman" w:hAnsi="Times New Roman"/>
                <w:snapToGrid w:val="0"/>
                <w:color w:val="auto"/>
                <w:sz w:val="18"/>
                <w:szCs w:val="18"/>
                <w:highlight w:val="none"/>
              </w:rPr>
            </w:pPr>
            <w:r>
              <w:rPr>
                <w:rFonts w:hint="eastAsia" w:ascii="Times New Roman" w:hAnsi="Times New Roman"/>
                <w:snapToGrid w:val="0"/>
                <w:color w:val="auto"/>
                <w:sz w:val="18"/>
                <w:szCs w:val="18"/>
                <w:highlight w:val="none"/>
              </w:rPr>
              <w:t>负责收集、整理、归类项目相关资料；协助负责人整理调研工作材料、梳理项目相关资料和数据、开展指标评价分析等工作，并对独立完成的部分工作内容负责。</w:t>
            </w:r>
          </w:p>
        </w:tc>
      </w:tr>
    </w:tbl>
    <w:p>
      <w:pPr>
        <w:keepNext/>
        <w:keepLines/>
        <w:spacing w:beforeLines="0" w:afterLines="0"/>
        <w:ind w:firstLine="420" w:firstLineChars="200"/>
        <w:rPr>
          <w:rFonts w:hint="eastAsia" w:ascii="Times New Roman" w:hAnsi="Times New Roman"/>
          <w:color w:val="auto"/>
          <w:sz w:val="21"/>
          <w:szCs w:val="24"/>
          <w:highlight w:val="none"/>
        </w:rPr>
      </w:pP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2.组织实施</w:t>
      </w:r>
    </w:p>
    <w:p>
      <w:pPr>
        <w:keepNext/>
        <w:keepLines/>
        <w:ind w:firstLine="420"/>
        <w:rPr>
          <w:color w:val="auto"/>
          <w:highlight w:val="none"/>
        </w:rPr>
      </w:pPr>
      <w:r>
        <w:rPr>
          <w:bCs/>
          <w:color w:val="auto"/>
          <w:highlight w:val="none"/>
        </w:rPr>
        <w:t>绩效评价小组采取现场和非现场评价相结合的方式开展调研、查阅基础资料、数据采集、访谈、数据分析等具体评价工作</w:t>
      </w:r>
      <w:r>
        <w:rPr>
          <w:color w:val="auto"/>
          <w:highlight w:val="none"/>
        </w:rPr>
        <w:t xml:space="preserve">，具体实施过程和方式如下： </w:t>
      </w:r>
    </w:p>
    <w:p>
      <w:pPr>
        <w:keepNext/>
        <w:keepLines/>
        <w:ind w:firstLine="420"/>
        <w:rPr>
          <w:color w:val="auto"/>
          <w:highlight w:val="none"/>
        </w:rPr>
      </w:pPr>
      <w:r>
        <w:rPr>
          <w:color w:val="auto"/>
          <w:highlight w:val="none"/>
        </w:rPr>
        <w:t>（1）与巴楚县教育局、施工单位负责人等相关单位管理人员</w:t>
      </w:r>
      <w:r>
        <w:rPr>
          <w:rFonts w:hint="eastAsia"/>
          <w:color w:val="auto"/>
          <w:highlight w:val="none"/>
        </w:rPr>
        <w:t>及</w:t>
      </w:r>
      <w:r>
        <w:rPr>
          <w:color w:val="auto"/>
          <w:highlight w:val="none"/>
        </w:rPr>
        <w:t>项目人员进行访谈沟通，全面了解项目实施的目的、预算安排、组织管理、实施结果等方面的内容。</w:t>
      </w:r>
    </w:p>
    <w:p>
      <w:pPr>
        <w:keepNext/>
        <w:keepLines/>
        <w:ind w:firstLine="420"/>
        <w:rPr>
          <w:color w:val="auto"/>
          <w:highlight w:val="none"/>
        </w:rPr>
      </w:pPr>
      <w:r>
        <w:rPr>
          <w:color w:val="auto"/>
          <w:highlight w:val="none"/>
        </w:rPr>
        <w:t>（2）尽职开展前期调查，全面收集项目决策依据、财政预算安排执行情况、项目建设实施过程、竣工验收等相关资料，完成绩效评价内容所需的印证资料整理汇总。</w:t>
      </w:r>
    </w:p>
    <w:p>
      <w:pPr>
        <w:keepNext/>
        <w:keepLines/>
        <w:ind w:firstLine="420"/>
        <w:rPr>
          <w:color w:val="auto"/>
          <w:highlight w:val="none"/>
        </w:rPr>
      </w:pPr>
      <w:r>
        <w:rPr>
          <w:color w:val="auto"/>
          <w:highlight w:val="none"/>
        </w:rPr>
        <w:t>（3）</w:t>
      </w:r>
      <w:r>
        <w:rPr>
          <w:rFonts w:hint="eastAsia"/>
          <w:color w:val="auto"/>
          <w:highlight w:val="none"/>
        </w:rPr>
        <w:t>该项目改造共涉及14所中小学，绩效评价组选取巴楚县、阿瓦提镇等地5所小学进行现场勘察，抽查比例34.71%，</w:t>
      </w:r>
      <w:r>
        <w:rPr>
          <w:color w:val="auto"/>
          <w:highlight w:val="none"/>
        </w:rPr>
        <w:t>了解校园维修改造实施和</w:t>
      </w:r>
      <w:r>
        <w:rPr>
          <w:rFonts w:hint="eastAsia"/>
          <w:color w:val="auto"/>
          <w:highlight w:val="none"/>
        </w:rPr>
        <w:t>投入</w:t>
      </w:r>
      <w:r>
        <w:rPr>
          <w:color w:val="auto"/>
          <w:highlight w:val="none"/>
        </w:rPr>
        <w:t>使用的情况，对项目实际建设、使用</w:t>
      </w:r>
      <w:r>
        <w:rPr>
          <w:rFonts w:hint="eastAsia"/>
          <w:color w:val="auto"/>
          <w:highlight w:val="none"/>
        </w:rPr>
        <w:t>、维修情况</w:t>
      </w:r>
      <w:r>
        <w:rPr>
          <w:color w:val="auto"/>
          <w:highlight w:val="none"/>
        </w:rPr>
        <w:t>进行调查、记录，与项目人员进行交谈，并对必要的数据进行取证，了解实际情况。</w:t>
      </w:r>
    </w:p>
    <w:p>
      <w:pPr>
        <w:keepNext/>
        <w:keepLines/>
        <w:ind w:firstLine="420"/>
        <w:rPr>
          <w:color w:val="auto"/>
          <w:highlight w:val="none"/>
        </w:rPr>
      </w:pPr>
      <w:r>
        <w:rPr>
          <w:color w:val="auto"/>
          <w:highlight w:val="none"/>
        </w:rPr>
        <w:t>（4）经调研了解，该项目主要受益群体为在校师生，我们根据绩效评价目标和绩效指标体系，设计满意度调查问卷</w:t>
      </w:r>
      <w:r>
        <w:rPr>
          <w:color w:val="auto"/>
          <w:kern w:val="2"/>
          <w:szCs w:val="21"/>
          <w:highlight w:val="none"/>
        </w:rPr>
        <w:t>，独立开展第三方问卷调查工作。</w:t>
      </w:r>
      <w:r>
        <w:rPr>
          <w:color w:val="auto"/>
          <w:szCs w:val="21"/>
          <w:highlight w:val="none"/>
          <w:lang w:val="zh-TW"/>
        </w:rPr>
        <w:t>该项目问卷调查使用</w:t>
      </w:r>
      <w:r>
        <w:rPr>
          <w:color w:val="auto"/>
          <w:szCs w:val="21"/>
          <w:highlight w:val="none"/>
        </w:rPr>
        <w:t>随机抽样</w:t>
      </w:r>
      <w:r>
        <w:rPr>
          <w:color w:val="auto"/>
          <w:szCs w:val="21"/>
          <w:highlight w:val="none"/>
          <w:lang w:val="zh-TW"/>
        </w:rPr>
        <w:t>的方式，</w:t>
      </w:r>
      <w:r>
        <w:rPr>
          <w:color w:val="auto"/>
          <w:szCs w:val="21"/>
          <w:highlight w:val="none"/>
        </w:rPr>
        <w:t>对涉及维修改造学校的师生发放调查问卷，有效回收问卷</w:t>
      </w:r>
      <w:r>
        <w:rPr>
          <w:rFonts w:hint="eastAsia"/>
          <w:color w:val="auto"/>
          <w:szCs w:val="21"/>
          <w:highlight w:val="none"/>
          <w:lang w:eastAsia="zh-CN"/>
        </w:rPr>
        <w:t>1320</w:t>
      </w:r>
      <w:r>
        <w:rPr>
          <w:color w:val="auto"/>
          <w:szCs w:val="21"/>
          <w:highlight w:val="none"/>
        </w:rPr>
        <w:t>份。</w:t>
      </w:r>
    </w:p>
    <w:p>
      <w:pPr>
        <w:ind w:firstLine="420"/>
        <w:rPr>
          <w:color w:val="auto"/>
          <w:kern w:val="2"/>
          <w:szCs w:val="21"/>
          <w:highlight w:val="none"/>
        </w:rPr>
      </w:pPr>
      <w:r>
        <w:rPr>
          <w:color w:val="auto"/>
          <w:kern w:val="2"/>
          <w:szCs w:val="21"/>
          <w:highlight w:val="none"/>
        </w:rPr>
        <w:t>（5）通过对采集的数据资料进行复核汇总、分类整理和综合分析，按照设立的评价指标、标准、权重、方法实施评价，并形成评价工作底稿</w:t>
      </w:r>
      <w:r>
        <w:rPr>
          <w:rFonts w:hint="eastAsia"/>
          <w:color w:val="auto"/>
          <w:kern w:val="2"/>
          <w:szCs w:val="21"/>
          <w:highlight w:val="none"/>
          <w:lang w:eastAsia="zh-CN"/>
        </w:rPr>
        <w:t>。</w:t>
      </w:r>
    </w:p>
    <w:p>
      <w:pPr>
        <w:keepNext/>
        <w:keepLines/>
        <w:pageBreakBefore w:val="0"/>
        <w:widowControl w:val="0"/>
        <w:kinsoku/>
        <w:wordWrap/>
        <w:overflowPunct/>
        <w:topLinePunct w:val="0"/>
        <w:autoSpaceDE/>
        <w:autoSpaceDN/>
        <w:bidi w:val="0"/>
        <w:spacing w:line="360" w:lineRule="exact"/>
        <w:ind w:firstLine="482"/>
        <w:textAlignment w:val="auto"/>
        <w:rPr>
          <w:rFonts w:hint="default"/>
          <w:b/>
          <w:bCs/>
          <w:color w:val="auto"/>
          <w:sz w:val="24"/>
          <w:szCs w:val="28"/>
          <w:highlight w:val="none"/>
        </w:rPr>
      </w:pPr>
      <w:r>
        <w:rPr>
          <w:rFonts w:hint="default"/>
          <w:b/>
          <w:bCs/>
          <w:color w:val="auto"/>
          <w:sz w:val="24"/>
          <w:szCs w:val="28"/>
          <w:highlight w:val="none"/>
        </w:rPr>
        <w:t xml:space="preserve">3.撰写绩效评价报告 </w:t>
      </w:r>
    </w:p>
    <w:p>
      <w:pPr>
        <w:pStyle w:val="4"/>
        <w:ind w:firstLine="422"/>
        <w:rPr>
          <w:rFonts w:ascii="Times New Roman" w:hAnsi="Times New Roman"/>
          <w:b w:val="0"/>
          <w:bCs w:val="0"/>
          <w:color w:val="auto"/>
          <w:kern w:val="2"/>
          <w:szCs w:val="21"/>
          <w:highlight w:val="none"/>
        </w:rPr>
      </w:pPr>
      <w:r>
        <w:rPr>
          <w:rFonts w:hint="default" w:ascii="Times New Roman" w:hAnsi="Times New Roman"/>
          <w:b w:val="0"/>
          <w:bCs w:val="0"/>
          <w:color w:val="auto"/>
          <w:kern w:val="2"/>
          <w:szCs w:val="21"/>
          <w:highlight w:val="none"/>
        </w:rPr>
        <w:t>归集绩效评价工作底稿，起草项目绩效评价报告，经公司内部质量审核通过后向委</w:t>
      </w:r>
      <w:r>
        <w:rPr>
          <w:rFonts w:hint="default" w:ascii="Times New Roman" w:hAnsi="Times New Roman"/>
          <w:b w:val="0"/>
          <w:bCs w:val="0"/>
          <w:color w:val="auto"/>
          <w:kern w:val="2"/>
          <w:szCs w:val="21"/>
          <w:highlight w:val="none"/>
          <w:lang w:val="en-US" w:eastAsia="zh-CN"/>
        </w:rPr>
        <w:t>托</w:t>
      </w:r>
      <w:bookmarkEnd w:id="203"/>
      <w:r>
        <w:rPr>
          <w:rFonts w:ascii="Times New Roman" w:hAnsi="Times New Roman"/>
          <w:b w:val="0"/>
          <w:bCs w:val="0"/>
          <w:color w:val="auto"/>
          <w:kern w:val="2"/>
          <w:szCs w:val="21"/>
          <w:highlight w:val="none"/>
        </w:rPr>
        <w:t>提交评估报告初稿，并报送项目实施机构以及行业主管部门，进行结果反馈，充分交换意见。</w:t>
      </w:r>
    </w:p>
    <w:p>
      <w:pPr>
        <w:pStyle w:val="4"/>
        <w:ind w:firstLine="422"/>
        <w:rPr>
          <w:rFonts w:hint="default" w:ascii="Times New Roman" w:hAnsi="Times New Roman"/>
          <w:b w:val="0"/>
          <w:bCs w:val="0"/>
          <w:color w:val="auto"/>
          <w:kern w:val="2"/>
          <w:szCs w:val="21"/>
          <w:highlight w:val="none"/>
          <w:lang w:val="en-US" w:eastAsia="zh-CN"/>
        </w:rPr>
      </w:pPr>
      <w:r>
        <w:rPr>
          <w:rFonts w:hint="eastAsia" w:ascii="Times New Roman" w:hAnsi="Times New Roman"/>
          <w:b w:val="0"/>
          <w:bCs w:val="0"/>
          <w:color w:val="auto"/>
          <w:kern w:val="2"/>
          <w:szCs w:val="21"/>
          <w:highlight w:val="none"/>
        </w:rPr>
        <w:t>巴楚县</w:t>
      </w:r>
      <w:r>
        <w:rPr>
          <w:rFonts w:hint="default" w:ascii="Times New Roman" w:hAnsi="Times New Roman"/>
          <w:b w:val="0"/>
          <w:bCs w:val="0"/>
          <w:color w:val="auto"/>
          <w:kern w:val="2"/>
          <w:szCs w:val="21"/>
          <w:highlight w:val="none"/>
          <w:lang w:val="en-US" w:eastAsia="zh-CN"/>
        </w:rPr>
        <w:t>教育局</w:t>
      </w:r>
      <w:r>
        <w:rPr>
          <w:rFonts w:ascii="Times New Roman" w:hAnsi="Times New Roman"/>
          <w:b w:val="0"/>
          <w:bCs w:val="0"/>
          <w:color w:val="auto"/>
          <w:kern w:val="2"/>
          <w:szCs w:val="21"/>
          <w:highlight w:val="none"/>
        </w:rPr>
        <w:t>、</w:t>
      </w:r>
      <w:r>
        <w:rPr>
          <w:rFonts w:hint="eastAsia" w:ascii="Times New Roman" w:hAnsi="Times New Roman"/>
          <w:b w:val="0"/>
          <w:bCs w:val="0"/>
          <w:color w:val="auto"/>
          <w:kern w:val="2"/>
          <w:szCs w:val="21"/>
          <w:highlight w:val="none"/>
        </w:rPr>
        <w:t>巴楚</w:t>
      </w:r>
      <w:r>
        <w:rPr>
          <w:rFonts w:ascii="Times New Roman" w:hAnsi="Times New Roman"/>
          <w:b w:val="0"/>
          <w:bCs w:val="0"/>
          <w:color w:val="auto"/>
          <w:kern w:val="2"/>
          <w:szCs w:val="21"/>
          <w:highlight w:val="none"/>
        </w:rPr>
        <w:t>县财政局于202</w:t>
      </w:r>
      <w:r>
        <w:rPr>
          <w:rFonts w:hint="eastAsia" w:ascii="Times New Roman" w:hAnsi="Times New Roman"/>
          <w:b w:val="0"/>
          <w:bCs w:val="0"/>
          <w:color w:val="auto"/>
          <w:kern w:val="2"/>
          <w:szCs w:val="21"/>
          <w:highlight w:val="none"/>
        </w:rPr>
        <w:t>4</w:t>
      </w:r>
      <w:r>
        <w:rPr>
          <w:rFonts w:ascii="Times New Roman" w:hAnsi="Times New Roman"/>
          <w:b w:val="0"/>
          <w:bCs w:val="0"/>
          <w:color w:val="auto"/>
          <w:kern w:val="2"/>
          <w:szCs w:val="21"/>
          <w:highlight w:val="none"/>
        </w:rPr>
        <w:t>年7月</w:t>
      </w:r>
      <w:r>
        <w:rPr>
          <w:rFonts w:hint="default" w:ascii="Times New Roman" w:hAnsi="Times New Roman"/>
          <w:b w:val="0"/>
          <w:bCs w:val="0"/>
          <w:color w:val="auto"/>
          <w:kern w:val="2"/>
          <w:szCs w:val="21"/>
          <w:highlight w:val="none"/>
          <w:lang w:val="en-US" w:eastAsia="zh-CN"/>
        </w:rPr>
        <w:t>23</w:t>
      </w:r>
      <w:r>
        <w:rPr>
          <w:rFonts w:ascii="Times New Roman" w:hAnsi="Times New Roman"/>
          <w:b w:val="0"/>
          <w:bCs w:val="0"/>
          <w:color w:val="auto"/>
          <w:kern w:val="2"/>
          <w:szCs w:val="21"/>
          <w:highlight w:val="none"/>
        </w:rPr>
        <w:t>日反馈绩效评价报告的审核意见，反馈意见为</w:t>
      </w:r>
      <w:r>
        <w:rPr>
          <w:rFonts w:hint="eastAsia" w:ascii="Times New Roman" w:hAnsi="Times New Roman"/>
          <w:b w:val="0"/>
          <w:bCs w:val="0"/>
          <w:color w:val="auto"/>
          <w:kern w:val="2"/>
          <w:szCs w:val="21"/>
          <w:highlight w:val="none"/>
        </w:rPr>
        <w:t>“</w:t>
      </w:r>
      <w:r>
        <w:rPr>
          <w:rFonts w:ascii="Times New Roman" w:hAnsi="Times New Roman"/>
          <w:b w:val="0"/>
          <w:bCs w:val="0"/>
          <w:color w:val="auto"/>
          <w:kern w:val="2"/>
          <w:szCs w:val="21"/>
          <w:highlight w:val="none"/>
        </w:rPr>
        <w:t>无意见</w:t>
      </w:r>
      <w:r>
        <w:rPr>
          <w:rFonts w:hint="eastAsia" w:ascii="Times New Roman" w:hAnsi="Times New Roman"/>
          <w:b w:val="0"/>
          <w:bCs w:val="0"/>
          <w:color w:val="auto"/>
          <w:kern w:val="2"/>
          <w:szCs w:val="21"/>
          <w:highlight w:val="none"/>
        </w:rPr>
        <w:t>”</w:t>
      </w:r>
      <w:r>
        <w:rPr>
          <w:rFonts w:ascii="Times New Roman" w:hAnsi="Times New Roman"/>
          <w:b w:val="0"/>
          <w:bCs w:val="0"/>
          <w:color w:val="auto"/>
          <w:kern w:val="2"/>
          <w:szCs w:val="21"/>
          <w:highlight w:val="none"/>
        </w:rPr>
        <w:t>，详细见《绩效评价报告意见反馈表》</w:t>
      </w:r>
      <w:r>
        <w:rPr>
          <w:rFonts w:hint="default" w:ascii="Times New Roman" w:hAnsi="Times New Roman"/>
          <w:b w:val="0"/>
          <w:bCs w:val="0"/>
          <w:color w:val="auto"/>
          <w:kern w:val="2"/>
          <w:szCs w:val="21"/>
          <w:highlight w:val="none"/>
          <w:lang w:val="en-US" w:eastAsia="zh-CN"/>
        </w:rPr>
        <w:t>。</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rFonts w:hint="eastAsia"/>
          <w:b/>
          <w:bCs/>
          <w:color w:val="auto"/>
          <w:sz w:val="24"/>
          <w:szCs w:val="28"/>
          <w:highlight w:val="none"/>
          <w:lang w:val="en-US" w:eastAsia="zh-CN"/>
        </w:rPr>
        <w:t>4.</w:t>
      </w:r>
      <w:r>
        <w:rPr>
          <w:b/>
          <w:bCs/>
          <w:color w:val="auto"/>
          <w:sz w:val="24"/>
          <w:szCs w:val="28"/>
          <w:highlight w:val="none"/>
        </w:rPr>
        <w:t>资料档案</w:t>
      </w:r>
    </w:p>
    <w:p>
      <w:pPr>
        <w:keepNext w:val="0"/>
        <w:keepLines w:val="0"/>
        <w:ind w:firstLine="420" w:firstLineChars="0"/>
        <w:rPr>
          <w:color w:val="auto"/>
          <w:highlight w:val="none"/>
        </w:rPr>
      </w:pPr>
      <w:r>
        <w:rPr>
          <w:color w:val="auto"/>
          <w:highlight w:val="none"/>
        </w:rPr>
        <w:t>第三方机构将绩效评价过程中收集的全部有效资料，主要包括绩效评价工作方案、绩效指标的佐证材料、各单位反馈意见和建议、实地调研记录、调查问卷、绩效评价报告等一并归档，并按照有关档案管理规定妥善管理。</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四、综合评价情况及评价结论</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lang w:eastAsia="zh-TW"/>
        </w:rPr>
      </w:pPr>
      <w:r>
        <w:rPr>
          <w:b/>
          <w:bCs/>
          <w:color w:val="auto"/>
          <w:sz w:val="24"/>
          <w:szCs w:val="28"/>
          <w:highlight w:val="none"/>
        </w:rPr>
        <w:t>（一）评价得分情况</w:t>
      </w:r>
    </w:p>
    <w:p>
      <w:pPr>
        <w:keepNext w:val="0"/>
        <w:keepLines w:val="0"/>
        <w:ind w:firstLine="420" w:firstLineChars="0"/>
        <w:rPr>
          <w:color w:val="auto"/>
          <w:highlight w:val="none"/>
        </w:rPr>
      </w:pPr>
      <w:r>
        <w:rPr>
          <w:rFonts w:hint="eastAsia"/>
          <w:color w:val="auto"/>
          <w:highlight w:val="none"/>
          <w:lang w:val="en-US" w:eastAsia="zh-CN"/>
        </w:rPr>
        <w:t>通过</w:t>
      </w:r>
      <w:r>
        <w:rPr>
          <w:color w:val="auto"/>
          <w:highlight w:val="none"/>
          <w:lang w:val="zh-TW" w:eastAsia="zh-TW"/>
        </w:rPr>
        <w:t>调研、数据分析、访谈等方式，根据</w:t>
      </w:r>
      <w:r>
        <w:rPr>
          <w:color w:val="auto"/>
          <w:highlight w:val="none"/>
        </w:rPr>
        <w:t>绩效评价</w:t>
      </w:r>
      <w:r>
        <w:rPr>
          <w:color w:val="auto"/>
          <w:highlight w:val="none"/>
          <w:lang w:val="zh-TW" w:eastAsia="zh-TW"/>
        </w:rPr>
        <w:t>方案确定指标体系及评分标准，对</w:t>
      </w:r>
      <w:r>
        <w:rPr>
          <w:rFonts w:hint="eastAsia"/>
          <w:color w:val="auto"/>
          <w:highlight w:val="none"/>
          <w:lang w:val="zh-TW"/>
        </w:rPr>
        <w:t>“喀什地区巴楚县2023年城乡义务教育农村校舍安全保障长效机制项目</w:t>
      </w:r>
      <w:r>
        <w:rPr>
          <w:rFonts w:hint="eastAsia"/>
          <w:color w:val="auto"/>
          <w:highlight w:val="none"/>
          <w:lang w:val="zh-TW" w:eastAsia="zh-CN"/>
        </w:rPr>
        <w:t>（</w:t>
      </w:r>
      <w:r>
        <w:rPr>
          <w:rFonts w:hint="eastAsia"/>
          <w:color w:val="auto"/>
          <w:highlight w:val="none"/>
          <w:lang w:val="zh-TW"/>
        </w:rPr>
        <w:t>第一批</w:t>
      </w:r>
      <w:r>
        <w:rPr>
          <w:rFonts w:hint="eastAsia"/>
          <w:color w:val="auto"/>
          <w:highlight w:val="none"/>
          <w:lang w:val="zh-TW" w:eastAsia="zh-CN"/>
        </w:rPr>
        <w:t>）</w:t>
      </w:r>
      <w:r>
        <w:rPr>
          <w:rFonts w:hint="eastAsia"/>
          <w:color w:val="auto"/>
          <w:highlight w:val="none"/>
          <w:lang w:val="zh-TW"/>
        </w:rPr>
        <w:t>”</w:t>
      </w:r>
      <w:r>
        <w:rPr>
          <w:color w:val="auto"/>
          <w:highlight w:val="none"/>
          <w:lang w:val="zh-TW" w:eastAsia="zh-TW"/>
        </w:rPr>
        <w:t>绩效进行</w:t>
      </w:r>
    </w:p>
    <w:p>
      <w:pPr>
        <w:keepNext w:val="0"/>
        <w:keepLines w:val="0"/>
        <w:ind w:left="0" w:leftChars="0" w:firstLine="0" w:firstLineChars="0"/>
        <w:rPr>
          <w:color w:val="auto"/>
          <w:highlight w:val="none"/>
        </w:rPr>
      </w:pPr>
      <w:r>
        <w:rPr>
          <w:color w:val="auto"/>
          <w:highlight w:val="none"/>
          <w:lang w:val="zh-TW" w:eastAsia="zh-TW"/>
        </w:rPr>
        <w:t>客观评价，综合评价</w:t>
      </w:r>
      <w:r>
        <w:rPr>
          <w:rFonts w:hint="eastAsia"/>
          <w:color w:val="auto"/>
          <w:highlight w:val="none"/>
        </w:rPr>
        <w:t>情况</w:t>
      </w:r>
      <w:r>
        <w:rPr>
          <w:color w:val="auto"/>
          <w:highlight w:val="none"/>
          <w:lang w:val="zh-TW" w:eastAsia="zh-TW"/>
        </w:rPr>
        <w:t>如下：</w:t>
      </w:r>
      <w:r>
        <w:rPr>
          <w:rFonts w:hint="eastAsia"/>
          <w:color w:val="auto"/>
          <w:highlight w:val="none"/>
        </w:rPr>
        <w:t>该</w:t>
      </w:r>
      <w:r>
        <w:rPr>
          <w:color w:val="auto"/>
          <w:highlight w:val="none"/>
          <w:lang w:val="zh-TW" w:eastAsia="zh-TW"/>
        </w:rPr>
        <w:t>项目共设置绩效目标</w:t>
      </w:r>
      <w:r>
        <w:rPr>
          <w:color w:val="auto"/>
          <w:highlight w:val="none"/>
        </w:rPr>
        <w:t>20</w:t>
      </w:r>
      <w:r>
        <w:rPr>
          <w:color w:val="auto"/>
          <w:highlight w:val="none"/>
          <w:lang w:val="zh-TW" w:eastAsia="zh-TW"/>
        </w:rPr>
        <w:t>个，实现目标</w:t>
      </w:r>
      <w:r>
        <w:rPr>
          <w:color w:val="auto"/>
          <w:highlight w:val="none"/>
        </w:rPr>
        <w:t>15</w:t>
      </w:r>
      <w:r>
        <w:rPr>
          <w:color w:val="auto"/>
          <w:highlight w:val="none"/>
          <w:lang w:val="zh-TW" w:eastAsia="zh-TW"/>
        </w:rPr>
        <w:t>个，完成率</w:t>
      </w:r>
      <w:r>
        <w:rPr>
          <w:color w:val="auto"/>
          <w:highlight w:val="none"/>
        </w:rPr>
        <w:t>75</w:t>
      </w:r>
      <w:r>
        <w:rPr>
          <w:color w:val="auto"/>
          <w:highlight w:val="none"/>
          <w:lang w:val="zh-TW" w:eastAsia="zh-TW"/>
        </w:rPr>
        <w:t>%，得分率</w:t>
      </w:r>
      <w:r>
        <w:rPr>
          <w:color w:val="auto"/>
          <w:highlight w:val="none"/>
        </w:rPr>
        <w:t>88.83%</w:t>
      </w:r>
      <w:r>
        <w:rPr>
          <w:color w:val="auto"/>
          <w:highlight w:val="none"/>
          <w:lang w:val="zh-TW" w:eastAsia="zh-TW"/>
        </w:rPr>
        <w:t>；</w:t>
      </w:r>
      <w:r>
        <w:rPr>
          <w:color w:val="auto"/>
          <w:highlight w:val="none"/>
        </w:rPr>
        <w:t>项目</w:t>
      </w:r>
      <w:r>
        <w:rPr>
          <w:rFonts w:hint="eastAsia"/>
          <w:color w:val="auto"/>
          <w:highlight w:val="none"/>
        </w:rPr>
        <w:t>决策</w:t>
      </w:r>
      <w:r>
        <w:rPr>
          <w:color w:val="auto"/>
          <w:highlight w:val="none"/>
          <w:lang w:val="zh-TW" w:eastAsia="zh-TW"/>
        </w:rPr>
        <w:t>指标共设置</w:t>
      </w:r>
      <w:r>
        <w:rPr>
          <w:color w:val="auto"/>
          <w:highlight w:val="none"/>
        </w:rPr>
        <w:t>6</w:t>
      </w:r>
      <w:r>
        <w:rPr>
          <w:color w:val="auto"/>
          <w:highlight w:val="none"/>
          <w:lang w:val="zh-TW" w:eastAsia="zh-TW"/>
        </w:rPr>
        <w:t>个，满分指标</w:t>
      </w:r>
      <w:r>
        <w:rPr>
          <w:color w:val="auto"/>
          <w:highlight w:val="none"/>
        </w:rPr>
        <w:t>5</w:t>
      </w:r>
      <w:r>
        <w:rPr>
          <w:color w:val="auto"/>
          <w:highlight w:val="none"/>
          <w:lang w:val="zh-TW" w:eastAsia="zh-TW"/>
        </w:rPr>
        <w:t>个，得分率</w:t>
      </w:r>
      <w:r>
        <w:rPr>
          <w:color w:val="auto"/>
          <w:highlight w:val="none"/>
        </w:rPr>
        <w:t>96%</w:t>
      </w:r>
      <w:r>
        <w:rPr>
          <w:color w:val="auto"/>
          <w:highlight w:val="none"/>
          <w:lang w:val="zh-TW" w:eastAsia="zh-TW"/>
        </w:rPr>
        <w:t>；</w:t>
      </w:r>
      <w:r>
        <w:rPr>
          <w:color w:val="auto"/>
          <w:highlight w:val="none"/>
        </w:rPr>
        <w:t>项目过程</w:t>
      </w:r>
      <w:r>
        <w:rPr>
          <w:color w:val="auto"/>
          <w:highlight w:val="none"/>
          <w:lang w:val="zh-TW" w:eastAsia="zh-TW"/>
        </w:rPr>
        <w:t>指标共</w:t>
      </w:r>
    </w:p>
    <w:p>
      <w:pPr>
        <w:keepNext w:val="0"/>
        <w:keepLines w:val="0"/>
        <w:ind w:left="0" w:leftChars="0" w:firstLine="0" w:firstLineChars="0"/>
        <w:rPr>
          <w:color w:val="auto"/>
          <w:highlight w:val="none"/>
        </w:rPr>
      </w:pPr>
      <w:r>
        <w:rPr>
          <w:color w:val="auto"/>
          <w:highlight w:val="none"/>
          <w:lang w:val="zh-TW" w:eastAsia="zh-TW"/>
        </w:rPr>
        <w:t>设置</w:t>
      </w:r>
      <w:r>
        <w:rPr>
          <w:color w:val="auto"/>
          <w:highlight w:val="none"/>
        </w:rPr>
        <w:t>5</w:t>
      </w:r>
      <w:r>
        <w:rPr>
          <w:color w:val="auto"/>
          <w:highlight w:val="none"/>
          <w:lang w:val="zh-TW" w:eastAsia="zh-TW"/>
        </w:rPr>
        <w:t>个，满分指标</w:t>
      </w:r>
      <w:r>
        <w:rPr>
          <w:color w:val="auto"/>
          <w:highlight w:val="none"/>
        </w:rPr>
        <w:t>3</w:t>
      </w:r>
      <w:r>
        <w:rPr>
          <w:color w:val="auto"/>
          <w:highlight w:val="none"/>
          <w:lang w:val="zh-TW" w:eastAsia="zh-TW"/>
        </w:rPr>
        <w:t>个，得分率</w:t>
      </w:r>
      <w:r>
        <w:rPr>
          <w:color w:val="auto"/>
          <w:highlight w:val="none"/>
        </w:rPr>
        <w:t>72%</w:t>
      </w:r>
      <w:r>
        <w:rPr>
          <w:color w:val="auto"/>
          <w:highlight w:val="none"/>
          <w:lang w:val="zh-TW" w:eastAsia="zh-TW"/>
        </w:rPr>
        <w:t>；</w:t>
      </w:r>
      <w:r>
        <w:rPr>
          <w:color w:val="auto"/>
          <w:highlight w:val="none"/>
        </w:rPr>
        <w:t>项目产出</w:t>
      </w:r>
      <w:r>
        <w:rPr>
          <w:color w:val="auto"/>
          <w:highlight w:val="none"/>
          <w:lang w:val="zh-TW" w:eastAsia="zh-TW"/>
        </w:rPr>
        <w:t>指标共设置</w:t>
      </w:r>
      <w:r>
        <w:rPr>
          <w:color w:val="auto"/>
          <w:highlight w:val="none"/>
        </w:rPr>
        <w:t>5</w:t>
      </w:r>
      <w:r>
        <w:rPr>
          <w:color w:val="auto"/>
          <w:highlight w:val="none"/>
          <w:lang w:val="zh-TW" w:eastAsia="zh-TW"/>
        </w:rPr>
        <w:t>个，满分指标</w:t>
      </w:r>
      <w:r>
        <w:rPr>
          <w:color w:val="auto"/>
          <w:highlight w:val="none"/>
        </w:rPr>
        <w:t>4</w:t>
      </w:r>
      <w:r>
        <w:rPr>
          <w:color w:val="auto"/>
          <w:highlight w:val="none"/>
          <w:lang w:val="zh-TW" w:eastAsia="zh-TW"/>
        </w:rPr>
        <w:t>个，得分</w:t>
      </w:r>
    </w:p>
    <w:p>
      <w:pPr>
        <w:keepNext w:val="0"/>
        <w:keepLines w:val="0"/>
        <w:ind w:left="0" w:leftChars="0" w:firstLine="0" w:firstLineChars="0"/>
        <w:rPr>
          <w:color w:val="auto"/>
          <w:highlight w:val="none"/>
        </w:rPr>
      </w:pPr>
      <w:r>
        <w:rPr>
          <w:color w:val="auto"/>
          <w:highlight w:val="none"/>
          <w:lang w:val="zh-TW" w:eastAsia="zh-TW"/>
        </w:rPr>
        <w:t>率</w:t>
      </w:r>
      <w:r>
        <w:rPr>
          <w:color w:val="auto"/>
          <w:highlight w:val="none"/>
        </w:rPr>
        <w:t>90%；项目效益</w:t>
      </w:r>
      <w:r>
        <w:rPr>
          <w:color w:val="auto"/>
          <w:highlight w:val="none"/>
          <w:lang w:val="zh-TW" w:eastAsia="zh-TW"/>
        </w:rPr>
        <w:t>指标共设置</w:t>
      </w:r>
      <w:r>
        <w:rPr>
          <w:color w:val="auto"/>
          <w:highlight w:val="none"/>
        </w:rPr>
        <w:t>4</w:t>
      </w:r>
      <w:r>
        <w:rPr>
          <w:color w:val="auto"/>
          <w:highlight w:val="none"/>
          <w:lang w:val="zh-TW" w:eastAsia="zh-TW"/>
        </w:rPr>
        <w:t>个，满分指标</w:t>
      </w:r>
      <w:r>
        <w:rPr>
          <w:color w:val="auto"/>
          <w:highlight w:val="none"/>
        </w:rPr>
        <w:t>3</w:t>
      </w:r>
      <w:r>
        <w:rPr>
          <w:color w:val="auto"/>
          <w:highlight w:val="none"/>
          <w:lang w:val="zh-TW" w:eastAsia="zh-TW"/>
        </w:rPr>
        <w:t>个，得分率</w:t>
      </w:r>
      <w:r>
        <w:rPr>
          <w:color w:val="auto"/>
          <w:highlight w:val="none"/>
        </w:rPr>
        <w:t>97</w:t>
      </w:r>
      <w:r>
        <w:rPr>
          <w:rFonts w:hint="eastAsia"/>
          <w:color w:val="auto"/>
          <w:highlight w:val="none"/>
          <w:lang w:eastAsia="zh-CN"/>
        </w:rPr>
        <w:t>.8</w:t>
      </w:r>
      <w:r>
        <w:rPr>
          <w:color w:val="auto"/>
          <w:highlight w:val="none"/>
        </w:rPr>
        <w:t>%</w:t>
      </w:r>
      <w:r>
        <w:rPr>
          <w:color w:val="auto"/>
          <w:highlight w:val="none"/>
          <w:lang w:val="zh-TW"/>
        </w:rPr>
        <w:t>。</w:t>
      </w:r>
    </w:p>
    <w:p>
      <w:pPr>
        <w:keepNext w:val="0"/>
        <w:keepLines w:val="0"/>
        <w:ind w:firstLine="420" w:firstLineChars="0"/>
        <w:rPr>
          <w:color w:val="auto"/>
          <w:highlight w:val="none"/>
        </w:rPr>
      </w:pPr>
    </w:p>
    <w:bookmarkEnd w:id="180"/>
    <w:p>
      <w:pPr>
        <w:keepNext/>
        <w:keepLines/>
        <w:ind w:firstLine="420" w:firstLineChars="200"/>
        <w:rPr>
          <w:color w:val="auto"/>
          <w:highlight w:val="none"/>
          <w:lang w:val="zh-TW"/>
        </w:rPr>
      </w:pPr>
      <w:bookmarkStart w:id="204" w:name="_Toc22544"/>
      <w:bookmarkStart w:id="205" w:name="_Toc535"/>
      <w:r>
        <w:rPr>
          <w:rFonts w:hint="eastAsia" w:ascii="Times New Roman" w:hAnsi="Times New Roman"/>
          <w:color w:val="auto"/>
          <w:sz w:val="21"/>
          <w:szCs w:val="24"/>
          <w:highlight w:val="none"/>
        </w:rPr>
        <w:t>依据《中共中央国务院关于全面实施预算绩效管理的意见》（中发〔2018〕34号）、《项目支出绩效评价管理办法》（财预〔2020〕10号）以及《关于进一步加强和规范喀什地区项目支出“全过程”预算绩效管理结果应用的通知》（喀地财绩〔2022〕2号）文件，绩效评价总分设置为100分，划分为四档：</w:t>
      </w:r>
      <w:r>
        <w:rPr>
          <w:rFonts w:hint="eastAsia"/>
          <w:color w:val="auto"/>
          <w:sz w:val="21"/>
          <w:szCs w:val="24"/>
          <w:highlight w:val="none"/>
          <w:lang w:eastAsia="zh-CN"/>
        </w:rPr>
        <w:t>100%~80%（含）、80%~60%（含）、60%~0%</w:t>
      </w:r>
      <w:r>
        <w:rPr>
          <w:rFonts w:hint="eastAsia" w:ascii="Times New Roman" w:hAnsi="Times New Roman"/>
          <w:color w:val="auto"/>
          <w:sz w:val="21"/>
          <w:szCs w:val="24"/>
          <w:highlight w:val="none"/>
        </w:rPr>
        <w:t>、70分以下为差。</w:t>
      </w:r>
      <w:r>
        <w:rPr>
          <w:rFonts w:hint="eastAsia"/>
          <w:color w:val="auto"/>
          <w:highlight w:val="none"/>
        </w:rPr>
        <w:t>经评价分析，</w:t>
      </w:r>
      <w:r>
        <w:rPr>
          <w:color w:val="auto"/>
          <w:highlight w:val="none"/>
          <w:lang w:val="zh-TW" w:eastAsia="zh-TW"/>
        </w:rPr>
        <w:t>该项目最终评分结果为</w:t>
      </w:r>
      <w:r>
        <w:rPr>
          <w:color w:val="auto"/>
          <w:highlight w:val="none"/>
        </w:rPr>
        <w:t>88.83</w:t>
      </w:r>
      <w:r>
        <w:rPr>
          <w:color w:val="auto"/>
          <w:highlight w:val="none"/>
          <w:lang w:val="zh-TW" w:eastAsia="zh-TW"/>
        </w:rPr>
        <w:t>分，绩效评级为</w:t>
      </w:r>
      <w:r>
        <w:rPr>
          <w:rFonts w:hint="eastAsia"/>
          <w:color w:val="auto"/>
          <w:highlight w:val="none"/>
          <w:lang w:val="zh-TW"/>
        </w:rPr>
        <w:t>“良”</w:t>
      </w:r>
      <w:r>
        <w:rPr>
          <w:color w:val="auto"/>
          <w:highlight w:val="none"/>
          <w:lang w:val="zh-TW" w:eastAsia="zh-TW"/>
        </w:rPr>
        <w:t>。各部分权重和绩效分值如下表：</w:t>
      </w:r>
    </w:p>
    <w:p>
      <w:pPr>
        <w:keepNext/>
        <w:keepLines/>
        <w:ind w:firstLine="0" w:firstLineChars="0"/>
        <w:jc w:val="center"/>
        <w:rPr>
          <w:rFonts w:ascii="宋体" w:hAnsi="宋体" w:eastAsia="宋体" w:cs="宋体"/>
          <w:b/>
          <w:bCs/>
          <w:color w:val="auto"/>
          <w:highlight w:val="none"/>
        </w:rPr>
      </w:pPr>
      <w:r>
        <w:rPr>
          <w:rFonts w:hint="eastAsia" w:ascii="宋体" w:hAnsi="宋体" w:eastAsia="宋体" w:cs="宋体"/>
          <w:b/>
          <w:bCs/>
          <w:color w:val="auto"/>
          <w:highlight w:val="none"/>
          <w:lang w:val="zh-TW" w:eastAsia="zh-TW"/>
        </w:rPr>
        <w:t>表</w:t>
      </w:r>
      <w:r>
        <w:rPr>
          <w:rFonts w:hint="eastAsia" w:ascii="宋体" w:hAnsi="宋体" w:eastAsia="宋体" w:cs="宋体"/>
          <w:b/>
          <w:bCs/>
          <w:color w:val="auto"/>
          <w:highlight w:val="none"/>
        </w:rPr>
        <w:t>4</w:t>
      </w:r>
      <w:r>
        <w:rPr>
          <w:rFonts w:hint="eastAsia" w:ascii="宋体" w:hAnsi="宋体" w:eastAsia="宋体" w:cs="宋体"/>
          <w:b/>
          <w:bCs/>
          <w:color w:val="auto"/>
          <w:highlight w:val="none"/>
          <w:lang w:val="zh-TW" w:eastAsia="zh-TW"/>
        </w:rPr>
        <w:t>-1</w:t>
      </w:r>
      <w:r>
        <w:rPr>
          <w:rFonts w:hint="eastAsia" w:ascii="宋体" w:hAnsi="宋体" w:eastAsia="宋体" w:cs="宋体"/>
          <w:b/>
          <w:bCs/>
          <w:color w:val="auto"/>
          <w:highlight w:val="none"/>
          <w:lang w:val="zh-TW"/>
        </w:rPr>
        <w:t>：</w:t>
      </w:r>
      <w:r>
        <w:rPr>
          <w:rFonts w:hint="eastAsia" w:ascii="宋体" w:hAnsi="宋体" w:eastAsia="宋体" w:cs="宋体"/>
          <w:b/>
          <w:bCs/>
          <w:color w:val="auto"/>
          <w:highlight w:val="none"/>
          <w:lang w:val="zh-TW" w:eastAsia="zh-TW"/>
        </w:rPr>
        <w:t>喀什地区巴楚县2023年城乡义务教育农村校舍安全保障长效机制项目</w:t>
      </w:r>
      <w:r>
        <w:rPr>
          <w:rFonts w:hint="eastAsia" w:ascii="宋体" w:hAnsi="宋体" w:eastAsia="宋体" w:cs="宋体"/>
          <w:b/>
          <w:bCs/>
          <w:color w:val="auto"/>
          <w:highlight w:val="none"/>
          <w:lang w:val="zh-TW"/>
        </w:rPr>
        <w:t>（第一批）得分表</w:t>
      </w:r>
    </w:p>
    <w:tbl>
      <w:tblPr>
        <w:tblStyle w:val="19"/>
        <w:tblW w:w="8463"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3"/>
        <w:gridCol w:w="1613"/>
        <w:gridCol w:w="1613"/>
        <w:gridCol w:w="1613"/>
        <w:gridCol w:w="1613"/>
        <w:gridCol w:w="112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keepNext/>
              <w:keepLines/>
              <w:snapToGrid w:val="0"/>
              <w:spacing w:before="0" w:after="0" w:line="240" w:lineRule="auto"/>
              <w:jc w:val="center"/>
              <w:rPr>
                <w:rFonts w:hAnsi="Times New Roman" w:eastAsia="宋体" w:cs="Times New Roman"/>
                <w:b/>
                <w:bCs/>
                <w:color w:val="auto"/>
                <w:sz w:val="21"/>
                <w:szCs w:val="21"/>
                <w:highlight w:val="none"/>
              </w:rPr>
            </w:pPr>
            <w:r>
              <w:rPr>
                <w:rFonts w:hAnsi="Times New Roman" w:eastAsia="宋体" w:cs="Times New Roman"/>
                <w:b/>
                <w:bCs/>
                <w:color w:val="auto"/>
                <w:sz w:val="21"/>
                <w:szCs w:val="21"/>
                <w:highlight w:val="none"/>
                <w:lang w:val="zh-TW" w:eastAsia="zh-TW"/>
              </w:rPr>
              <w:t>指标</w:t>
            </w:r>
          </w:p>
        </w:tc>
        <w:tc>
          <w:tcPr>
            <w:tcW w:w="1613"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keepNext/>
              <w:keepLines/>
              <w:snapToGrid w:val="0"/>
              <w:spacing w:before="0" w:after="0" w:line="240" w:lineRule="auto"/>
              <w:jc w:val="center"/>
              <w:rPr>
                <w:rFonts w:hAnsi="Times New Roman" w:eastAsia="宋体" w:cs="Times New Roman"/>
                <w:b/>
                <w:bCs/>
                <w:color w:val="auto"/>
                <w:sz w:val="21"/>
                <w:szCs w:val="21"/>
                <w:highlight w:val="none"/>
              </w:rPr>
            </w:pPr>
            <w:r>
              <w:rPr>
                <w:rFonts w:hAnsi="Times New Roman" w:eastAsia="宋体" w:cs="Times New Roman"/>
                <w:b/>
                <w:bCs/>
                <w:color w:val="auto"/>
                <w:sz w:val="21"/>
                <w:szCs w:val="21"/>
                <w:highlight w:val="none"/>
                <w:lang w:val="zh-TW" w:eastAsia="zh-TW"/>
              </w:rPr>
              <w:t>项目决策类</w:t>
            </w:r>
          </w:p>
        </w:tc>
        <w:tc>
          <w:tcPr>
            <w:tcW w:w="1613"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keepNext/>
              <w:keepLines/>
              <w:snapToGrid w:val="0"/>
              <w:spacing w:before="0" w:after="0" w:line="240" w:lineRule="auto"/>
              <w:jc w:val="center"/>
              <w:rPr>
                <w:rFonts w:hAnsi="Times New Roman" w:eastAsia="宋体" w:cs="Times New Roman"/>
                <w:b/>
                <w:bCs/>
                <w:color w:val="auto"/>
                <w:sz w:val="21"/>
                <w:szCs w:val="21"/>
                <w:highlight w:val="none"/>
              </w:rPr>
            </w:pPr>
            <w:r>
              <w:rPr>
                <w:rFonts w:hAnsi="Times New Roman" w:eastAsia="宋体" w:cs="Times New Roman"/>
                <w:b/>
                <w:bCs/>
                <w:color w:val="auto"/>
                <w:sz w:val="21"/>
                <w:szCs w:val="21"/>
                <w:highlight w:val="none"/>
                <w:lang w:val="zh-TW" w:eastAsia="zh-TW"/>
              </w:rPr>
              <w:t>项目</w:t>
            </w:r>
            <w:r>
              <w:rPr>
                <w:rFonts w:hAnsi="Times New Roman" w:eastAsia="宋体" w:cs="Times New Roman"/>
                <w:b/>
                <w:bCs/>
                <w:color w:val="auto"/>
                <w:sz w:val="21"/>
                <w:szCs w:val="21"/>
                <w:highlight w:val="none"/>
              </w:rPr>
              <w:t>过程</w:t>
            </w:r>
            <w:r>
              <w:rPr>
                <w:rFonts w:hAnsi="Times New Roman" w:eastAsia="宋体" w:cs="Times New Roman"/>
                <w:b/>
                <w:bCs/>
                <w:color w:val="auto"/>
                <w:sz w:val="21"/>
                <w:szCs w:val="21"/>
                <w:highlight w:val="none"/>
                <w:lang w:val="zh-TW" w:eastAsia="zh-TW"/>
              </w:rPr>
              <w:t>类</w:t>
            </w:r>
          </w:p>
        </w:tc>
        <w:tc>
          <w:tcPr>
            <w:tcW w:w="1613"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keepNext/>
              <w:keepLines/>
              <w:snapToGrid w:val="0"/>
              <w:spacing w:before="0" w:after="0" w:line="240" w:lineRule="auto"/>
              <w:jc w:val="center"/>
              <w:rPr>
                <w:rFonts w:hAnsi="Times New Roman" w:eastAsia="宋体" w:cs="Times New Roman"/>
                <w:b/>
                <w:bCs/>
                <w:color w:val="auto"/>
                <w:sz w:val="21"/>
                <w:szCs w:val="21"/>
                <w:highlight w:val="none"/>
              </w:rPr>
            </w:pPr>
            <w:r>
              <w:rPr>
                <w:rFonts w:hAnsi="Times New Roman" w:eastAsia="宋体" w:cs="Times New Roman"/>
                <w:b/>
                <w:bCs/>
                <w:color w:val="auto"/>
                <w:sz w:val="21"/>
                <w:szCs w:val="21"/>
                <w:highlight w:val="none"/>
                <w:lang w:val="zh-TW" w:eastAsia="zh-TW"/>
              </w:rPr>
              <w:t>项目</w:t>
            </w:r>
            <w:r>
              <w:rPr>
                <w:rFonts w:hAnsi="Times New Roman" w:eastAsia="宋体" w:cs="Times New Roman"/>
                <w:b/>
                <w:bCs/>
                <w:color w:val="auto"/>
                <w:sz w:val="21"/>
                <w:szCs w:val="21"/>
                <w:highlight w:val="none"/>
              </w:rPr>
              <w:t>产出</w:t>
            </w:r>
            <w:r>
              <w:rPr>
                <w:rFonts w:hAnsi="Times New Roman" w:eastAsia="宋体" w:cs="Times New Roman"/>
                <w:b/>
                <w:bCs/>
                <w:color w:val="auto"/>
                <w:sz w:val="21"/>
                <w:szCs w:val="21"/>
                <w:highlight w:val="none"/>
                <w:lang w:val="zh-TW" w:eastAsia="zh-TW"/>
              </w:rPr>
              <w:t>类</w:t>
            </w:r>
          </w:p>
        </w:tc>
        <w:tc>
          <w:tcPr>
            <w:tcW w:w="1613"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keepNext/>
              <w:keepLines/>
              <w:snapToGrid w:val="0"/>
              <w:spacing w:before="0" w:after="0" w:line="240" w:lineRule="auto"/>
              <w:jc w:val="center"/>
              <w:rPr>
                <w:rFonts w:hAnsi="Times New Roman" w:eastAsia="宋体" w:cs="Times New Roman"/>
                <w:b/>
                <w:bCs/>
                <w:color w:val="auto"/>
                <w:sz w:val="21"/>
                <w:szCs w:val="21"/>
                <w:highlight w:val="none"/>
                <w:lang w:val="zh-TW" w:eastAsia="zh-TW"/>
              </w:rPr>
            </w:pPr>
            <w:r>
              <w:rPr>
                <w:rFonts w:hAnsi="Times New Roman" w:eastAsia="宋体" w:cs="Times New Roman"/>
                <w:b/>
                <w:bCs/>
                <w:color w:val="auto"/>
                <w:sz w:val="21"/>
                <w:szCs w:val="21"/>
                <w:highlight w:val="none"/>
                <w:lang w:val="zh-TW" w:eastAsia="zh-TW"/>
              </w:rPr>
              <w:t>项目</w:t>
            </w:r>
            <w:r>
              <w:rPr>
                <w:rFonts w:hAnsi="Times New Roman" w:eastAsia="宋体" w:cs="Times New Roman"/>
                <w:b/>
                <w:bCs/>
                <w:color w:val="auto"/>
                <w:sz w:val="21"/>
                <w:szCs w:val="21"/>
                <w:highlight w:val="none"/>
              </w:rPr>
              <w:t>效益</w:t>
            </w:r>
            <w:r>
              <w:rPr>
                <w:rFonts w:hAnsi="Times New Roman" w:eastAsia="宋体" w:cs="Times New Roman"/>
                <w:b/>
                <w:bCs/>
                <w:color w:val="auto"/>
                <w:sz w:val="21"/>
                <w:szCs w:val="21"/>
                <w:highlight w:val="none"/>
                <w:lang w:val="zh-TW" w:eastAsia="zh-TW"/>
              </w:rPr>
              <w:t>类</w:t>
            </w:r>
          </w:p>
        </w:tc>
        <w:tc>
          <w:tcPr>
            <w:tcW w:w="1128"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keepNext/>
              <w:keepLines/>
              <w:snapToGrid w:val="0"/>
              <w:spacing w:before="0" w:after="0" w:line="240" w:lineRule="auto"/>
              <w:jc w:val="center"/>
              <w:rPr>
                <w:rFonts w:hAnsi="Times New Roman" w:eastAsia="宋体" w:cs="Times New Roman"/>
                <w:b/>
                <w:bCs/>
                <w:color w:val="auto"/>
                <w:sz w:val="21"/>
                <w:szCs w:val="21"/>
                <w:highlight w:val="none"/>
              </w:rPr>
            </w:pPr>
            <w:r>
              <w:rPr>
                <w:rFonts w:hAnsi="Times New Roman" w:eastAsia="宋体" w:cs="Times New Roman"/>
                <w:b/>
                <w:bCs/>
                <w:color w:val="auto"/>
                <w:sz w:val="21"/>
                <w:szCs w:val="21"/>
                <w:highlight w:val="none"/>
                <w:lang w:val="zh-TW" w:eastAsia="zh-TW"/>
              </w:rPr>
              <w:t>合计分值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keepNext/>
              <w:keepLines/>
              <w:snapToGrid w:val="0"/>
              <w:spacing w:before="0" w:after="0" w:line="240" w:lineRule="auto"/>
              <w:jc w:val="center"/>
              <w:rPr>
                <w:rFonts w:hAnsi="Times New Roman" w:eastAsia="宋体" w:cs="Times New Roman"/>
                <w:b/>
                <w:bCs/>
                <w:color w:val="auto"/>
                <w:sz w:val="21"/>
                <w:szCs w:val="21"/>
                <w:highlight w:val="none"/>
              </w:rPr>
            </w:pPr>
            <w:r>
              <w:rPr>
                <w:rFonts w:hAnsi="Times New Roman" w:eastAsia="宋体" w:cs="Times New Roman"/>
                <w:b/>
                <w:bCs/>
                <w:color w:val="auto"/>
                <w:sz w:val="21"/>
                <w:szCs w:val="21"/>
                <w:highlight w:val="none"/>
                <w:lang w:val="zh-TW" w:eastAsia="zh-TW"/>
              </w:rPr>
              <w:t>权重</w:t>
            </w:r>
          </w:p>
        </w:tc>
        <w:tc>
          <w:tcPr>
            <w:tcW w:w="161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keepNext/>
              <w:keepLines/>
              <w:snapToGrid w:val="0"/>
              <w:spacing w:before="0" w:after="0" w:line="240" w:lineRule="auto"/>
              <w:jc w:val="center"/>
              <w:rPr>
                <w:rFonts w:hint="eastAsia" w:hAnsi="Times New Roman" w:eastAsia="宋体" w:cs="Times New Roman"/>
                <w:color w:val="auto"/>
                <w:sz w:val="21"/>
                <w:szCs w:val="21"/>
                <w:highlight w:val="none"/>
                <w:lang w:eastAsia="zh-CN"/>
              </w:rPr>
            </w:pPr>
            <w:r>
              <w:rPr>
                <w:rFonts w:hint="eastAsia" w:hAnsi="Times New Roman" w:eastAsia="宋体" w:cs="Times New Roman"/>
                <w:color w:val="auto"/>
                <w:sz w:val="21"/>
                <w:szCs w:val="21"/>
                <w:highlight w:val="none"/>
              </w:rPr>
              <w:t>10</w:t>
            </w:r>
          </w:p>
        </w:tc>
        <w:tc>
          <w:tcPr>
            <w:tcW w:w="161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keepNext/>
              <w:keepLines/>
              <w:snapToGrid w:val="0"/>
              <w:spacing w:before="0" w:after="0" w:line="240" w:lineRule="auto"/>
              <w:jc w:val="center"/>
              <w:rPr>
                <w:rFonts w:hint="eastAsia" w:hAnsi="Times New Roman" w:eastAsia="宋体" w:cs="Times New Roman"/>
                <w:color w:val="auto"/>
                <w:sz w:val="21"/>
                <w:szCs w:val="21"/>
                <w:highlight w:val="none"/>
                <w:lang w:eastAsia="zh-CN"/>
              </w:rPr>
            </w:pPr>
            <w:r>
              <w:rPr>
                <w:rFonts w:hint="eastAsia" w:hAnsi="Times New Roman" w:eastAsia="宋体" w:cs="Times New Roman"/>
                <w:color w:val="auto"/>
                <w:sz w:val="21"/>
                <w:szCs w:val="21"/>
                <w:highlight w:val="none"/>
              </w:rPr>
              <w:t>25</w:t>
            </w:r>
          </w:p>
        </w:tc>
        <w:tc>
          <w:tcPr>
            <w:tcW w:w="161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keepNext/>
              <w:keepLines/>
              <w:snapToGrid w:val="0"/>
              <w:spacing w:before="0" w:after="0" w:line="240" w:lineRule="auto"/>
              <w:jc w:val="center"/>
              <w:rPr>
                <w:rFonts w:hint="eastAsia" w:hAnsi="Times New Roman" w:eastAsia="宋体" w:cs="Times New Roman"/>
                <w:color w:val="auto"/>
                <w:sz w:val="21"/>
                <w:szCs w:val="21"/>
                <w:highlight w:val="none"/>
                <w:lang w:eastAsia="zh-CN"/>
              </w:rPr>
            </w:pPr>
            <w:r>
              <w:rPr>
                <w:rFonts w:hint="eastAsia" w:hAnsi="Times New Roman" w:eastAsia="宋体" w:cs="Times New Roman"/>
                <w:color w:val="auto"/>
                <w:sz w:val="21"/>
                <w:szCs w:val="21"/>
                <w:highlight w:val="none"/>
              </w:rPr>
              <w:t>30</w:t>
            </w:r>
          </w:p>
        </w:tc>
        <w:tc>
          <w:tcPr>
            <w:tcW w:w="161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keepNext/>
              <w:keepLines/>
              <w:snapToGrid w:val="0"/>
              <w:spacing w:before="0" w:after="0" w:line="240" w:lineRule="auto"/>
              <w:jc w:val="center"/>
              <w:rPr>
                <w:rFonts w:hint="eastAsia" w:hAnsi="Times New Roman" w:eastAsia="宋体" w:cs="Times New Roman"/>
                <w:color w:val="auto"/>
                <w:sz w:val="21"/>
                <w:szCs w:val="21"/>
                <w:highlight w:val="none"/>
                <w:lang w:eastAsia="zh-CN"/>
              </w:rPr>
            </w:pPr>
            <w:r>
              <w:rPr>
                <w:rFonts w:hint="eastAsia" w:hAnsi="Times New Roman" w:eastAsia="宋体" w:cs="Times New Roman"/>
                <w:color w:val="auto"/>
                <w:sz w:val="21"/>
                <w:szCs w:val="21"/>
                <w:highlight w:val="none"/>
              </w:rPr>
              <w:t>35</w:t>
            </w:r>
          </w:p>
        </w:tc>
        <w:tc>
          <w:tcPr>
            <w:tcW w:w="1128"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keepNext/>
              <w:keepLines/>
              <w:snapToGrid w:val="0"/>
              <w:spacing w:before="0" w:after="0" w:line="240" w:lineRule="auto"/>
              <w:jc w:val="center"/>
              <w:rPr>
                <w:rFonts w:hint="eastAsia" w:hAnsi="Times New Roman" w:eastAsia="宋体" w:cs="Times New Roman"/>
                <w:color w:val="auto"/>
                <w:sz w:val="21"/>
                <w:szCs w:val="21"/>
                <w:highlight w:val="none"/>
                <w:lang w:eastAsia="zh-CN"/>
              </w:rPr>
            </w:pPr>
            <w:r>
              <w:rPr>
                <w:rFonts w:hint="eastAsia" w:hAnsi="Times New Roman" w:eastAsia="宋体" w:cs="Times New Roman"/>
                <w:color w:val="auto"/>
                <w:sz w:val="21"/>
                <w:szCs w:val="21"/>
                <w:highlight w:val="none"/>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keepNext/>
              <w:keepLines/>
              <w:snapToGrid w:val="0"/>
              <w:spacing w:before="0" w:after="0" w:line="240" w:lineRule="auto"/>
              <w:jc w:val="center"/>
              <w:rPr>
                <w:rFonts w:hAnsi="Times New Roman" w:eastAsia="宋体" w:cs="Times New Roman"/>
                <w:b/>
                <w:bCs/>
                <w:color w:val="auto"/>
                <w:sz w:val="21"/>
                <w:szCs w:val="21"/>
                <w:highlight w:val="none"/>
              </w:rPr>
            </w:pPr>
            <w:r>
              <w:rPr>
                <w:rFonts w:hAnsi="Times New Roman" w:eastAsia="宋体" w:cs="Times New Roman"/>
                <w:b/>
                <w:bCs/>
                <w:color w:val="auto"/>
                <w:sz w:val="21"/>
                <w:szCs w:val="21"/>
                <w:highlight w:val="none"/>
                <w:lang w:val="zh-TW" w:eastAsia="zh-TW"/>
              </w:rPr>
              <w:t>得分</w:t>
            </w:r>
          </w:p>
        </w:tc>
        <w:tc>
          <w:tcPr>
            <w:tcW w:w="161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keepNext/>
              <w:keepLines/>
              <w:snapToGrid w:val="0"/>
              <w:spacing w:before="0" w:after="0" w:line="240" w:lineRule="auto"/>
              <w:jc w:val="center"/>
              <w:rPr>
                <w:rFonts w:hint="eastAsia" w:hAnsi="Times New Roman" w:eastAsia="宋体" w:cs="Times New Roman"/>
                <w:color w:val="auto"/>
                <w:sz w:val="21"/>
                <w:szCs w:val="21"/>
                <w:highlight w:val="none"/>
                <w:lang w:eastAsia="zh-CN"/>
              </w:rPr>
            </w:pPr>
            <w:r>
              <w:rPr>
                <w:rFonts w:hint="eastAsia" w:hAnsi="Times New Roman" w:eastAsia="宋体" w:cs="Times New Roman"/>
                <w:color w:val="auto"/>
                <w:sz w:val="21"/>
                <w:szCs w:val="21"/>
                <w:highlight w:val="none"/>
              </w:rPr>
              <w:t>9</w:t>
            </w:r>
            <w:r>
              <w:rPr>
                <w:rFonts w:hint="eastAsia" w:hAnsi="Times New Roman" w:eastAsia="宋体" w:cs="Times New Roman"/>
                <w:color w:val="auto"/>
                <w:sz w:val="21"/>
                <w:szCs w:val="21"/>
                <w:highlight w:val="none"/>
                <w:lang w:eastAsia="zh-CN"/>
              </w:rPr>
              <w:t>.6</w:t>
            </w:r>
          </w:p>
        </w:tc>
        <w:tc>
          <w:tcPr>
            <w:tcW w:w="161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keepNext/>
              <w:keepLines/>
              <w:snapToGrid w:val="0"/>
              <w:spacing w:before="0" w:after="0" w:line="240" w:lineRule="auto"/>
              <w:jc w:val="center"/>
              <w:rPr>
                <w:rFonts w:hint="eastAsia" w:hAnsi="Times New Roman" w:eastAsia="宋体" w:cs="Times New Roman"/>
                <w:color w:val="auto"/>
                <w:sz w:val="21"/>
                <w:szCs w:val="21"/>
                <w:highlight w:val="none"/>
                <w:lang w:eastAsia="zh-CN"/>
              </w:rPr>
            </w:pPr>
            <w:r>
              <w:rPr>
                <w:rFonts w:hint="eastAsia" w:hAnsi="Times New Roman" w:eastAsia="宋体" w:cs="Times New Roman"/>
                <w:color w:val="auto"/>
                <w:sz w:val="21"/>
                <w:szCs w:val="21"/>
                <w:highlight w:val="none"/>
              </w:rPr>
              <w:t>18</w:t>
            </w:r>
          </w:p>
        </w:tc>
        <w:tc>
          <w:tcPr>
            <w:tcW w:w="161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keepNext/>
              <w:keepLines/>
              <w:snapToGrid w:val="0"/>
              <w:spacing w:before="0" w:after="0" w:line="240" w:lineRule="auto"/>
              <w:jc w:val="center"/>
              <w:rPr>
                <w:rFonts w:hint="eastAsia" w:hAnsi="Times New Roman" w:eastAsia="宋体" w:cs="Times New Roman"/>
                <w:color w:val="auto"/>
                <w:sz w:val="21"/>
                <w:szCs w:val="21"/>
                <w:highlight w:val="none"/>
                <w:lang w:eastAsia="zh-CN"/>
              </w:rPr>
            </w:pPr>
            <w:r>
              <w:rPr>
                <w:rFonts w:hint="eastAsia" w:hAnsi="Times New Roman" w:eastAsia="宋体" w:cs="Times New Roman"/>
                <w:color w:val="auto"/>
                <w:sz w:val="21"/>
                <w:szCs w:val="21"/>
                <w:highlight w:val="none"/>
              </w:rPr>
              <w:t>27</w:t>
            </w:r>
          </w:p>
        </w:tc>
        <w:tc>
          <w:tcPr>
            <w:tcW w:w="161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keepNext/>
              <w:keepLines/>
              <w:snapToGrid w:val="0"/>
              <w:spacing w:before="0" w:after="0" w:line="240" w:lineRule="auto"/>
              <w:jc w:val="center"/>
              <w:rPr>
                <w:rFonts w:hAnsi="Times New Roman" w:eastAsia="宋体" w:cs="Times New Roman"/>
                <w:color w:val="auto"/>
                <w:sz w:val="21"/>
                <w:szCs w:val="21"/>
                <w:highlight w:val="none"/>
              </w:rPr>
            </w:pPr>
            <w:r>
              <w:rPr>
                <w:rFonts w:hint="eastAsia" w:hAnsi="Times New Roman" w:eastAsia="宋体" w:cs="Times New Roman"/>
                <w:color w:val="auto"/>
                <w:sz w:val="21"/>
                <w:szCs w:val="21"/>
                <w:highlight w:val="none"/>
              </w:rPr>
              <w:t>34.23</w:t>
            </w:r>
          </w:p>
        </w:tc>
        <w:tc>
          <w:tcPr>
            <w:tcW w:w="1128"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keepNext/>
              <w:keepLines/>
              <w:snapToGrid w:val="0"/>
              <w:spacing w:before="0" w:after="0" w:line="240" w:lineRule="auto"/>
              <w:jc w:val="center"/>
              <w:rPr>
                <w:rFonts w:hAnsi="Times New Roman" w:eastAsia="宋体" w:cs="Times New Roman"/>
                <w:color w:val="auto"/>
                <w:sz w:val="21"/>
                <w:szCs w:val="21"/>
                <w:highlight w:val="none"/>
              </w:rPr>
            </w:pPr>
            <w:r>
              <w:rPr>
                <w:rFonts w:hint="eastAsia" w:hAnsi="Times New Roman" w:eastAsia="宋体" w:cs="Times New Roman"/>
                <w:color w:val="auto"/>
                <w:sz w:val="21"/>
                <w:szCs w:val="21"/>
                <w:highlight w:val="none"/>
              </w:rPr>
              <w:t>88.83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883" w:type="dxa"/>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keepNext/>
              <w:keepLines/>
              <w:snapToGrid w:val="0"/>
              <w:spacing w:before="0" w:after="0" w:line="240" w:lineRule="auto"/>
              <w:jc w:val="center"/>
              <w:rPr>
                <w:rFonts w:hAnsi="Times New Roman" w:eastAsia="宋体" w:cs="Times New Roman"/>
                <w:b/>
                <w:bCs/>
                <w:color w:val="auto"/>
                <w:sz w:val="21"/>
                <w:szCs w:val="21"/>
                <w:highlight w:val="none"/>
              </w:rPr>
            </w:pPr>
            <w:r>
              <w:rPr>
                <w:rFonts w:hAnsi="Times New Roman" w:eastAsia="宋体" w:cs="Times New Roman"/>
                <w:b/>
                <w:bCs/>
                <w:color w:val="auto"/>
                <w:sz w:val="21"/>
                <w:szCs w:val="21"/>
                <w:highlight w:val="none"/>
                <w:lang w:val="zh-TW" w:eastAsia="zh-TW"/>
              </w:rPr>
              <w:t>得分率</w:t>
            </w:r>
          </w:p>
        </w:tc>
        <w:tc>
          <w:tcPr>
            <w:tcW w:w="161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keepNext/>
              <w:keepLines/>
              <w:snapToGrid w:val="0"/>
              <w:spacing w:before="0" w:after="0" w:line="240" w:lineRule="auto"/>
              <w:jc w:val="center"/>
              <w:rPr>
                <w:rFonts w:hAnsi="Times New Roman" w:eastAsia="宋体" w:cs="Times New Roman"/>
                <w:color w:val="auto"/>
                <w:sz w:val="21"/>
                <w:szCs w:val="21"/>
                <w:highlight w:val="none"/>
              </w:rPr>
            </w:pPr>
            <w:r>
              <w:rPr>
                <w:rFonts w:hint="eastAsia" w:hAnsi="Times New Roman" w:eastAsia="宋体" w:cs="Times New Roman"/>
                <w:color w:val="auto"/>
                <w:sz w:val="21"/>
                <w:szCs w:val="21"/>
                <w:highlight w:val="none"/>
              </w:rPr>
              <w:t>96%</w:t>
            </w:r>
          </w:p>
        </w:tc>
        <w:tc>
          <w:tcPr>
            <w:tcW w:w="161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keepNext/>
              <w:keepLines/>
              <w:snapToGrid w:val="0"/>
              <w:spacing w:before="0" w:after="0" w:line="240" w:lineRule="auto"/>
              <w:jc w:val="center"/>
              <w:rPr>
                <w:rFonts w:hAnsi="Times New Roman" w:eastAsia="宋体" w:cs="Times New Roman"/>
                <w:color w:val="auto"/>
                <w:sz w:val="21"/>
                <w:szCs w:val="21"/>
                <w:highlight w:val="none"/>
              </w:rPr>
            </w:pPr>
            <w:r>
              <w:rPr>
                <w:rFonts w:hint="eastAsia" w:hAnsi="Times New Roman" w:eastAsia="宋体" w:cs="Times New Roman"/>
                <w:color w:val="auto"/>
                <w:sz w:val="21"/>
                <w:szCs w:val="21"/>
                <w:highlight w:val="none"/>
              </w:rPr>
              <w:t>72%</w:t>
            </w:r>
          </w:p>
        </w:tc>
        <w:tc>
          <w:tcPr>
            <w:tcW w:w="161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keepNext/>
              <w:keepLines/>
              <w:snapToGrid w:val="0"/>
              <w:spacing w:before="0" w:after="0" w:line="240" w:lineRule="auto"/>
              <w:jc w:val="center"/>
              <w:rPr>
                <w:rFonts w:hAnsi="Times New Roman" w:eastAsia="宋体" w:cs="Times New Roman"/>
                <w:color w:val="auto"/>
                <w:sz w:val="21"/>
                <w:szCs w:val="21"/>
                <w:highlight w:val="none"/>
              </w:rPr>
            </w:pPr>
            <w:r>
              <w:rPr>
                <w:rFonts w:hint="eastAsia" w:hAnsi="Times New Roman" w:eastAsia="宋体" w:cs="Times New Roman"/>
                <w:color w:val="auto"/>
                <w:sz w:val="21"/>
                <w:szCs w:val="21"/>
                <w:highlight w:val="none"/>
              </w:rPr>
              <w:t>90%</w:t>
            </w:r>
          </w:p>
        </w:tc>
        <w:tc>
          <w:tcPr>
            <w:tcW w:w="161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keepNext/>
              <w:keepLines/>
              <w:snapToGrid w:val="0"/>
              <w:spacing w:before="0" w:after="0" w:line="240" w:lineRule="auto"/>
              <w:jc w:val="center"/>
              <w:rPr>
                <w:rFonts w:hAnsi="Times New Roman" w:eastAsia="宋体" w:cs="Times New Roman"/>
                <w:color w:val="auto"/>
                <w:sz w:val="21"/>
                <w:szCs w:val="21"/>
                <w:highlight w:val="none"/>
              </w:rPr>
            </w:pPr>
            <w:r>
              <w:rPr>
                <w:rFonts w:hint="eastAsia" w:hAnsi="Times New Roman" w:eastAsia="宋体" w:cs="Times New Roman"/>
                <w:color w:val="auto"/>
                <w:sz w:val="21"/>
                <w:szCs w:val="21"/>
                <w:highlight w:val="none"/>
              </w:rPr>
              <w:t>97</w:t>
            </w:r>
            <w:r>
              <w:rPr>
                <w:rFonts w:hint="eastAsia" w:hAnsi="Times New Roman" w:eastAsia="宋体" w:cs="Times New Roman"/>
                <w:color w:val="auto"/>
                <w:sz w:val="21"/>
                <w:szCs w:val="21"/>
                <w:highlight w:val="none"/>
                <w:lang w:eastAsia="zh-CN"/>
              </w:rPr>
              <w:t>.8</w:t>
            </w:r>
            <w:r>
              <w:rPr>
                <w:rFonts w:hint="eastAsia" w:hAnsi="Times New Roman" w:eastAsia="宋体" w:cs="Times New Roman"/>
                <w:color w:val="auto"/>
                <w:sz w:val="21"/>
                <w:szCs w:val="21"/>
                <w:highlight w:val="none"/>
              </w:rPr>
              <w:t>%</w:t>
            </w:r>
          </w:p>
        </w:tc>
        <w:tc>
          <w:tcPr>
            <w:tcW w:w="1128"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keepNext/>
              <w:keepLines/>
              <w:snapToGrid w:val="0"/>
              <w:spacing w:before="0" w:after="0" w:line="240" w:lineRule="auto"/>
              <w:jc w:val="center"/>
              <w:rPr>
                <w:rFonts w:hAnsi="Times New Roman" w:eastAsia="宋体" w:cs="Times New Roman"/>
                <w:color w:val="auto"/>
                <w:sz w:val="21"/>
                <w:szCs w:val="21"/>
                <w:highlight w:val="none"/>
              </w:rPr>
            </w:pPr>
            <w:r>
              <w:rPr>
                <w:rFonts w:hint="eastAsia" w:hAnsi="Times New Roman" w:eastAsia="宋体" w:cs="Times New Roman"/>
                <w:color w:val="auto"/>
                <w:sz w:val="21"/>
                <w:szCs w:val="21"/>
                <w:highlight w:val="none"/>
              </w:rPr>
              <w:t>88.83%</w:t>
            </w:r>
          </w:p>
        </w:tc>
      </w:tr>
    </w:tbl>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bookmarkStart w:id="206" w:name="_Toc3933"/>
      <w:bookmarkStart w:id="207" w:name="_Toc3758"/>
      <w:bookmarkStart w:id="208" w:name="_Toc22652"/>
      <w:bookmarkStart w:id="209" w:name="_Toc2468"/>
      <w:bookmarkStart w:id="210" w:name="_Toc4310"/>
      <w:bookmarkStart w:id="211" w:name="_Toc14863"/>
      <w:bookmarkStart w:id="212" w:name="_Toc31031"/>
      <w:bookmarkStart w:id="213" w:name="_Toc2960"/>
      <w:bookmarkStart w:id="214" w:name="_Toc19845"/>
      <w:r>
        <w:rPr>
          <w:rFonts w:hint="eastAsia"/>
          <w:b/>
          <w:bCs/>
          <w:color w:val="auto"/>
          <w:sz w:val="24"/>
          <w:szCs w:val="28"/>
          <w:highlight w:val="none"/>
          <w:lang w:val="en-US" w:eastAsia="zh-CN"/>
        </w:rPr>
        <w:t>（二）</w:t>
      </w:r>
      <w:r>
        <w:rPr>
          <w:b/>
          <w:bCs/>
          <w:color w:val="auto"/>
          <w:sz w:val="24"/>
          <w:szCs w:val="28"/>
          <w:highlight w:val="none"/>
        </w:rPr>
        <w:t>综合评价结论</w:t>
      </w:r>
      <w:bookmarkEnd w:id="206"/>
      <w:bookmarkEnd w:id="207"/>
      <w:bookmarkEnd w:id="208"/>
      <w:bookmarkEnd w:id="209"/>
      <w:bookmarkEnd w:id="210"/>
      <w:bookmarkEnd w:id="211"/>
      <w:bookmarkEnd w:id="212"/>
      <w:bookmarkEnd w:id="213"/>
      <w:bookmarkEnd w:id="214"/>
    </w:p>
    <w:p>
      <w:pPr>
        <w:keepNext w:val="0"/>
        <w:keepLines w:val="0"/>
        <w:ind w:firstLine="420" w:firstLineChars="0"/>
        <w:rPr>
          <w:color w:val="auto"/>
          <w:highlight w:val="none"/>
        </w:rPr>
      </w:pPr>
      <w:r>
        <w:rPr>
          <w:rFonts w:hint="eastAsia"/>
          <w:color w:val="auto"/>
          <w:highlight w:val="none"/>
        </w:rPr>
        <w:t>经评价分析，项目总体实施情况良好，立项程序规范，前期手续齐全，按期完成14所乡村中小学维修改造内容，其中13所学校</w:t>
      </w:r>
      <w:r>
        <w:rPr>
          <w:rFonts w:hint="eastAsia"/>
          <w:color w:val="auto"/>
          <w:highlight w:val="none"/>
          <w:lang w:val="en-US" w:eastAsia="zh-CN"/>
        </w:rPr>
        <w:t>验收</w:t>
      </w:r>
      <w:r>
        <w:rPr>
          <w:rFonts w:hint="eastAsia"/>
          <w:color w:val="auto"/>
          <w:highlight w:val="none"/>
        </w:rPr>
        <w:t>后已投入使用，巴楚第八小学宿舍及食堂的配套设施已</w:t>
      </w:r>
      <w:r>
        <w:rPr>
          <w:rFonts w:hint="eastAsia"/>
          <w:color w:val="auto"/>
          <w:highlight w:val="none"/>
          <w:lang w:val="en-US" w:eastAsia="zh-CN"/>
        </w:rPr>
        <w:t>验收</w:t>
      </w:r>
      <w:r>
        <w:rPr>
          <w:rFonts w:hint="eastAsia"/>
          <w:color w:val="auto"/>
          <w:highlight w:val="none"/>
        </w:rPr>
        <w:t>，但由于主体工程未运行，故未投入使用。但在实施过程中也存在一些不足：项目预算执行进度偏低，项目未及时开工</w:t>
      </w:r>
      <w:r>
        <w:rPr>
          <w:rFonts w:hint="eastAsia"/>
          <w:color w:val="auto"/>
          <w:highlight w:val="none"/>
          <w:lang w:eastAsia="zh-CN"/>
        </w:rPr>
        <w:t>，</w:t>
      </w:r>
      <w:r>
        <w:rPr>
          <w:rFonts w:hint="eastAsia"/>
          <w:color w:val="auto"/>
          <w:highlight w:val="none"/>
        </w:rPr>
        <w:t>竣工验收材料存在要素缺失</w:t>
      </w:r>
      <w:r>
        <w:rPr>
          <w:color w:val="auto"/>
          <w:highlight w:val="none"/>
        </w:rPr>
        <w:t>，尚未开展工程结算审核和竣工财务决算审计工作。</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bookmarkStart w:id="215" w:name="_Toc5384"/>
      <w:r>
        <w:rPr>
          <w:b/>
          <w:bCs/>
          <w:color w:val="auto"/>
          <w:sz w:val="24"/>
          <w:szCs w:val="28"/>
          <w:highlight w:val="none"/>
        </w:rPr>
        <w:t>五、绩效评价指标分析</w:t>
      </w:r>
      <w:bookmarkEnd w:id="215"/>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bookmarkStart w:id="216" w:name="_Toc14093"/>
      <w:r>
        <w:rPr>
          <w:b/>
          <w:bCs/>
          <w:color w:val="auto"/>
          <w:sz w:val="24"/>
          <w:szCs w:val="28"/>
          <w:highlight w:val="none"/>
        </w:rPr>
        <w:t>（一）项目决策情况</w:t>
      </w:r>
      <w:bookmarkEnd w:id="216"/>
    </w:p>
    <w:p>
      <w:pPr>
        <w:keepNext/>
        <w:keepLines/>
        <w:adjustRightInd/>
        <w:ind w:firstLine="420" w:firstLineChars="200"/>
        <w:rPr>
          <w:color w:val="auto"/>
          <w:highlight w:val="none"/>
        </w:rPr>
      </w:pPr>
      <w:r>
        <w:rPr>
          <w:color w:val="auto"/>
          <w:highlight w:val="none"/>
        </w:rPr>
        <w:t>项目决策类指标由3个二级指标和6个三级指标构成，权重分10分，实际得分9</w:t>
      </w:r>
      <w:r>
        <w:rPr>
          <w:rFonts w:hint="eastAsia"/>
          <w:color w:val="auto"/>
          <w:highlight w:val="none"/>
          <w:lang w:eastAsia="zh-CN"/>
        </w:rPr>
        <w:t>.6分，</w:t>
      </w:r>
      <w:r>
        <w:rPr>
          <w:color w:val="auto"/>
          <w:highlight w:val="none"/>
        </w:rPr>
        <w:t>得分率为96%。各指标业绩值和绩效分值如下表所示：</w:t>
      </w:r>
    </w:p>
    <w:p>
      <w:pPr>
        <w:keepNext/>
        <w:keepLines/>
        <w:ind w:firstLine="0" w:firstLineChars="0"/>
        <w:jc w:val="center"/>
        <w:rPr>
          <w:b/>
          <w:bCs/>
          <w:color w:val="auto"/>
          <w:szCs w:val="16"/>
          <w:highlight w:val="none"/>
        </w:rPr>
      </w:pPr>
      <w:r>
        <w:rPr>
          <w:b/>
          <w:bCs/>
          <w:color w:val="auto"/>
          <w:szCs w:val="16"/>
          <w:highlight w:val="none"/>
        </w:rPr>
        <w:t>表</w:t>
      </w:r>
      <w:r>
        <w:rPr>
          <w:rFonts w:hint="eastAsia"/>
          <w:b/>
          <w:bCs/>
          <w:color w:val="auto"/>
          <w:szCs w:val="16"/>
          <w:highlight w:val="none"/>
        </w:rPr>
        <w:t>5</w:t>
      </w:r>
      <w:r>
        <w:rPr>
          <w:b/>
          <w:bCs/>
          <w:color w:val="auto"/>
          <w:szCs w:val="16"/>
          <w:highlight w:val="none"/>
        </w:rPr>
        <w:t>-1：项目决策类指标及分值</w:t>
      </w:r>
    </w:p>
    <w:tbl>
      <w:tblPr>
        <w:tblStyle w:val="19"/>
        <w:tblpPr w:leftFromText="180" w:rightFromText="180" w:vertAnchor="text" w:horzAnchor="page" w:tblpX="1673" w:tblpY="288"/>
        <w:tblOverlap w:val="never"/>
        <w:tblW w:w="8327" w:type="dxa"/>
        <w:tblInd w:w="0" w:type="dxa"/>
        <w:tblLayout w:type="fixed"/>
        <w:tblCellMar>
          <w:top w:w="0" w:type="dxa"/>
          <w:left w:w="0" w:type="dxa"/>
          <w:bottom w:w="0" w:type="dxa"/>
          <w:right w:w="0" w:type="dxa"/>
        </w:tblCellMar>
      </w:tblPr>
      <w:tblGrid>
        <w:gridCol w:w="1081"/>
        <w:gridCol w:w="1068"/>
        <w:gridCol w:w="1848"/>
        <w:gridCol w:w="968"/>
        <w:gridCol w:w="1028"/>
        <w:gridCol w:w="763"/>
        <w:gridCol w:w="785"/>
        <w:gridCol w:w="786"/>
      </w:tblGrid>
      <w:tr>
        <w:tblPrEx>
          <w:tblCellMar>
            <w:top w:w="0" w:type="dxa"/>
            <w:left w:w="0" w:type="dxa"/>
            <w:bottom w:w="0" w:type="dxa"/>
            <w:right w:w="0" w:type="dxa"/>
          </w:tblCellMar>
        </w:tblPrEx>
        <w:trPr>
          <w:trHeight w:val="397" w:hRule="atLeast"/>
          <w:tblHeader/>
        </w:trPr>
        <w:tc>
          <w:tcPr>
            <w:tcW w:w="1081"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eastAsia="宋体"/>
                <w:b/>
                <w:color w:val="auto"/>
                <w:sz w:val="20"/>
                <w:szCs w:val="20"/>
                <w:highlight w:val="none"/>
              </w:rPr>
            </w:pPr>
            <w:r>
              <w:rPr>
                <w:rFonts w:eastAsia="宋体"/>
                <w:b/>
                <w:color w:val="auto"/>
                <w:kern w:val="0"/>
                <w:sz w:val="20"/>
                <w:szCs w:val="20"/>
                <w:highlight w:val="none"/>
                <w:lang w:bidi="ar"/>
              </w:rPr>
              <w:t>一级指标</w:t>
            </w:r>
          </w:p>
        </w:tc>
        <w:tc>
          <w:tcPr>
            <w:tcW w:w="10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eastAsia="宋体"/>
                <w:b/>
                <w:color w:val="auto"/>
                <w:sz w:val="20"/>
                <w:szCs w:val="20"/>
                <w:highlight w:val="none"/>
              </w:rPr>
            </w:pPr>
            <w:r>
              <w:rPr>
                <w:rFonts w:eastAsia="宋体"/>
                <w:b/>
                <w:color w:val="auto"/>
                <w:kern w:val="0"/>
                <w:sz w:val="20"/>
                <w:szCs w:val="20"/>
                <w:highlight w:val="none"/>
                <w:lang w:bidi="ar"/>
              </w:rPr>
              <w:t>二级指标</w:t>
            </w:r>
          </w:p>
        </w:tc>
        <w:tc>
          <w:tcPr>
            <w:tcW w:w="184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eastAsia="宋体"/>
                <w:b/>
                <w:color w:val="auto"/>
                <w:sz w:val="20"/>
                <w:szCs w:val="20"/>
                <w:highlight w:val="none"/>
              </w:rPr>
            </w:pPr>
            <w:r>
              <w:rPr>
                <w:rFonts w:eastAsia="宋体"/>
                <w:b/>
                <w:color w:val="auto"/>
                <w:kern w:val="0"/>
                <w:sz w:val="20"/>
                <w:szCs w:val="20"/>
                <w:highlight w:val="none"/>
                <w:lang w:bidi="ar"/>
              </w:rPr>
              <w:t>三级指标</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eastAsia="宋体"/>
                <w:b/>
                <w:color w:val="auto"/>
                <w:sz w:val="20"/>
                <w:szCs w:val="20"/>
                <w:highlight w:val="none"/>
              </w:rPr>
            </w:pPr>
            <w:r>
              <w:rPr>
                <w:rFonts w:eastAsia="宋体"/>
                <w:b/>
                <w:color w:val="auto"/>
                <w:kern w:val="0"/>
                <w:sz w:val="20"/>
                <w:szCs w:val="20"/>
                <w:highlight w:val="none"/>
                <w:lang w:bidi="ar"/>
              </w:rPr>
              <w:t>目标值</w:t>
            </w:r>
          </w:p>
        </w:tc>
        <w:tc>
          <w:tcPr>
            <w:tcW w:w="10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eastAsia="宋体"/>
                <w:b/>
                <w:color w:val="auto"/>
                <w:kern w:val="0"/>
                <w:sz w:val="20"/>
                <w:szCs w:val="20"/>
                <w:highlight w:val="none"/>
                <w:lang w:bidi="ar"/>
              </w:rPr>
            </w:pPr>
            <w:r>
              <w:rPr>
                <w:rFonts w:eastAsia="宋体"/>
                <w:b/>
                <w:color w:val="auto"/>
                <w:kern w:val="0"/>
                <w:sz w:val="20"/>
                <w:szCs w:val="20"/>
                <w:highlight w:val="none"/>
                <w:lang w:bidi="ar"/>
              </w:rPr>
              <w:t>实际完成值</w:t>
            </w:r>
          </w:p>
        </w:tc>
        <w:tc>
          <w:tcPr>
            <w:tcW w:w="7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eastAsia="宋体"/>
                <w:b/>
                <w:color w:val="auto"/>
                <w:sz w:val="20"/>
                <w:szCs w:val="20"/>
                <w:highlight w:val="none"/>
              </w:rPr>
            </w:pPr>
            <w:r>
              <w:rPr>
                <w:rFonts w:eastAsia="宋体"/>
                <w:b/>
                <w:color w:val="auto"/>
                <w:kern w:val="0"/>
                <w:sz w:val="20"/>
                <w:szCs w:val="20"/>
                <w:highlight w:val="none"/>
                <w:lang w:bidi="ar"/>
              </w:rPr>
              <w:t>权重</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eastAsia="宋体"/>
                <w:b/>
                <w:color w:val="auto"/>
                <w:sz w:val="20"/>
                <w:szCs w:val="20"/>
                <w:highlight w:val="none"/>
              </w:rPr>
            </w:pPr>
            <w:r>
              <w:rPr>
                <w:rFonts w:eastAsia="宋体"/>
                <w:b/>
                <w:color w:val="auto"/>
                <w:kern w:val="0"/>
                <w:sz w:val="20"/>
                <w:szCs w:val="20"/>
                <w:highlight w:val="none"/>
                <w:lang w:bidi="ar"/>
              </w:rPr>
              <w:t>得分</w:t>
            </w:r>
          </w:p>
        </w:tc>
        <w:tc>
          <w:tcPr>
            <w:tcW w:w="78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eastAsia="宋体"/>
                <w:b/>
                <w:color w:val="auto"/>
                <w:kern w:val="0"/>
                <w:sz w:val="20"/>
                <w:szCs w:val="20"/>
                <w:highlight w:val="none"/>
                <w:lang w:bidi="ar"/>
              </w:rPr>
            </w:pPr>
            <w:r>
              <w:rPr>
                <w:rFonts w:eastAsia="宋体"/>
                <w:b/>
                <w:color w:val="auto"/>
                <w:kern w:val="0"/>
                <w:sz w:val="20"/>
                <w:szCs w:val="20"/>
                <w:highlight w:val="none"/>
                <w:lang w:bidi="ar"/>
              </w:rPr>
              <w:t>得分率</w:t>
            </w:r>
          </w:p>
        </w:tc>
      </w:tr>
      <w:tr>
        <w:tblPrEx>
          <w:tblCellMar>
            <w:top w:w="0" w:type="dxa"/>
            <w:left w:w="0" w:type="dxa"/>
            <w:bottom w:w="0" w:type="dxa"/>
            <w:right w:w="0" w:type="dxa"/>
          </w:tblCellMar>
        </w:tblPrEx>
        <w:trPr>
          <w:trHeight w:val="397" w:hRule="atLeast"/>
        </w:trPr>
        <w:tc>
          <w:tcPr>
            <w:tcW w:w="1081"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left"/>
              <w:textAlignment w:val="center"/>
              <w:rPr>
                <w:rFonts w:eastAsia="宋体"/>
                <w:color w:val="auto"/>
                <w:kern w:val="0"/>
                <w:sz w:val="20"/>
                <w:szCs w:val="20"/>
                <w:highlight w:val="none"/>
                <w:lang w:bidi="ar"/>
              </w:rPr>
            </w:pPr>
            <w:r>
              <w:rPr>
                <w:rFonts w:eastAsia="宋体"/>
                <w:color w:val="auto"/>
                <w:kern w:val="0"/>
                <w:sz w:val="20"/>
                <w:szCs w:val="20"/>
                <w:highlight w:val="none"/>
                <w:lang w:bidi="ar"/>
              </w:rPr>
              <w:t>A决策（10分）　</w:t>
            </w:r>
          </w:p>
        </w:tc>
        <w:tc>
          <w:tcPr>
            <w:tcW w:w="1068"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left"/>
              <w:textAlignment w:val="center"/>
              <w:rPr>
                <w:rFonts w:eastAsia="宋体"/>
                <w:color w:val="auto"/>
                <w:kern w:val="0"/>
                <w:sz w:val="20"/>
                <w:szCs w:val="20"/>
                <w:highlight w:val="none"/>
                <w:lang w:bidi="ar"/>
              </w:rPr>
            </w:pPr>
            <w:r>
              <w:rPr>
                <w:rFonts w:eastAsia="宋体"/>
                <w:color w:val="auto"/>
                <w:kern w:val="0"/>
                <w:sz w:val="20"/>
                <w:szCs w:val="20"/>
                <w:highlight w:val="none"/>
                <w:lang w:bidi="ar"/>
              </w:rPr>
              <w:t>A1 项目立项（3分）　</w:t>
            </w:r>
          </w:p>
        </w:tc>
        <w:tc>
          <w:tcPr>
            <w:tcW w:w="184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left"/>
              <w:textAlignment w:val="center"/>
              <w:rPr>
                <w:rFonts w:eastAsia="宋体"/>
                <w:color w:val="auto"/>
                <w:kern w:val="0"/>
                <w:sz w:val="20"/>
                <w:szCs w:val="20"/>
                <w:highlight w:val="none"/>
                <w:lang w:bidi="ar"/>
              </w:rPr>
            </w:pPr>
            <w:r>
              <w:rPr>
                <w:rFonts w:eastAsia="宋体"/>
                <w:color w:val="auto"/>
                <w:kern w:val="0"/>
                <w:sz w:val="20"/>
                <w:szCs w:val="20"/>
                <w:highlight w:val="none"/>
                <w:lang w:bidi="ar"/>
              </w:rPr>
              <w:t>A11立项依据充分性</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eastAsia="宋体"/>
                <w:color w:val="auto"/>
                <w:kern w:val="0"/>
                <w:sz w:val="20"/>
                <w:szCs w:val="20"/>
                <w:highlight w:val="none"/>
                <w:lang w:bidi="ar"/>
              </w:rPr>
            </w:pPr>
            <w:r>
              <w:rPr>
                <w:rFonts w:eastAsia="宋体"/>
                <w:color w:val="auto"/>
                <w:kern w:val="0"/>
                <w:sz w:val="20"/>
                <w:szCs w:val="20"/>
                <w:highlight w:val="none"/>
                <w:lang w:bidi="ar"/>
              </w:rPr>
              <w:t>充分</w:t>
            </w:r>
          </w:p>
        </w:tc>
        <w:tc>
          <w:tcPr>
            <w:tcW w:w="10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eastAsia="宋体"/>
                <w:color w:val="auto"/>
                <w:kern w:val="0"/>
                <w:sz w:val="20"/>
                <w:szCs w:val="20"/>
                <w:highlight w:val="none"/>
                <w:lang w:bidi="ar"/>
              </w:rPr>
            </w:pPr>
            <w:r>
              <w:rPr>
                <w:rFonts w:eastAsia="宋体"/>
                <w:color w:val="auto"/>
                <w:kern w:val="0"/>
                <w:sz w:val="20"/>
                <w:szCs w:val="20"/>
                <w:highlight w:val="none"/>
                <w:lang w:bidi="ar"/>
              </w:rPr>
              <w:t>充分</w:t>
            </w:r>
          </w:p>
        </w:tc>
        <w:tc>
          <w:tcPr>
            <w:tcW w:w="7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hint="eastAsia" w:eastAsia="宋体"/>
                <w:color w:val="auto"/>
                <w:kern w:val="0"/>
                <w:sz w:val="20"/>
                <w:szCs w:val="20"/>
                <w:highlight w:val="none"/>
                <w:lang w:eastAsia="zh-CN" w:bidi="ar"/>
              </w:rPr>
            </w:pPr>
            <w:r>
              <w:rPr>
                <w:rFonts w:eastAsia="宋体"/>
                <w:color w:val="auto"/>
                <w:kern w:val="0"/>
                <w:sz w:val="20"/>
                <w:szCs w:val="20"/>
                <w:highlight w:val="none"/>
                <w:lang w:bidi="ar"/>
              </w:rPr>
              <w:t>1</w:t>
            </w:r>
            <w:r>
              <w:rPr>
                <w:rFonts w:hint="eastAsia" w:eastAsia="宋体"/>
                <w:color w:val="auto"/>
                <w:kern w:val="0"/>
                <w:sz w:val="20"/>
                <w:szCs w:val="20"/>
                <w:highlight w:val="none"/>
                <w:lang w:eastAsia="zh-CN" w:bidi="ar"/>
              </w:rPr>
              <w:t>.5</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hint="eastAsia" w:eastAsia="宋体"/>
                <w:color w:val="auto"/>
                <w:kern w:val="0"/>
                <w:sz w:val="20"/>
                <w:szCs w:val="20"/>
                <w:highlight w:val="none"/>
                <w:lang w:eastAsia="zh-CN" w:bidi="ar"/>
              </w:rPr>
            </w:pPr>
            <w:r>
              <w:rPr>
                <w:rFonts w:eastAsia="宋体"/>
                <w:color w:val="auto"/>
                <w:kern w:val="0"/>
                <w:sz w:val="20"/>
                <w:szCs w:val="20"/>
                <w:highlight w:val="none"/>
                <w:lang w:bidi="ar"/>
              </w:rPr>
              <w:t>1</w:t>
            </w:r>
            <w:r>
              <w:rPr>
                <w:rFonts w:hint="eastAsia" w:eastAsia="宋体"/>
                <w:color w:val="auto"/>
                <w:kern w:val="0"/>
                <w:sz w:val="20"/>
                <w:szCs w:val="20"/>
                <w:highlight w:val="none"/>
                <w:lang w:eastAsia="zh-CN" w:bidi="ar"/>
              </w:rPr>
              <w:t>.5</w:t>
            </w:r>
          </w:p>
        </w:tc>
        <w:tc>
          <w:tcPr>
            <w:tcW w:w="78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eastAsia="宋体"/>
                <w:color w:val="auto"/>
                <w:kern w:val="0"/>
                <w:sz w:val="20"/>
                <w:szCs w:val="20"/>
                <w:highlight w:val="none"/>
                <w:lang w:bidi="ar"/>
              </w:rPr>
            </w:pPr>
            <w:r>
              <w:rPr>
                <w:rFonts w:eastAsia="宋体"/>
                <w:color w:val="auto"/>
                <w:kern w:val="0"/>
                <w:sz w:val="20"/>
                <w:szCs w:val="20"/>
                <w:highlight w:val="none"/>
                <w:lang w:bidi="ar"/>
              </w:rPr>
              <w:t>100%</w:t>
            </w:r>
          </w:p>
        </w:tc>
      </w:tr>
      <w:tr>
        <w:tblPrEx>
          <w:tblCellMar>
            <w:top w:w="0" w:type="dxa"/>
            <w:left w:w="0" w:type="dxa"/>
            <w:bottom w:w="0" w:type="dxa"/>
            <w:right w:w="0" w:type="dxa"/>
          </w:tblCellMar>
        </w:tblPrEx>
        <w:trPr>
          <w:trHeight w:val="397" w:hRule="atLeast"/>
        </w:trPr>
        <w:tc>
          <w:tcPr>
            <w:tcW w:w="108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left"/>
              <w:textAlignment w:val="center"/>
              <w:rPr>
                <w:rFonts w:eastAsia="宋体"/>
                <w:color w:val="auto"/>
                <w:kern w:val="0"/>
                <w:sz w:val="20"/>
                <w:szCs w:val="20"/>
                <w:highlight w:val="none"/>
                <w:lang w:bidi="ar"/>
              </w:rPr>
            </w:pPr>
          </w:p>
        </w:tc>
        <w:tc>
          <w:tcPr>
            <w:tcW w:w="106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left"/>
              <w:textAlignment w:val="center"/>
              <w:rPr>
                <w:rFonts w:eastAsia="宋体"/>
                <w:color w:val="auto"/>
                <w:kern w:val="0"/>
                <w:sz w:val="20"/>
                <w:szCs w:val="20"/>
                <w:highlight w:val="none"/>
                <w:lang w:bidi="ar"/>
              </w:rPr>
            </w:pPr>
          </w:p>
        </w:tc>
        <w:tc>
          <w:tcPr>
            <w:tcW w:w="184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left"/>
              <w:textAlignment w:val="center"/>
              <w:rPr>
                <w:rFonts w:eastAsia="宋体"/>
                <w:color w:val="auto"/>
                <w:kern w:val="0"/>
                <w:sz w:val="20"/>
                <w:szCs w:val="20"/>
                <w:highlight w:val="none"/>
                <w:lang w:bidi="ar"/>
              </w:rPr>
            </w:pPr>
            <w:r>
              <w:rPr>
                <w:rFonts w:eastAsia="宋体"/>
                <w:color w:val="auto"/>
                <w:kern w:val="0"/>
                <w:sz w:val="20"/>
                <w:szCs w:val="20"/>
                <w:highlight w:val="none"/>
                <w:lang w:bidi="ar"/>
              </w:rPr>
              <w:t>A12立项程序规范性</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eastAsia="宋体"/>
                <w:color w:val="auto"/>
                <w:kern w:val="0"/>
                <w:sz w:val="20"/>
                <w:szCs w:val="20"/>
                <w:highlight w:val="none"/>
                <w:lang w:bidi="ar"/>
              </w:rPr>
            </w:pPr>
            <w:r>
              <w:rPr>
                <w:rFonts w:eastAsia="宋体"/>
                <w:color w:val="auto"/>
                <w:kern w:val="0"/>
                <w:sz w:val="20"/>
                <w:szCs w:val="20"/>
                <w:highlight w:val="none"/>
                <w:lang w:bidi="ar"/>
              </w:rPr>
              <w:t>合规</w:t>
            </w:r>
          </w:p>
        </w:tc>
        <w:tc>
          <w:tcPr>
            <w:tcW w:w="10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eastAsia="宋体"/>
                <w:color w:val="auto"/>
                <w:kern w:val="0"/>
                <w:sz w:val="20"/>
                <w:szCs w:val="20"/>
                <w:highlight w:val="none"/>
                <w:lang w:bidi="ar"/>
              </w:rPr>
            </w:pPr>
            <w:r>
              <w:rPr>
                <w:rFonts w:eastAsia="宋体"/>
                <w:color w:val="auto"/>
                <w:kern w:val="0"/>
                <w:sz w:val="20"/>
                <w:szCs w:val="20"/>
                <w:highlight w:val="none"/>
                <w:lang w:bidi="ar"/>
              </w:rPr>
              <w:t>合规</w:t>
            </w:r>
          </w:p>
        </w:tc>
        <w:tc>
          <w:tcPr>
            <w:tcW w:w="7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hint="eastAsia" w:eastAsia="宋体"/>
                <w:color w:val="auto"/>
                <w:kern w:val="0"/>
                <w:sz w:val="20"/>
                <w:szCs w:val="20"/>
                <w:highlight w:val="none"/>
                <w:lang w:eastAsia="zh-CN" w:bidi="ar"/>
              </w:rPr>
            </w:pPr>
            <w:r>
              <w:rPr>
                <w:rFonts w:eastAsia="宋体"/>
                <w:color w:val="auto"/>
                <w:kern w:val="0"/>
                <w:sz w:val="20"/>
                <w:szCs w:val="20"/>
                <w:highlight w:val="none"/>
                <w:lang w:bidi="ar"/>
              </w:rPr>
              <w:t>1</w:t>
            </w:r>
            <w:r>
              <w:rPr>
                <w:rFonts w:hint="eastAsia" w:eastAsia="宋体"/>
                <w:color w:val="auto"/>
                <w:kern w:val="0"/>
                <w:sz w:val="20"/>
                <w:szCs w:val="20"/>
                <w:highlight w:val="none"/>
                <w:lang w:eastAsia="zh-CN" w:bidi="ar"/>
              </w:rPr>
              <w:t>.5</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hint="eastAsia" w:eastAsia="宋体"/>
                <w:color w:val="auto"/>
                <w:kern w:val="0"/>
                <w:sz w:val="20"/>
                <w:szCs w:val="20"/>
                <w:highlight w:val="none"/>
                <w:lang w:eastAsia="zh-CN" w:bidi="ar"/>
              </w:rPr>
            </w:pPr>
            <w:r>
              <w:rPr>
                <w:rFonts w:eastAsia="宋体"/>
                <w:color w:val="auto"/>
                <w:kern w:val="0"/>
                <w:sz w:val="20"/>
                <w:szCs w:val="20"/>
                <w:highlight w:val="none"/>
                <w:lang w:bidi="ar"/>
              </w:rPr>
              <w:t>1</w:t>
            </w:r>
            <w:r>
              <w:rPr>
                <w:rFonts w:hint="eastAsia" w:eastAsia="宋体"/>
                <w:color w:val="auto"/>
                <w:kern w:val="0"/>
                <w:sz w:val="20"/>
                <w:szCs w:val="20"/>
                <w:highlight w:val="none"/>
                <w:lang w:eastAsia="zh-CN" w:bidi="ar"/>
              </w:rPr>
              <w:t>.5</w:t>
            </w:r>
          </w:p>
        </w:tc>
        <w:tc>
          <w:tcPr>
            <w:tcW w:w="78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eastAsia="宋体"/>
                <w:color w:val="auto"/>
                <w:kern w:val="0"/>
                <w:sz w:val="20"/>
                <w:szCs w:val="20"/>
                <w:highlight w:val="none"/>
                <w:lang w:bidi="ar"/>
              </w:rPr>
            </w:pPr>
            <w:r>
              <w:rPr>
                <w:rFonts w:eastAsia="宋体"/>
                <w:color w:val="auto"/>
                <w:kern w:val="0"/>
                <w:sz w:val="20"/>
                <w:szCs w:val="20"/>
                <w:highlight w:val="none"/>
                <w:lang w:bidi="ar"/>
              </w:rPr>
              <w:t>100%</w:t>
            </w:r>
          </w:p>
        </w:tc>
      </w:tr>
      <w:tr>
        <w:tblPrEx>
          <w:tblCellMar>
            <w:top w:w="0" w:type="dxa"/>
            <w:left w:w="0" w:type="dxa"/>
            <w:bottom w:w="0" w:type="dxa"/>
            <w:right w:w="0" w:type="dxa"/>
          </w:tblCellMar>
        </w:tblPrEx>
        <w:trPr>
          <w:trHeight w:val="397" w:hRule="atLeast"/>
        </w:trPr>
        <w:tc>
          <w:tcPr>
            <w:tcW w:w="108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left"/>
              <w:textAlignment w:val="center"/>
              <w:rPr>
                <w:rFonts w:eastAsia="宋体"/>
                <w:color w:val="auto"/>
                <w:kern w:val="0"/>
                <w:sz w:val="20"/>
                <w:szCs w:val="20"/>
                <w:highlight w:val="none"/>
                <w:lang w:bidi="ar"/>
              </w:rPr>
            </w:pPr>
          </w:p>
        </w:tc>
        <w:tc>
          <w:tcPr>
            <w:tcW w:w="1068"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left"/>
              <w:textAlignment w:val="center"/>
              <w:rPr>
                <w:rFonts w:eastAsia="宋体"/>
                <w:color w:val="auto"/>
                <w:kern w:val="0"/>
                <w:sz w:val="20"/>
                <w:szCs w:val="20"/>
                <w:highlight w:val="none"/>
                <w:lang w:bidi="ar"/>
              </w:rPr>
            </w:pPr>
            <w:r>
              <w:rPr>
                <w:rFonts w:eastAsia="宋体"/>
                <w:color w:val="auto"/>
                <w:kern w:val="0"/>
                <w:sz w:val="20"/>
                <w:szCs w:val="20"/>
                <w:highlight w:val="none"/>
                <w:lang w:bidi="ar"/>
              </w:rPr>
              <w:t>A2 绩效目标（4分）　</w:t>
            </w:r>
          </w:p>
        </w:tc>
        <w:tc>
          <w:tcPr>
            <w:tcW w:w="184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left"/>
              <w:textAlignment w:val="center"/>
              <w:rPr>
                <w:rFonts w:eastAsia="宋体"/>
                <w:color w:val="auto"/>
                <w:kern w:val="0"/>
                <w:sz w:val="20"/>
                <w:szCs w:val="20"/>
                <w:highlight w:val="none"/>
                <w:lang w:bidi="ar"/>
              </w:rPr>
            </w:pPr>
            <w:r>
              <w:rPr>
                <w:rFonts w:eastAsia="宋体"/>
                <w:color w:val="auto"/>
                <w:kern w:val="0"/>
                <w:sz w:val="20"/>
                <w:szCs w:val="20"/>
                <w:highlight w:val="none"/>
                <w:lang w:bidi="ar"/>
              </w:rPr>
              <w:t>A21绩效目标合理性</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eastAsia="宋体"/>
                <w:color w:val="auto"/>
                <w:kern w:val="0"/>
                <w:sz w:val="20"/>
                <w:szCs w:val="20"/>
                <w:highlight w:val="none"/>
                <w:lang w:bidi="ar"/>
              </w:rPr>
            </w:pPr>
            <w:r>
              <w:rPr>
                <w:rFonts w:eastAsia="宋体"/>
                <w:color w:val="auto"/>
                <w:kern w:val="0"/>
                <w:sz w:val="20"/>
                <w:szCs w:val="20"/>
                <w:highlight w:val="none"/>
                <w:lang w:bidi="ar"/>
              </w:rPr>
              <w:t>合理</w:t>
            </w:r>
          </w:p>
        </w:tc>
        <w:tc>
          <w:tcPr>
            <w:tcW w:w="10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eastAsia="宋体"/>
                <w:color w:val="auto"/>
                <w:kern w:val="0"/>
                <w:sz w:val="20"/>
                <w:szCs w:val="20"/>
                <w:highlight w:val="none"/>
                <w:lang w:bidi="ar"/>
              </w:rPr>
            </w:pPr>
            <w:r>
              <w:rPr>
                <w:rFonts w:eastAsia="宋体"/>
                <w:color w:val="auto"/>
                <w:kern w:val="0"/>
                <w:sz w:val="20"/>
                <w:szCs w:val="20"/>
                <w:highlight w:val="none"/>
                <w:lang w:bidi="ar"/>
              </w:rPr>
              <w:t>合理</w:t>
            </w:r>
          </w:p>
        </w:tc>
        <w:tc>
          <w:tcPr>
            <w:tcW w:w="7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hint="eastAsia" w:eastAsia="宋体"/>
                <w:color w:val="auto"/>
                <w:kern w:val="0"/>
                <w:sz w:val="20"/>
                <w:szCs w:val="20"/>
                <w:highlight w:val="none"/>
                <w:lang w:eastAsia="zh-CN" w:bidi="ar"/>
              </w:rPr>
            </w:pPr>
            <w:r>
              <w:rPr>
                <w:rFonts w:eastAsia="宋体"/>
                <w:color w:val="auto"/>
                <w:kern w:val="0"/>
                <w:sz w:val="20"/>
                <w:szCs w:val="20"/>
                <w:highlight w:val="none"/>
                <w:lang w:bidi="ar"/>
              </w:rPr>
              <w:t>2</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hint="eastAsia" w:eastAsia="宋体"/>
                <w:color w:val="auto"/>
                <w:kern w:val="0"/>
                <w:sz w:val="20"/>
                <w:szCs w:val="20"/>
                <w:highlight w:val="none"/>
                <w:lang w:eastAsia="zh-CN" w:bidi="ar"/>
              </w:rPr>
            </w:pPr>
            <w:r>
              <w:rPr>
                <w:rFonts w:eastAsia="宋体"/>
                <w:color w:val="auto"/>
                <w:kern w:val="0"/>
                <w:sz w:val="20"/>
                <w:szCs w:val="20"/>
                <w:highlight w:val="none"/>
                <w:lang w:bidi="ar"/>
              </w:rPr>
              <w:t>2</w:t>
            </w:r>
          </w:p>
        </w:tc>
        <w:tc>
          <w:tcPr>
            <w:tcW w:w="78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eastAsia="宋体"/>
                <w:color w:val="auto"/>
                <w:kern w:val="0"/>
                <w:sz w:val="20"/>
                <w:szCs w:val="20"/>
                <w:highlight w:val="none"/>
                <w:lang w:bidi="ar"/>
              </w:rPr>
            </w:pPr>
            <w:r>
              <w:rPr>
                <w:rFonts w:eastAsia="宋体"/>
                <w:color w:val="auto"/>
                <w:kern w:val="0"/>
                <w:sz w:val="20"/>
                <w:szCs w:val="20"/>
                <w:highlight w:val="none"/>
                <w:lang w:bidi="ar"/>
              </w:rPr>
              <w:t>100%</w:t>
            </w:r>
          </w:p>
        </w:tc>
      </w:tr>
      <w:tr>
        <w:tblPrEx>
          <w:tblCellMar>
            <w:top w:w="0" w:type="dxa"/>
            <w:left w:w="0" w:type="dxa"/>
            <w:bottom w:w="0" w:type="dxa"/>
            <w:right w:w="0" w:type="dxa"/>
          </w:tblCellMar>
        </w:tblPrEx>
        <w:trPr>
          <w:trHeight w:val="397" w:hRule="atLeast"/>
        </w:trPr>
        <w:tc>
          <w:tcPr>
            <w:tcW w:w="108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left"/>
              <w:textAlignment w:val="center"/>
              <w:rPr>
                <w:rFonts w:eastAsia="宋体"/>
                <w:color w:val="auto"/>
                <w:kern w:val="0"/>
                <w:sz w:val="20"/>
                <w:szCs w:val="20"/>
                <w:highlight w:val="none"/>
                <w:lang w:bidi="ar"/>
              </w:rPr>
            </w:pPr>
          </w:p>
        </w:tc>
        <w:tc>
          <w:tcPr>
            <w:tcW w:w="106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left"/>
              <w:textAlignment w:val="center"/>
              <w:rPr>
                <w:rFonts w:eastAsia="宋体"/>
                <w:color w:val="auto"/>
                <w:kern w:val="0"/>
                <w:sz w:val="20"/>
                <w:szCs w:val="20"/>
                <w:highlight w:val="none"/>
                <w:lang w:bidi="ar"/>
              </w:rPr>
            </w:pPr>
          </w:p>
        </w:tc>
        <w:tc>
          <w:tcPr>
            <w:tcW w:w="184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left"/>
              <w:textAlignment w:val="center"/>
              <w:rPr>
                <w:rFonts w:eastAsia="宋体"/>
                <w:color w:val="auto"/>
                <w:kern w:val="0"/>
                <w:sz w:val="20"/>
                <w:szCs w:val="20"/>
                <w:highlight w:val="none"/>
                <w:lang w:bidi="ar"/>
              </w:rPr>
            </w:pPr>
            <w:r>
              <w:rPr>
                <w:rFonts w:eastAsia="宋体"/>
                <w:color w:val="auto"/>
                <w:kern w:val="0"/>
                <w:sz w:val="20"/>
                <w:szCs w:val="20"/>
                <w:highlight w:val="none"/>
                <w:lang w:bidi="ar"/>
              </w:rPr>
              <w:t>A22绩效指标明确性</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eastAsia="宋体"/>
                <w:color w:val="auto"/>
                <w:kern w:val="0"/>
                <w:sz w:val="20"/>
                <w:szCs w:val="20"/>
                <w:highlight w:val="none"/>
                <w:lang w:bidi="ar"/>
              </w:rPr>
            </w:pPr>
            <w:r>
              <w:rPr>
                <w:rFonts w:eastAsia="宋体"/>
                <w:color w:val="auto"/>
                <w:kern w:val="0"/>
                <w:sz w:val="20"/>
                <w:szCs w:val="20"/>
                <w:highlight w:val="none"/>
                <w:lang w:bidi="ar"/>
              </w:rPr>
              <w:t>明确</w:t>
            </w:r>
          </w:p>
        </w:tc>
        <w:tc>
          <w:tcPr>
            <w:tcW w:w="10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eastAsia="宋体"/>
                <w:color w:val="auto"/>
                <w:kern w:val="0"/>
                <w:sz w:val="20"/>
                <w:szCs w:val="20"/>
                <w:highlight w:val="none"/>
                <w:lang w:bidi="ar"/>
              </w:rPr>
            </w:pPr>
            <w:r>
              <w:rPr>
                <w:rFonts w:eastAsia="宋体"/>
                <w:color w:val="auto"/>
                <w:kern w:val="0"/>
                <w:sz w:val="20"/>
                <w:szCs w:val="20"/>
                <w:highlight w:val="none"/>
                <w:lang w:bidi="ar"/>
              </w:rPr>
              <w:t>较明确</w:t>
            </w:r>
          </w:p>
        </w:tc>
        <w:tc>
          <w:tcPr>
            <w:tcW w:w="7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hint="eastAsia" w:eastAsia="宋体"/>
                <w:color w:val="auto"/>
                <w:kern w:val="0"/>
                <w:sz w:val="20"/>
                <w:szCs w:val="20"/>
                <w:highlight w:val="none"/>
                <w:lang w:eastAsia="zh-CN" w:bidi="ar"/>
              </w:rPr>
            </w:pPr>
            <w:r>
              <w:rPr>
                <w:rFonts w:eastAsia="宋体"/>
                <w:color w:val="auto"/>
                <w:kern w:val="0"/>
                <w:sz w:val="20"/>
                <w:szCs w:val="20"/>
                <w:highlight w:val="none"/>
                <w:lang w:bidi="ar"/>
              </w:rPr>
              <w:t>2</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hint="eastAsia" w:eastAsia="宋体"/>
                <w:color w:val="auto"/>
                <w:kern w:val="0"/>
                <w:sz w:val="20"/>
                <w:szCs w:val="20"/>
                <w:highlight w:val="none"/>
                <w:lang w:eastAsia="zh-CN" w:bidi="ar"/>
              </w:rPr>
            </w:pPr>
            <w:r>
              <w:rPr>
                <w:rFonts w:eastAsia="宋体"/>
                <w:color w:val="auto"/>
                <w:kern w:val="0"/>
                <w:sz w:val="20"/>
                <w:szCs w:val="20"/>
                <w:highlight w:val="none"/>
                <w:lang w:bidi="ar"/>
              </w:rPr>
              <w:t>1</w:t>
            </w:r>
            <w:r>
              <w:rPr>
                <w:rFonts w:hint="eastAsia" w:eastAsia="宋体"/>
                <w:color w:val="auto"/>
                <w:kern w:val="0"/>
                <w:sz w:val="20"/>
                <w:szCs w:val="20"/>
                <w:highlight w:val="none"/>
                <w:lang w:eastAsia="zh-CN" w:bidi="ar"/>
              </w:rPr>
              <w:t>.6</w:t>
            </w:r>
          </w:p>
        </w:tc>
        <w:tc>
          <w:tcPr>
            <w:tcW w:w="78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eastAsia="宋体"/>
                <w:color w:val="auto"/>
                <w:kern w:val="0"/>
                <w:sz w:val="20"/>
                <w:szCs w:val="20"/>
                <w:highlight w:val="none"/>
                <w:lang w:bidi="ar"/>
              </w:rPr>
            </w:pPr>
            <w:r>
              <w:rPr>
                <w:rFonts w:eastAsia="宋体"/>
                <w:color w:val="auto"/>
                <w:kern w:val="0"/>
                <w:sz w:val="20"/>
                <w:szCs w:val="20"/>
                <w:highlight w:val="none"/>
                <w:lang w:bidi="ar"/>
              </w:rPr>
              <w:t>80%</w:t>
            </w:r>
          </w:p>
        </w:tc>
      </w:tr>
      <w:tr>
        <w:tblPrEx>
          <w:tblCellMar>
            <w:top w:w="0" w:type="dxa"/>
            <w:left w:w="0" w:type="dxa"/>
            <w:bottom w:w="0" w:type="dxa"/>
            <w:right w:w="0" w:type="dxa"/>
          </w:tblCellMar>
        </w:tblPrEx>
        <w:trPr>
          <w:trHeight w:val="397" w:hRule="atLeast"/>
        </w:trPr>
        <w:tc>
          <w:tcPr>
            <w:tcW w:w="108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left"/>
              <w:textAlignment w:val="center"/>
              <w:rPr>
                <w:rFonts w:eastAsia="宋体"/>
                <w:color w:val="auto"/>
                <w:kern w:val="0"/>
                <w:sz w:val="20"/>
                <w:szCs w:val="20"/>
                <w:highlight w:val="none"/>
                <w:lang w:bidi="ar"/>
              </w:rPr>
            </w:pPr>
          </w:p>
        </w:tc>
        <w:tc>
          <w:tcPr>
            <w:tcW w:w="1068"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left"/>
              <w:textAlignment w:val="center"/>
              <w:rPr>
                <w:rFonts w:eastAsia="宋体"/>
                <w:color w:val="auto"/>
                <w:kern w:val="0"/>
                <w:sz w:val="20"/>
                <w:szCs w:val="20"/>
                <w:highlight w:val="none"/>
                <w:lang w:bidi="ar"/>
              </w:rPr>
            </w:pPr>
            <w:r>
              <w:rPr>
                <w:rFonts w:eastAsia="宋体"/>
                <w:color w:val="auto"/>
                <w:kern w:val="0"/>
                <w:sz w:val="20"/>
                <w:szCs w:val="20"/>
                <w:highlight w:val="none"/>
                <w:lang w:bidi="ar"/>
              </w:rPr>
              <w:t>A3 资金投入（3分）</w:t>
            </w:r>
          </w:p>
        </w:tc>
        <w:tc>
          <w:tcPr>
            <w:tcW w:w="184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left"/>
              <w:textAlignment w:val="center"/>
              <w:rPr>
                <w:rFonts w:eastAsia="宋体"/>
                <w:color w:val="auto"/>
                <w:kern w:val="0"/>
                <w:sz w:val="20"/>
                <w:szCs w:val="20"/>
                <w:highlight w:val="none"/>
                <w:lang w:bidi="ar"/>
              </w:rPr>
            </w:pPr>
            <w:r>
              <w:rPr>
                <w:rFonts w:eastAsia="宋体"/>
                <w:color w:val="auto"/>
                <w:kern w:val="0"/>
                <w:sz w:val="20"/>
                <w:szCs w:val="20"/>
                <w:highlight w:val="none"/>
                <w:lang w:bidi="ar"/>
              </w:rPr>
              <w:t>A31预算编制科学性</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eastAsia="宋体"/>
                <w:color w:val="auto"/>
                <w:kern w:val="0"/>
                <w:sz w:val="20"/>
                <w:szCs w:val="20"/>
                <w:highlight w:val="none"/>
                <w:lang w:bidi="ar"/>
              </w:rPr>
            </w:pPr>
            <w:r>
              <w:rPr>
                <w:rFonts w:eastAsia="宋体"/>
                <w:color w:val="auto"/>
                <w:kern w:val="0"/>
                <w:sz w:val="20"/>
                <w:szCs w:val="20"/>
                <w:highlight w:val="none"/>
                <w:lang w:bidi="ar"/>
              </w:rPr>
              <w:t>科学</w:t>
            </w:r>
          </w:p>
        </w:tc>
        <w:tc>
          <w:tcPr>
            <w:tcW w:w="10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eastAsia="宋体"/>
                <w:color w:val="auto"/>
                <w:kern w:val="0"/>
                <w:sz w:val="20"/>
                <w:szCs w:val="20"/>
                <w:highlight w:val="none"/>
                <w:lang w:bidi="ar"/>
              </w:rPr>
            </w:pPr>
            <w:r>
              <w:rPr>
                <w:rFonts w:eastAsia="宋体"/>
                <w:color w:val="auto"/>
                <w:kern w:val="0"/>
                <w:sz w:val="20"/>
                <w:szCs w:val="20"/>
                <w:highlight w:val="none"/>
                <w:lang w:bidi="ar"/>
              </w:rPr>
              <w:t>科学</w:t>
            </w:r>
          </w:p>
        </w:tc>
        <w:tc>
          <w:tcPr>
            <w:tcW w:w="7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hint="eastAsia" w:eastAsia="宋体"/>
                <w:color w:val="auto"/>
                <w:kern w:val="0"/>
                <w:sz w:val="20"/>
                <w:szCs w:val="20"/>
                <w:highlight w:val="none"/>
                <w:lang w:eastAsia="zh-CN" w:bidi="ar"/>
              </w:rPr>
            </w:pPr>
            <w:r>
              <w:rPr>
                <w:rFonts w:eastAsia="宋体"/>
                <w:color w:val="auto"/>
                <w:kern w:val="0"/>
                <w:sz w:val="20"/>
                <w:szCs w:val="20"/>
                <w:highlight w:val="none"/>
                <w:lang w:bidi="ar"/>
              </w:rPr>
              <w:t>1</w:t>
            </w:r>
            <w:r>
              <w:rPr>
                <w:rFonts w:hint="eastAsia" w:eastAsia="宋体"/>
                <w:color w:val="auto"/>
                <w:kern w:val="0"/>
                <w:sz w:val="20"/>
                <w:szCs w:val="20"/>
                <w:highlight w:val="none"/>
                <w:lang w:eastAsia="zh-CN" w:bidi="ar"/>
              </w:rPr>
              <w:t>.5</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hint="eastAsia" w:eastAsia="宋体"/>
                <w:color w:val="auto"/>
                <w:kern w:val="0"/>
                <w:sz w:val="20"/>
                <w:szCs w:val="20"/>
                <w:highlight w:val="none"/>
                <w:lang w:eastAsia="zh-CN" w:bidi="ar"/>
              </w:rPr>
            </w:pPr>
            <w:r>
              <w:rPr>
                <w:rFonts w:eastAsia="宋体"/>
                <w:color w:val="auto"/>
                <w:kern w:val="0"/>
                <w:sz w:val="20"/>
                <w:szCs w:val="20"/>
                <w:highlight w:val="none"/>
                <w:lang w:bidi="ar"/>
              </w:rPr>
              <w:t>1</w:t>
            </w:r>
            <w:r>
              <w:rPr>
                <w:rFonts w:hint="eastAsia" w:eastAsia="宋体"/>
                <w:color w:val="auto"/>
                <w:kern w:val="0"/>
                <w:sz w:val="20"/>
                <w:szCs w:val="20"/>
                <w:highlight w:val="none"/>
                <w:lang w:eastAsia="zh-CN" w:bidi="ar"/>
              </w:rPr>
              <w:t>.5</w:t>
            </w:r>
          </w:p>
        </w:tc>
        <w:tc>
          <w:tcPr>
            <w:tcW w:w="78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eastAsia="宋体"/>
                <w:color w:val="auto"/>
                <w:kern w:val="0"/>
                <w:sz w:val="20"/>
                <w:szCs w:val="20"/>
                <w:highlight w:val="none"/>
                <w:lang w:bidi="ar"/>
              </w:rPr>
            </w:pPr>
            <w:r>
              <w:rPr>
                <w:rFonts w:eastAsia="宋体"/>
                <w:color w:val="auto"/>
                <w:kern w:val="0"/>
                <w:sz w:val="20"/>
                <w:szCs w:val="20"/>
                <w:highlight w:val="none"/>
                <w:lang w:bidi="ar"/>
              </w:rPr>
              <w:t>100%</w:t>
            </w:r>
          </w:p>
        </w:tc>
      </w:tr>
      <w:tr>
        <w:tblPrEx>
          <w:tblCellMar>
            <w:top w:w="0" w:type="dxa"/>
            <w:left w:w="0" w:type="dxa"/>
            <w:bottom w:w="0" w:type="dxa"/>
            <w:right w:w="0" w:type="dxa"/>
          </w:tblCellMar>
        </w:tblPrEx>
        <w:trPr>
          <w:trHeight w:val="397" w:hRule="atLeast"/>
        </w:trPr>
        <w:tc>
          <w:tcPr>
            <w:tcW w:w="1081"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left"/>
              <w:textAlignment w:val="center"/>
              <w:rPr>
                <w:rFonts w:eastAsia="宋体"/>
                <w:color w:val="auto"/>
                <w:kern w:val="0"/>
                <w:sz w:val="20"/>
                <w:szCs w:val="20"/>
                <w:highlight w:val="none"/>
                <w:lang w:bidi="ar"/>
              </w:rPr>
            </w:pPr>
          </w:p>
        </w:tc>
        <w:tc>
          <w:tcPr>
            <w:tcW w:w="106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left"/>
              <w:textAlignment w:val="center"/>
              <w:rPr>
                <w:rFonts w:eastAsia="宋体"/>
                <w:color w:val="auto"/>
                <w:kern w:val="0"/>
                <w:sz w:val="20"/>
                <w:szCs w:val="20"/>
                <w:highlight w:val="none"/>
                <w:lang w:bidi="ar"/>
              </w:rPr>
            </w:pPr>
          </w:p>
        </w:tc>
        <w:tc>
          <w:tcPr>
            <w:tcW w:w="184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left"/>
              <w:textAlignment w:val="center"/>
              <w:rPr>
                <w:rFonts w:eastAsia="宋体"/>
                <w:color w:val="auto"/>
                <w:kern w:val="0"/>
                <w:sz w:val="20"/>
                <w:szCs w:val="20"/>
                <w:highlight w:val="none"/>
                <w:lang w:bidi="ar"/>
              </w:rPr>
            </w:pPr>
            <w:r>
              <w:rPr>
                <w:rFonts w:eastAsia="宋体"/>
                <w:color w:val="auto"/>
                <w:kern w:val="0"/>
                <w:sz w:val="20"/>
                <w:szCs w:val="20"/>
                <w:highlight w:val="none"/>
                <w:lang w:bidi="ar"/>
              </w:rPr>
              <w:t>A32资金分配合理性</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eastAsia="宋体"/>
                <w:color w:val="auto"/>
                <w:kern w:val="0"/>
                <w:sz w:val="20"/>
                <w:szCs w:val="20"/>
                <w:highlight w:val="none"/>
                <w:lang w:bidi="ar"/>
              </w:rPr>
            </w:pPr>
            <w:r>
              <w:rPr>
                <w:rFonts w:eastAsia="宋体"/>
                <w:color w:val="auto"/>
                <w:kern w:val="0"/>
                <w:sz w:val="20"/>
                <w:szCs w:val="20"/>
                <w:highlight w:val="none"/>
                <w:lang w:bidi="ar"/>
              </w:rPr>
              <w:t>合理</w:t>
            </w:r>
          </w:p>
        </w:tc>
        <w:tc>
          <w:tcPr>
            <w:tcW w:w="10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eastAsia="宋体"/>
                <w:color w:val="auto"/>
                <w:kern w:val="0"/>
                <w:sz w:val="20"/>
                <w:szCs w:val="20"/>
                <w:highlight w:val="none"/>
                <w:lang w:bidi="ar"/>
              </w:rPr>
            </w:pPr>
            <w:r>
              <w:rPr>
                <w:rFonts w:eastAsia="宋体"/>
                <w:color w:val="auto"/>
                <w:kern w:val="0"/>
                <w:sz w:val="20"/>
                <w:szCs w:val="20"/>
                <w:highlight w:val="none"/>
                <w:lang w:bidi="ar"/>
              </w:rPr>
              <w:t>合理</w:t>
            </w:r>
          </w:p>
        </w:tc>
        <w:tc>
          <w:tcPr>
            <w:tcW w:w="7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hint="eastAsia" w:eastAsia="宋体"/>
                <w:color w:val="auto"/>
                <w:kern w:val="0"/>
                <w:sz w:val="20"/>
                <w:szCs w:val="20"/>
                <w:highlight w:val="none"/>
                <w:lang w:eastAsia="zh-CN" w:bidi="ar"/>
              </w:rPr>
            </w:pPr>
            <w:r>
              <w:rPr>
                <w:rFonts w:eastAsia="宋体"/>
                <w:color w:val="auto"/>
                <w:kern w:val="0"/>
                <w:sz w:val="20"/>
                <w:szCs w:val="20"/>
                <w:highlight w:val="none"/>
                <w:lang w:bidi="ar"/>
              </w:rPr>
              <w:t>1</w:t>
            </w:r>
            <w:r>
              <w:rPr>
                <w:rFonts w:hint="eastAsia" w:eastAsia="宋体"/>
                <w:color w:val="auto"/>
                <w:kern w:val="0"/>
                <w:sz w:val="20"/>
                <w:szCs w:val="20"/>
                <w:highlight w:val="none"/>
                <w:lang w:eastAsia="zh-CN" w:bidi="ar"/>
              </w:rPr>
              <w:t>.5</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hint="eastAsia" w:eastAsia="宋体"/>
                <w:color w:val="auto"/>
                <w:kern w:val="0"/>
                <w:sz w:val="20"/>
                <w:szCs w:val="20"/>
                <w:highlight w:val="none"/>
                <w:lang w:eastAsia="zh-CN" w:bidi="ar"/>
              </w:rPr>
            </w:pPr>
            <w:r>
              <w:rPr>
                <w:rFonts w:eastAsia="宋体"/>
                <w:color w:val="auto"/>
                <w:kern w:val="0"/>
                <w:sz w:val="20"/>
                <w:szCs w:val="20"/>
                <w:highlight w:val="none"/>
                <w:lang w:bidi="ar"/>
              </w:rPr>
              <w:t>1</w:t>
            </w:r>
            <w:r>
              <w:rPr>
                <w:rFonts w:hint="eastAsia" w:eastAsia="宋体"/>
                <w:color w:val="auto"/>
                <w:kern w:val="0"/>
                <w:sz w:val="20"/>
                <w:szCs w:val="20"/>
                <w:highlight w:val="none"/>
                <w:lang w:eastAsia="zh-CN" w:bidi="ar"/>
              </w:rPr>
              <w:t>.5</w:t>
            </w:r>
          </w:p>
        </w:tc>
        <w:tc>
          <w:tcPr>
            <w:tcW w:w="78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eastAsia="宋体"/>
                <w:color w:val="auto"/>
                <w:kern w:val="0"/>
                <w:sz w:val="20"/>
                <w:szCs w:val="20"/>
                <w:highlight w:val="none"/>
                <w:lang w:bidi="ar"/>
              </w:rPr>
            </w:pPr>
            <w:r>
              <w:rPr>
                <w:rFonts w:eastAsia="宋体"/>
                <w:color w:val="auto"/>
                <w:kern w:val="0"/>
                <w:sz w:val="20"/>
                <w:szCs w:val="20"/>
                <w:highlight w:val="none"/>
                <w:lang w:bidi="ar"/>
              </w:rPr>
              <w:t>100%</w:t>
            </w:r>
          </w:p>
        </w:tc>
      </w:tr>
      <w:tr>
        <w:tblPrEx>
          <w:tblCellMar>
            <w:top w:w="0" w:type="dxa"/>
            <w:left w:w="0" w:type="dxa"/>
            <w:bottom w:w="0" w:type="dxa"/>
            <w:right w:w="0" w:type="dxa"/>
          </w:tblCellMar>
        </w:tblPrEx>
        <w:trPr>
          <w:trHeight w:val="397" w:hRule="atLeast"/>
        </w:trPr>
        <w:tc>
          <w:tcPr>
            <w:tcW w:w="3997"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eastAsia="宋体"/>
                <w:color w:val="auto"/>
                <w:kern w:val="0"/>
                <w:sz w:val="20"/>
                <w:szCs w:val="20"/>
                <w:highlight w:val="none"/>
                <w:lang w:bidi="ar"/>
              </w:rPr>
            </w:pPr>
            <w:r>
              <w:rPr>
                <w:rFonts w:eastAsia="宋体"/>
                <w:color w:val="auto"/>
                <w:kern w:val="0"/>
                <w:sz w:val="20"/>
                <w:szCs w:val="20"/>
                <w:highlight w:val="none"/>
                <w:lang w:bidi="ar"/>
              </w:rPr>
              <w:t>合计</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eastAsia="宋体"/>
                <w:color w:val="auto"/>
                <w:kern w:val="0"/>
                <w:sz w:val="20"/>
                <w:szCs w:val="20"/>
                <w:highlight w:val="none"/>
                <w:lang w:bidi="ar"/>
              </w:rPr>
            </w:pPr>
          </w:p>
        </w:tc>
        <w:tc>
          <w:tcPr>
            <w:tcW w:w="102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eastAsia="宋体"/>
                <w:color w:val="auto"/>
                <w:kern w:val="0"/>
                <w:sz w:val="20"/>
                <w:szCs w:val="20"/>
                <w:highlight w:val="none"/>
                <w:lang w:bidi="ar"/>
              </w:rPr>
            </w:pPr>
          </w:p>
        </w:tc>
        <w:tc>
          <w:tcPr>
            <w:tcW w:w="7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hint="eastAsia" w:eastAsia="宋体"/>
                <w:color w:val="auto"/>
                <w:kern w:val="0"/>
                <w:sz w:val="20"/>
                <w:szCs w:val="20"/>
                <w:highlight w:val="none"/>
                <w:lang w:eastAsia="zh-CN" w:bidi="ar"/>
              </w:rPr>
            </w:pPr>
            <w:r>
              <w:rPr>
                <w:rFonts w:eastAsia="宋体"/>
                <w:color w:val="auto"/>
                <w:kern w:val="0"/>
                <w:sz w:val="20"/>
                <w:szCs w:val="20"/>
                <w:highlight w:val="none"/>
                <w:lang w:bidi="ar"/>
              </w:rPr>
              <w:t>10</w:t>
            </w:r>
          </w:p>
        </w:tc>
        <w:tc>
          <w:tcPr>
            <w:tcW w:w="78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hint="eastAsia" w:eastAsia="宋体"/>
                <w:color w:val="auto"/>
                <w:kern w:val="0"/>
                <w:sz w:val="20"/>
                <w:szCs w:val="20"/>
                <w:highlight w:val="none"/>
                <w:lang w:eastAsia="zh-CN" w:bidi="ar"/>
              </w:rPr>
            </w:pPr>
            <w:r>
              <w:rPr>
                <w:rFonts w:eastAsia="宋体"/>
                <w:color w:val="auto"/>
                <w:kern w:val="0"/>
                <w:sz w:val="20"/>
                <w:szCs w:val="20"/>
                <w:highlight w:val="none"/>
                <w:lang w:bidi="ar"/>
              </w:rPr>
              <w:t>9</w:t>
            </w:r>
            <w:r>
              <w:rPr>
                <w:rFonts w:hint="eastAsia" w:eastAsia="宋体"/>
                <w:color w:val="auto"/>
                <w:kern w:val="0"/>
                <w:sz w:val="20"/>
                <w:szCs w:val="20"/>
                <w:highlight w:val="none"/>
                <w:lang w:eastAsia="zh-CN" w:bidi="ar"/>
              </w:rPr>
              <w:t>.6</w:t>
            </w:r>
          </w:p>
        </w:tc>
        <w:tc>
          <w:tcPr>
            <w:tcW w:w="78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keepLines/>
              <w:adjustRightInd/>
              <w:snapToGrid/>
              <w:spacing w:line="240" w:lineRule="auto"/>
              <w:ind w:firstLine="0" w:firstLineChars="0"/>
              <w:jc w:val="center"/>
              <w:textAlignment w:val="center"/>
              <w:rPr>
                <w:rFonts w:eastAsia="宋体"/>
                <w:color w:val="auto"/>
                <w:kern w:val="0"/>
                <w:sz w:val="20"/>
                <w:szCs w:val="20"/>
                <w:highlight w:val="none"/>
                <w:lang w:bidi="ar"/>
              </w:rPr>
            </w:pPr>
            <w:r>
              <w:rPr>
                <w:rFonts w:eastAsia="宋体"/>
                <w:color w:val="auto"/>
                <w:kern w:val="0"/>
                <w:sz w:val="20"/>
                <w:szCs w:val="20"/>
                <w:highlight w:val="none"/>
                <w:lang w:bidi="ar"/>
              </w:rPr>
              <w:t>96%</w:t>
            </w:r>
          </w:p>
        </w:tc>
      </w:tr>
    </w:tbl>
    <w:p>
      <w:pPr>
        <w:ind w:left="0" w:leftChars="0" w:firstLine="0" w:firstLineChars="0"/>
        <w:rPr>
          <w:rFonts w:hint="eastAsia"/>
          <w:color w:val="auto"/>
          <w:highlight w:val="none"/>
          <w:lang w:eastAsia="zh-CN"/>
        </w:rPr>
      </w:pPr>
    </w:p>
    <w:bookmarkEnd w:id="204"/>
    <w:bookmarkEnd w:id="205"/>
    <w:p>
      <w:pPr>
        <w:keepNext/>
        <w:keepLines/>
        <w:pageBreakBefore w:val="0"/>
        <w:widowControl w:val="0"/>
        <w:kinsoku/>
        <w:wordWrap/>
        <w:overflowPunct/>
        <w:topLinePunct w:val="0"/>
        <w:autoSpaceDE/>
        <w:autoSpaceDN/>
        <w:bidi w:val="0"/>
        <w:spacing w:line="360" w:lineRule="exact"/>
        <w:ind w:left="0" w:leftChars="0" w:firstLine="482" w:firstLineChars="200"/>
        <w:textAlignment w:val="auto"/>
        <w:rPr>
          <w:b/>
          <w:bCs/>
          <w:color w:val="auto"/>
          <w:sz w:val="24"/>
          <w:szCs w:val="28"/>
          <w:highlight w:val="none"/>
        </w:rPr>
      </w:pPr>
      <w:bookmarkStart w:id="217" w:name="_Toc18078"/>
      <w:bookmarkStart w:id="218" w:name="_Toc22260"/>
      <w:r>
        <w:rPr>
          <w:b/>
          <w:bCs/>
          <w:color w:val="auto"/>
          <w:sz w:val="24"/>
          <w:szCs w:val="28"/>
          <w:highlight w:val="none"/>
        </w:rPr>
        <w:t>指标得分分析：</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（1）A11立项依据充分性指标</w:t>
      </w:r>
    </w:p>
    <w:p>
      <w:pPr>
        <w:keepNext/>
        <w:keepLines/>
        <w:ind w:firstLine="420"/>
        <w:rPr>
          <w:rFonts w:eastAsia="宋体"/>
          <w:color w:val="auto"/>
          <w:highlight w:val="none"/>
        </w:rPr>
      </w:pPr>
      <w:r>
        <w:rPr>
          <w:rFonts w:eastAsia="宋体"/>
          <w:color w:val="auto"/>
          <w:highlight w:val="none"/>
        </w:rPr>
        <w:t>①该项目立项符合《中华人民共和国防震减灾法》和《国家中长期教育改革和发展规划纲要（2010—2020年）》，进一步提高全国中小学校舍防震减灾能力，实现城乡中小学校舍安全达标的文件精神；符合教育部、</w:t>
      </w:r>
      <w:r>
        <w:rPr>
          <w:rFonts w:hint="eastAsia" w:eastAsia="宋体"/>
          <w:color w:val="auto"/>
          <w:highlight w:val="none"/>
          <w:lang w:eastAsia="zh-CN"/>
        </w:rPr>
        <w:t>发展和改革委员会</w:t>
      </w:r>
      <w:r>
        <w:rPr>
          <w:rFonts w:eastAsia="宋体"/>
          <w:color w:val="auto"/>
          <w:highlight w:val="none"/>
        </w:rPr>
        <w:t>等联合提出《关于建立中小学校舍安全保障长效机制的意见》提出的加强对校舍的日常管理和定期维护要求；符合《喀什地区国民经济和社会发展第十四个五年规划和2035年远景目标纲要》关于加大对教育事业的投入、改善办学条件的需要。故项目立项符合国家法律法规、国民经济发展规划、行业发展规划和相关政策。</w:t>
      </w:r>
    </w:p>
    <w:p>
      <w:pPr>
        <w:keepNext/>
        <w:keepLines/>
        <w:ind w:firstLine="420" w:firstLineChars="200"/>
        <w:rPr>
          <w:color w:val="auto"/>
          <w:highlight w:val="none"/>
        </w:rPr>
      </w:pPr>
      <w:r>
        <w:rPr>
          <w:rFonts w:eastAsia="宋体"/>
          <w:color w:val="auto"/>
          <w:highlight w:val="none"/>
        </w:rPr>
        <w:t>②该项目立项与《关于印发</w:t>
      </w:r>
      <w:r>
        <w:rPr>
          <w:rFonts w:hint="eastAsia" w:eastAsia="宋体"/>
          <w:color w:val="auto"/>
          <w:highlight w:val="none"/>
          <w:lang w:eastAsia="zh-CN"/>
        </w:rPr>
        <w:t>＜</w:t>
      </w:r>
      <w:r>
        <w:rPr>
          <w:rFonts w:eastAsia="宋体"/>
          <w:color w:val="auto"/>
          <w:highlight w:val="none"/>
        </w:rPr>
        <w:t>巴楚县教育局职能配置、内设机构和人员编制规定&gt;的通知》（巴党办〔2019〕47号）中</w:t>
      </w:r>
      <w:r>
        <w:rPr>
          <w:rFonts w:hint="eastAsia" w:eastAsia="宋体"/>
          <w:color w:val="auto"/>
          <w:highlight w:val="none"/>
        </w:rPr>
        <w:t>“</w:t>
      </w:r>
      <w:r>
        <w:rPr>
          <w:rFonts w:eastAsia="宋体"/>
          <w:color w:val="auto"/>
          <w:highlight w:val="none"/>
        </w:rPr>
        <w:t>全面贯彻执行党和国家有关教育工作的方针政策、</w:t>
      </w:r>
      <w:r>
        <w:rPr>
          <w:rFonts w:hint="eastAsia" w:eastAsia="宋体"/>
          <w:color w:val="auto"/>
          <w:highlight w:val="none"/>
        </w:rPr>
        <w:t>法律法</w:t>
      </w:r>
      <w:r>
        <w:rPr>
          <w:rFonts w:eastAsia="宋体"/>
          <w:color w:val="auto"/>
          <w:highlight w:val="none"/>
        </w:rPr>
        <w:t>规，拟订巴楚县落实自治区、地区教育改革与发展政策和规划的措施、方案，并组织实施</w:t>
      </w:r>
      <w:r>
        <w:rPr>
          <w:rFonts w:hint="eastAsia" w:eastAsia="宋体"/>
          <w:color w:val="auto"/>
          <w:highlight w:val="none"/>
        </w:rPr>
        <w:t>”</w:t>
      </w:r>
      <w:r>
        <w:rPr>
          <w:rFonts w:eastAsia="宋体"/>
          <w:color w:val="auto"/>
          <w:highlight w:val="none"/>
        </w:rPr>
        <w:t>部门职责范围相符，属于部门履职所需。</w:t>
      </w:r>
    </w:p>
    <w:p>
      <w:pPr>
        <w:keepNext/>
        <w:keepLines/>
        <w:ind w:firstLine="420"/>
        <w:rPr>
          <w:color w:val="auto"/>
          <w:highlight w:val="none"/>
        </w:rPr>
      </w:pPr>
      <w:r>
        <w:rPr>
          <w:rFonts w:eastAsia="宋体"/>
          <w:color w:val="auto"/>
          <w:highlight w:val="none"/>
        </w:rPr>
        <w:t>③本项目预算资金来源于2023年城乡义务教育补助经费（中央直达资金），专用于校舍安全保障，该项目资金性质为</w:t>
      </w:r>
      <w:r>
        <w:rPr>
          <w:rFonts w:hint="eastAsia" w:eastAsia="宋体"/>
          <w:color w:val="auto"/>
          <w:highlight w:val="none"/>
        </w:rPr>
        <w:t>“</w:t>
      </w:r>
      <w:r>
        <w:rPr>
          <w:rFonts w:eastAsia="宋体"/>
          <w:color w:val="auto"/>
          <w:highlight w:val="none"/>
        </w:rPr>
        <w:t>一般公共预算资金</w:t>
      </w:r>
      <w:r>
        <w:rPr>
          <w:rFonts w:hint="eastAsia" w:eastAsia="宋体"/>
          <w:color w:val="auto"/>
          <w:highlight w:val="none"/>
        </w:rPr>
        <w:t>”</w:t>
      </w:r>
      <w:r>
        <w:rPr>
          <w:rFonts w:eastAsia="宋体"/>
          <w:color w:val="auto"/>
          <w:highlight w:val="none"/>
        </w:rPr>
        <w:t>，功能分类为</w:t>
      </w:r>
      <w:r>
        <w:rPr>
          <w:rFonts w:hint="eastAsia" w:eastAsia="宋体"/>
          <w:color w:val="auto"/>
          <w:highlight w:val="none"/>
        </w:rPr>
        <w:t>“</w:t>
      </w:r>
      <w:r>
        <w:rPr>
          <w:rFonts w:eastAsia="宋体"/>
          <w:color w:val="auto"/>
          <w:highlight w:val="none"/>
        </w:rPr>
        <w:t>2050299其他普通教育支出</w:t>
      </w:r>
      <w:r>
        <w:rPr>
          <w:rFonts w:hint="eastAsia" w:eastAsia="宋体"/>
          <w:color w:val="auto"/>
          <w:highlight w:val="none"/>
        </w:rPr>
        <w:t>”</w:t>
      </w:r>
      <w:r>
        <w:rPr>
          <w:rFonts w:eastAsia="宋体"/>
          <w:color w:val="auto"/>
          <w:highlight w:val="none"/>
        </w:rPr>
        <w:t>，属于公共财政支持范围，项目符合中央、地方事权支出责任划分原则。</w:t>
      </w:r>
    </w:p>
    <w:p>
      <w:pPr>
        <w:keepNext/>
        <w:keepLines/>
        <w:ind w:firstLine="420"/>
        <w:rPr>
          <w:color w:val="auto"/>
          <w:highlight w:val="none"/>
        </w:rPr>
      </w:pPr>
      <w:r>
        <w:rPr>
          <w:rFonts w:eastAsia="宋体"/>
          <w:color w:val="auto"/>
          <w:highlight w:val="none"/>
        </w:rPr>
        <w:t>④根据《喀什地区国民经济和社会发展第十四个五年规划和2035年远景目标纲要》，要加大对教育事业的投入，改善办学条件。巴楚县各学校基础设施由于建设时间较长，维修不及时，存在大量基础设施损坏问题，无法满足师生正常学习及生活，巴楚县乡村中小学等学校申请对校区基础设施进</w:t>
      </w:r>
      <w:r>
        <w:rPr>
          <w:color w:val="auto"/>
          <w:highlight w:val="none"/>
        </w:rPr>
        <w:t>行维修改造，提升学校配套设施条件。故项目提供的产品和服务符合针对当前国家及行业的现实需求，符合巴楚县乡村小学的实际问题和需求。</w:t>
      </w:r>
    </w:p>
    <w:p>
      <w:pPr>
        <w:keepNext/>
        <w:keepLines/>
        <w:ind w:firstLine="420"/>
        <w:rPr>
          <w:color w:val="auto"/>
          <w:highlight w:val="none"/>
        </w:rPr>
      </w:pPr>
      <w:r>
        <w:rPr>
          <w:color w:val="auto"/>
          <w:highlight w:val="none"/>
        </w:rPr>
        <w:t>该指标满分为1</w:t>
      </w:r>
      <w:r>
        <w:rPr>
          <w:rFonts w:hint="eastAsia"/>
          <w:color w:val="auto"/>
          <w:highlight w:val="none"/>
          <w:lang w:eastAsia="zh-CN"/>
        </w:rPr>
        <w:t>.5</w:t>
      </w:r>
      <w:r>
        <w:rPr>
          <w:color w:val="auto"/>
          <w:highlight w:val="none"/>
        </w:rPr>
        <w:t>分，根据评分标准得1</w:t>
      </w:r>
      <w:r>
        <w:rPr>
          <w:rFonts w:hint="eastAsia"/>
          <w:color w:val="auto"/>
          <w:highlight w:val="none"/>
          <w:lang w:eastAsia="zh-CN"/>
        </w:rPr>
        <w:t>.5</w:t>
      </w:r>
      <w:r>
        <w:rPr>
          <w:color w:val="auto"/>
          <w:highlight w:val="none"/>
        </w:rPr>
        <w:t>分。</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（2）A12立项程序规范性指标</w:t>
      </w:r>
    </w:p>
    <w:p>
      <w:pPr>
        <w:keepNext/>
        <w:keepLines/>
        <w:ind w:firstLine="420"/>
        <w:rPr>
          <w:color w:val="auto"/>
          <w:highlight w:val="none"/>
        </w:rPr>
      </w:pPr>
      <w:r>
        <w:rPr>
          <w:color w:val="auto"/>
          <w:highlight w:val="none"/>
        </w:rPr>
        <w:t>①巴楚县教育局委托中晏建设集团有限公司编制《喀什地区巴楚县2023年城乡义务教育农村校舍安全保障长效机制项目（第一批）可行性研究报告（代项目建议书）》，并向巴楚县发展和改革委员会提交《关于喀什地区巴楚县2023年城乡义务教育农村校舍安全保障长效机制项目（第一批）可行性研究报告（代项目建议书）的请示》及相关材料。2023年4月24日，巴楚县发展和改革委员会下发《关于喀什地区巴楚县2023年城乡义务教育农村校舍安全保障长效机制项目（第一批）可行性研究报告（代项目建议书）的批复》（巴发改项目〔2023〕95号），同意项目实施。项目按照规定的程序申请设立，按要求完成可研及立项批复，事前已经过必要的可行性研究、专家论证及集体决策等。</w:t>
      </w:r>
    </w:p>
    <w:p>
      <w:pPr>
        <w:keepNext/>
        <w:keepLines/>
        <w:ind w:firstLine="420"/>
        <w:rPr>
          <w:color w:val="auto"/>
          <w:highlight w:val="none"/>
        </w:rPr>
      </w:pPr>
      <w:r>
        <w:rPr>
          <w:rFonts w:eastAsia="宋体"/>
          <w:color w:val="auto"/>
          <w:highlight w:val="none"/>
        </w:rPr>
        <w:t>②巴楚县教育局积极开展项目前期准备工作，严格按照项目基本建</w:t>
      </w:r>
      <w:r>
        <w:rPr>
          <w:rFonts w:hint="eastAsia" w:eastAsia="宋体"/>
          <w:color w:val="auto"/>
          <w:highlight w:val="none"/>
        </w:rPr>
        <w:t>设程</w:t>
      </w:r>
      <w:r>
        <w:rPr>
          <w:rFonts w:eastAsia="宋体"/>
          <w:color w:val="auto"/>
          <w:highlight w:val="none"/>
        </w:rPr>
        <w:t>序，办理相关手</w:t>
      </w:r>
    </w:p>
    <w:p>
      <w:pPr>
        <w:keepNext/>
        <w:keepLines/>
        <w:ind w:firstLine="420"/>
        <w:rPr>
          <w:rFonts w:hint="default" w:eastAsia="宋体"/>
          <w:color w:val="auto"/>
          <w:highlight w:val="none"/>
          <w:lang w:val="en-US" w:eastAsia="zh-CN"/>
        </w:rPr>
      </w:pPr>
      <w:r>
        <w:rPr>
          <w:rFonts w:eastAsia="宋体"/>
          <w:color w:val="auto"/>
          <w:highlight w:val="none"/>
        </w:rPr>
        <w:t>续，组织项目实施。巴楚县教育局于2023年5月17日取得巴楚县自然资</w:t>
      </w:r>
      <w:r>
        <w:rPr>
          <w:rFonts w:hint="eastAsia" w:eastAsia="宋体"/>
          <w:color w:val="auto"/>
          <w:highlight w:val="none"/>
        </w:rPr>
        <w:t>源局</w:t>
      </w:r>
      <w:r>
        <w:rPr>
          <w:rFonts w:eastAsia="宋体"/>
          <w:color w:val="auto"/>
          <w:highlight w:val="none"/>
        </w:rPr>
        <w:t>颁发的乡村建设规划许可证；2023年5月17日取得巴楚县自然资</w:t>
      </w:r>
      <w:r>
        <w:rPr>
          <w:rFonts w:hint="eastAsia" w:eastAsia="宋体"/>
          <w:color w:val="auto"/>
          <w:highlight w:val="none"/>
        </w:rPr>
        <w:t>源局</w:t>
      </w:r>
      <w:r>
        <w:rPr>
          <w:rFonts w:eastAsia="宋体"/>
          <w:color w:val="auto"/>
          <w:highlight w:val="none"/>
        </w:rPr>
        <w:t>颁发的建设工程规划许可证；</w:t>
      </w:r>
    </w:p>
    <w:p>
      <w:pPr>
        <w:keepNext/>
        <w:keepLines/>
        <w:ind w:left="0" w:leftChars="0" w:firstLine="0" w:firstLineChars="0"/>
        <w:rPr>
          <w:rFonts w:eastAsia="宋体"/>
          <w:color w:val="auto"/>
          <w:highlight w:val="none"/>
        </w:rPr>
      </w:pPr>
      <w:r>
        <w:rPr>
          <w:rFonts w:eastAsia="宋体"/>
          <w:color w:val="auto"/>
          <w:highlight w:val="none"/>
        </w:rPr>
        <w:t>2023年5月取得77份施工图设计文件审查合格证书（喀什地区建筑工程施工图审查中心）；项目前期手续齐全，符合相关要求。</w:t>
      </w:r>
    </w:p>
    <w:p>
      <w:pPr>
        <w:keepNext/>
        <w:keepLines/>
        <w:ind w:firstLine="420"/>
        <w:rPr>
          <w:color w:val="auto"/>
          <w:highlight w:val="none"/>
        </w:rPr>
      </w:pPr>
      <w:r>
        <w:rPr>
          <w:color w:val="auto"/>
          <w:highlight w:val="none"/>
        </w:rPr>
        <w:t>该指标满分为1</w:t>
      </w:r>
      <w:r>
        <w:rPr>
          <w:rFonts w:hint="eastAsia"/>
          <w:color w:val="auto"/>
          <w:highlight w:val="none"/>
          <w:lang w:eastAsia="zh-CN"/>
        </w:rPr>
        <w:t>.5</w:t>
      </w:r>
      <w:r>
        <w:rPr>
          <w:color w:val="auto"/>
          <w:highlight w:val="none"/>
        </w:rPr>
        <w:t>分，根据评分标准得1</w:t>
      </w:r>
      <w:r>
        <w:rPr>
          <w:rFonts w:hint="eastAsia"/>
          <w:color w:val="auto"/>
          <w:highlight w:val="none"/>
          <w:lang w:eastAsia="zh-CN"/>
        </w:rPr>
        <w:t>.5</w:t>
      </w:r>
      <w:r>
        <w:rPr>
          <w:color w:val="auto"/>
          <w:highlight w:val="none"/>
        </w:rPr>
        <w:t>分。</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rFonts w:hint="eastAsia"/>
          <w:b/>
          <w:bCs/>
          <w:color w:val="auto"/>
          <w:sz w:val="24"/>
          <w:szCs w:val="28"/>
          <w:highlight w:val="none"/>
          <w:lang w:eastAsia="zh-CN"/>
        </w:rPr>
        <w:t>（</w:t>
      </w:r>
      <w:r>
        <w:rPr>
          <w:rFonts w:hint="eastAsia"/>
          <w:b/>
          <w:bCs/>
          <w:color w:val="auto"/>
          <w:sz w:val="24"/>
          <w:szCs w:val="28"/>
          <w:highlight w:val="none"/>
          <w:lang w:val="en-US" w:eastAsia="zh-CN"/>
        </w:rPr>
        <w:t>3）</w:t>
      </w:r>
      <w:r>
        <w:rPr>
          <w:b/>
          <w:bCs/>
          <w:color w:val="auto"/>
          <w:sz w:val="24"/>
          <w:szCs w:val="28"/>
          <w:highlight w:val="none"/>
        </w:rPr>
        <w:t>A21绩效目标合理性指标</w:t>
      </w:r>
    </w:p>
    <w:p>
      <w:pPr>
        <w:keepNext/>
        <w:keepLines/>
        <w:ind w:firstLine="420"/>
        <w:rPr>
          <w:rFonts w:eastAsia="宋体"/>
          <w:color w:val="auto"/>
          <w:highlight w:val="none"/>
        </w:rPr>
      </w:pPr>
      <w:r>
        <w:rPr>
          <w:rFonts w:eastAsia="宋体"/>
          <w:color w:val="auto"/>
          <w:highlight w:val="none"/>
        </w:rPr>
        <w:t>①根据项目实施单位</w:t>
      </w:r>
      <w:r>
        <w:rPr>
          <w:rFonts w:hint="eastAsia" w:eastAsia="宋体"/>
          <w:color w:val="auto"/>
          <w:highlight w:val="none"/>
          <w:lang w:eastAsia="zh-CN"/>
        </w:rPr>
        <w:t>项目支出绩效目标表</w:t>
      </w:r>
      <w:r>
        <w:rPr>
          <w:rFonts w:eastAsia="宋体"/>
          <w:color w:val="auto"/>
          <w:highlight w:val="none"/>
        </w:rPr>
        <w:t>，项目有绩效目标，具体目标内容是：</w:t>
      </w:r>
      <w:r>
        <w:rPr>
          <w:rFonts w:hint="eastAsia" w:eastAsia="宋体"/>
          <w:color w:val="auto"/>
          <w:highlight w:val="none"/>
        </w:rPr>
        <w:t>“</w:t>
      </w:r>
      <w:r>
        <w:rPr>
          <w:rFonts w:eastAsia="宋体"/>
          <w:color w:val="auto"/>
          <w:highlight w:val="none"/>
        </w:rPr>
        <w:t>本项目主要实施内容为保障7个学校维修改造工程款的支付，项目总投资1800万元，平均每所学校改造工程款为257.14万元。通过本项目的设施，有效提升学校基础设施水平，使受益学生及老师满意度达到95%以上</w:t>
      </w:r>
      <w:r>
        <w:rPr>
          <w:rFonts w:hint="eastAsia" w:eastAsia="宋体"/>
          <w:color w:val="auto"/>
          <w:highlight w:val="none"/>
        </w:rPr>
        <w:t>”</w:t>
      </w:r>
      <w:r>
        <w:rPr>
          <w:rFonts w:eastAsia="宋体"/>
          <w:color w:val="auto"/>
          <w:highlight w:val="none"/>
        </w:rPr>
        <w:t>。</w:t>
      </w:r>
    </w:p>
    <w:p>
      <w:pPr>
        <w:keepNext/>
        <w:keepLines/>
        <w:ind w:firstLine="420"/>
        <w:rPr>
          <w:rFonts w:eastAsia="宋体"/>
          <w:color w:val="auto"/>
          <w:highlight w:val="none"/>
        </w:rPr>
      </w:pPr>
      <w:r>
        <w:rPr>
          <w:rFonts w:eastAsia="宋体"/>
          <w:color w:val="auto"/>
          <w:highlight w:val="none"/>
        </w:rPr>
        <w:t>②经查阅项目资料，本项目资金均用于巴楚县乡村中小学维修改造的工程款和前期费，项目绩效目标与实际工作内容具有相关性。</w:t>
      </w:r>
    </w:p>
    <w:p>
      <w:pPr>
        <w:keepNext/>
        <w:keepLines/>
        <w:ind w:firstLine="420"/>
        <w:rPr>
          <w:rFonts w:eastAsia="宋体"/>
          <w:color w:val="auto"/>
          <w:highlight w:val="none"/>
        </w:rPr>
      </w:pPr>
      <w:r>
        <w:rPr>
          <w:rFonts w:eastAsia="宋体"/>
          <w:color w:val="auto"/>
          <w:highlight w:val="none"/>
        </w:rPr>
        <w:t>③该项目通过校舍维修改造，提升学校基础设施水平，使受益学生及老师满意度达</w:t>
      </w:r>
      <w:r>
        <w:rPr>
          <w:rFonts w:hint="eastAsia" w:eastAsia="宋体"/>
          <w:color w:val="auto"/>
          <w:highlight w:val="none"/>
        </w:rPr>
        <w:t>到</w:t>
      </w:r>
    </w:p>
    <w:p>
      <w:pPr>
        <w:keepNext/>
        <w:keepLines/>
        <w:ind w:firstLine="0" w:firstLineChars="0"/>
        <w:rPr>
          <w:rFonts w:eastAsia="宋体"/>
          <w:color w:val="auto"/>
          <w:highlight w:val="none"/>
        </w:rPr>
      </w:pPr>
      <w:r>
        <w:rPr>
          <w:rFonts w:eastAsia="宋体"/>
          <w:color w:val="auto"/>
          <w:highlight w:val="none"/>
        </w:rPr>
        <w:t>95%以上，项目预期产出效益和效果根据项目的实际用途设置，符合正常的业绩水平。</w:t>
      </w:r>
    </w:p>
    <w:p>
      <w:pPr>
        <w:keepNext/>
        <w:keepLines/>
        <w:ind w:firstLine="420"/>
        <w:rPr>
          <w:rFonts w:eastAsia="宋体"/>
          <w:color w:val="auto"/>
          <w:highlight w:val="none"/>
        </w:rPr>
      </w:pPr>
      <w:r>
        <w:rPr>
          <w:rFonts w:eastAsia="宋体"/>
          <w:color w:val="auto"/>
          <w:highlight w:val="none"/>
        </w:rPr>
        <w:t>④经查阅项目资金下达文件，该项目到位资金1</w:t>
      </w:r>
      <w:r>
        <w:rPr>
          <w:rFonts w:hint="eastAsia" w:eastAsia="宋体"/>
          <w:color w:val="auto"/>
          <w:highlight w:val="none"/>
          <w:lang w:eastAsia="zh-CN"/>
        </w:rPr>
        <w:t>，</w:t>
      </w:r>
      <w:r>
        <w:rPr>
          <w:rFonts w:eastAsia="宋体"/>
          <w:color w:val="auto"/>
          <w:highlight w:val="none"/>
        </w:rPr>
        <w:t>800万元。根据</w:t>
      </w:r>
      <w:r>
        <w:rPr>
          <w:rFonts w:hint="eastAsia" w:eastAsia="宋体"/>
          <w:color w:val="auto"/>
          <w:highlight w:val="none"/>
          <w:lang w:eastAsia="zh-CN"/>
        </w:rPr>
        <w:t>项目支出绩效目标表</w:t>
      </w:r>
      <w:r>
        <w:rPr>
          <w:rFonts w:eastAsia="宋体"/>
          <w:color w:val="auto"/>
          <w:highlight w:val="none"/>
        </w:rPr>
        <w:t>，绩效目标表填报的预算资金总额度与到位资金一致，故绩效目标确定的预算与预算确定的项目资金量匹配。</w:t>
      </w:r>
    </w:p>
    <w:p>
      <w:pPr>
        <w:keepNext/>
        <w:keepLines/>
        <w:ind w:firstLine="420"/>
        <w:rPr>
          <w:color w:val="auto"/>
          <w:highlight w:val="none"/>
        </w:rPr>
      </w:pPr>
      <w:r>
        <w:rPr>
          <w:color w:val="auto"/>
          <w:highlight w:val="none"/>
        </w:rPr>
        <w:t>该指标满分为2分，根据评分标准得2分。</w:t>
      </w:r>
    </w:p>
    <w:p>
      <w:pPr>
        <w:keepNext/>
        <w:keepLines/>
        <w:pageBreakBefore w:val="0"/>
        <w:widowControl w:val="0"/>
        <w:kinsoku/>
        <w:wordWrap/>
        <w:overflowPunct/>
        <w:topLinePunct w:val="0"/>
        <w:autoSpaceDE/>
        <w:autoSpaceDN/>
        <w:bidi w:val="0"/>
        <w:spacing w:line="360" w:lineRule="exact"/>
        <w:ind w:firstLine="482"/>
        <w:textAlignment w:val="auto"/>
        <w:rPr>
          <w:rFonts w:hint="eastAsia"/>
          <w:b/>
          <w:bCs/>
          <w:color w:val="auto"/>
          <w:sz w:val="24"/>
          <w:szCs w:val="28"/>
          <w:highlight w:val="none"/>
          <w:lang w:val="en-US" w:eastAsia="zh-CN"/>
        </w:rPr>
      </w:pPr>
      <w:r>
        <w:rPr>
          <w:rFonts w:hint="eastAsia"/>
          <w:b/>
          <w:bCs/>
          <w:color w:val="auto"/>
          <w:sz w:val="24"/>
          <w:szCs w:val="28"/>
          <w:highlight w:val="none"/>
          <w:lang w:val="en-US" w:eastAsia="zh-CN"/>
        </w:rPr>
        <w:t>（4）A22绩效指标明确性指标</w:t>
      </w:r>
    </w:p>
    <w:p>
      <w:pPr>
        <w:keepNext/>
        <w:keepLines/>
        <w:ind w:firstLine="420"/>
        <w:rPr>
          <w:rFonts w:eastAsia="宋体"/>
          <w:color w:val="auto"/>
          <w:highlight w:val="none"/>
        </w:rPr>
      </w:pPr>
      <w:r>
        <w:rPr>
          <w:rFonts w:eastAsia="宋体"/>
          <w:color w:val="auto"/>
          <w:highlight w:val="none"/>
        </w:rPr>
        <w:t>①根据</w:t>
      </w:r>
      <w:r>
        <w:rPr>
          <w:rFonts w:hint="eastAsia" w:eastAsia="宋体"/>
          <w:color w:val="auto"/>
          <w:highlight w:val="none"/>
          <w:lang w:eastAsia="zh-CN"/>
        </w:rPr>
        <w:t>项目支出绩效目标表</w:t>
      </w:r>
      <w:r>
        <w:rPr>
          <w:rFonts w:eastAsia="宋体"/>
          <w:color w:val="auto"/>
          <w:highlight w:val="none"/>
        </w:rPr>
        <w:t>分析可知，该项目共设立一级指标4个，二级指标6个，三级指标11个，项目实施单位已将绩效目标细化分解为具体的绩效指标。</w:t>
      </w:r>
    </w:p>
    <w:p>
      <w:pPr>
        <w:keepNext/>
        <w:keepLines/>
        <w:ind w:firstLine="420"/>
        <w:rPr>
          <w:rFonts w:eastAsia="宋体"/>
          <w:color w:val="auto"/>
          <w:highlight w:val="none"/>
        </w:rPr>
      </w:pPr>
      <w:r>
        <w:rPr>
          <w:rFonts w:eastAsia="宋体"/>
          <w:color w:val="auto"/>
          <w:highlight w:val="none"/>
        </w:rPr>
        <w:t>②该项目已设置三级指标11个，其中定量指标8个，定性指标3个，指标量化率为72.73％，指标量化率达到目标。经评价分析，项目实施后可产生预期的社会效益，项目指标设置有相应的时效指标，项目绩效目标设置与预算关联性紧密。</w:t>
      </w:r>
    </w:p>
    <w:p>
      <w:pPr>
        <w:keepNext/>
        <w:keepLines/>
        <w:ind w:firstLine="420"/>
        <w:rPr>
          <w:rFonts w:eastAsia="宋体"/>
          <w:color w:val="auto"/>
          <w:highlight w:val="none"/>
        </w:rPr>
      </w:pPr>
      <w:r>
        <w:rPr>
          <w:rFonts w:eastAsia="宋体"/>
          <w:color w:val="auto"/>
          <w:highlight w:val="none"/>
        </w:rPr>
        <w:t>但是，根据项目立项批复，项目计划完成14所学校的维修改造，绩效目标显示为</w:t>
      </w:r>
      <w:r>
        <w:rPr>
          <w:rFonts w:hint="eastAsia" w:eastAsia="宋体"/>
          <w:color w:val="auto"/>
          <w:highlight w:val="none"/>
          <w:lang w:val="en-US" w:eastAsia="zh-CN"/>
        </w:rPr>
        <w:t>计划</w:t>
      </w:r>
      <w:r>
        <w:rPr>
          <w:rFonts w:eastAsia="宋体"/>
          <w:color w:val="auto"/>
          <w:highlight w:val="none"/>
        </w:rPr>
        <w:t>完成7所学校维修改造，绩效指标与项目计划数不一致，导致成本指标平均维修改造工程款设置错误，根据评分标准，扣0</w:t>
      </w:r>
      <w:r>
        <w:rPr>
          <w:rFonts w:hint="eastAsia" w:eastAsia="宋体"/>
          <w:color w:val="auto"/>
          <w:highlight w:val="none"/>
          <w:lang w:eastAsia="zh-CN"/>
        </w:rPr>
        <w:t>.4</w:t>
      </w:r>
      <w:r>
        <w:rPr>
          <w:rFonts w:eastAsia="宋体"/>
          <w:color w:val="auto"/>
          <w:highlight w:val="none"/>
        </w:rPr>
        <w:t>分。</w:t>
      </w:r>
    </w:p>
    <w:p>
      <w:pPr>
        <w:keepNext/>
        <w:keepLines/>
        <w:ind w:firstLine="420"/>
        <w:rPr>
          <w:color w:val="auto"/>
          <w:highlight w:val="none"/>
        </w:rPr>
      </w:pPr>
      <w:r>
        <w:rPr>
          <w:color w:val="auto"/>
          <w:highlight w:val="none"/>
        </w:rPr>
        <w:t>该指标满分为2分，根据评分标准得1</w:t>
      </w:r>
      <w:r>
        <w:rPr>
          <w:rFonts w:hint="eastAsia"/>
          <w:color w:val="auto"/>
          <w:highlight w:val="none"/>
          <w:lang w:eastAsia="zh-CN"/>
        </w:rPr>
        <w:t>.6</w:t>
      </w:r>
      <w:r>
        <w:rPr>
          <w:color w:val="auto"/>
          <w:highlight w:val="none"/>
        </w:rPr>
        <w:t>分。</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rFonts w:hint="eastAsia"/>
          <w:b/>
          <w:bCs/>
          <w:color w:val="auto"/>
          <w:sz w:val="24"/>
          <w:szCs w:val="28"/>
          <w:highlight w:val="none"/>
          <w:lang w:eastAsia="zh-CN"/>
        </w:rPr>
        <w:t>（</w:t>
      </w:r>
      <w:r>
        <w:rPr>
          <w:rFonts w:hint="eastAsia"/>
          <w:b/>
          <w:bCs/>
          <w:color w:val="auto"/>
          <w:sz w:val="24"/>
          <w:szCs w:val="28"/>
          <w:highlight w:val="none"/>
          <w:lang w:val="en-US" w:eastAsia="zh-CN"/>
        </w:rPr>
        <w:t>5）</w:t>
      </w:r>
      <w:r>
        <w:rPr>
          <w:b/>
          <w:bCs/>
          <w:color w:val="auto"/>
          <w:sz w:val="24"/>
          <w:szCs w:val="28"/>
          <w:highlight w:val="none"/>
        </w:rPr>
        <w:t>A31预算编制科学性指标</w:t>
      </w:r>
    </w:p>
    <w:p>
      <w:pPr>
        <w:keepNext/>
        <w:keepLines/>
        <w:ind w:firstLine="420"/>
        <w:rPr>
          <w:color w:val="auto"/>
          <w:highlight w:val="none"/>
        </w:rPr>
      </w:pPr>
      <w:r>
        <w:rPr>
          <w:rFonts w:hint="eastAsia" w:eastAsia="宋体"/>
          <w:color w:val="auto"/>
          <w:highlight w:val="none"/>
          <w:lang w:eastAsia="zh-CN"/>
        </w:rPr>
        <w:t>根据喀什地区巴楚县2023年城乡义务教育农村校舍安全保障长效机制项目（第一批）可行性研究报告（代项目建议书）</w:t>
      </w:r>
      <w:r>
        <w:rPr>
          <w:rFonts w:eastAsia="宋体"/>
          <w:color w:val="auto"/>
          <w:highlight w:val="none"/>
        </w:rPr>
        <w:t>，该项目投资估算按照工程建设行业规定的估算方法和标准进行编制，估算内容较为全面，且项目建议书经巴楚县发展和改革委员会审核通过，经批复的项目投资额和项目建议书预算编制的投资额一致，项目预算编制经过科学论证，预算额度分配依据充分，按照标准编制。</w:t>
      </w:r>
    </w:p>
    <w:p>
      <w:pPr>
        <w:keepNext/>
        <w:keepLines/>
        <w:ind w:firstLine="420"/>
        <w:rPr>
          <w:color w:val="auto"/>
          <w:highlight w:val="none"/>
        </w:rPr>
      </w:pPr>
      <w:r>
        <w:rPr>
          <w:color w:val="auto"/>
          <w:highlight w:val="none"/>
        </w:rPr>
        <w:t>该指标满分为1</w:t>
      </w:r>
      <w:r>
        <w:rPr>
          <w:rFonts w:hint="eastAsia"/>
          <w:color w:val="auto"/>
          <w:highlight w:val="none"/>
          <w:lang w:eastAsia="zh-CN"/>
        </w:rPr>
        <w:t>.5</w:t>
      </w:r>
      <w:r>
        <w:rPr>
          <w:color w:val="auto"/>
          <w:highlight w:val="none"/>
        </w:rPr>
        <w:t>分，根据评分标准得1</w:t>
      </w:r>
      <w:r>
        <w:rPr>
          <w:rFonts w:hint="eastAsia"/>
          <w:color w:val="auto"/>
          <w:highlight w:val="none"/>
          <w:lang w:eastAsia="zh-CN"/>
        </w:rPr>
        <w:t>.5</w:t>
      </w:r>
      <w:r>
        <w:rPr>
          <w:color w:val="auto"/>
          <w:highlight w:val="none"/>
        </w:rPr>
        <w:t>分。</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（6）A32资金分配合理性指标</w:t>
      </w:r>
    </w:p>
    <w:p>
      <w:pPr>
        <w:keepNext/>
        <w:keepLines/>
        <w:ind w:firstLine="420"/>
        <w:rPr>
          <w:color w:val="auto"/>
          <w:highlight w:val="none"/>
        </w:rPr>
      </w:pPr>
      <w:r>
        <w:rPr>
          <w:rFonts w:hint="eastAsia" w:eastAsia="宋体"/>
          <w:color w:val="auto"/>
          <w:highlight w:val="none"/>
          <w:lang w:eastAsia="zh-CN"/>
        </w:rPr>
        <w:t>根据喀什地区巴楚县2023年城乡义务教育农村校舍安全保障长效机制项目（第一批）可行性研究报告（代项目建议书）</w:t>
      </w:r>
      <w:r>
        <w:rPr>
          <w:rFonts w:eastAsia="宋体"/>
          <w:color w:val="auto"/>
          <w:highlight w:val="none"/>
        </w:rPr>
        <w:t>及立项批复，项目按照项目建议书结果及批复预算额度分配项目资金，预算资金分配依据较为充分。</w:t>
      </w:r>
      <w:r>
        <w:rPr>
          <w:rFonts w:hint="eastAsia" w:eastAsia="宋体"/>
          <w:color w:val="auto"/>
          <w:highlight w:val="none"/>
        </w:rPr>
        <w:t>因项目尚未开展竣工决算审计，</w:t>
      </w:r>
      <w:r>
        <w:rPr>
          <w:rFonts w:eastAsia="宋体"/>
          <w:color w:val="auto"/>
          <w:highlight w:val="none"/>
        </w:rPr>
        <w:t>经查证项目采购合同和验收记录等实际工作情况，</w:t>
      </w:r>
      <w:r>
        <w:rPr>
          <w:rFonts w:hint="eastAsia" w:eastAsia="宋体"/>
          <w:color w:val="auto"/>
          <w:highlight w:val="none"/>
        </w:rPr>
        <w:t>参照</w:t>
      </w:r>
      <w:r>
        <w:rPr>
          <w:rFonts w:eastAsia="宋体"/>
          <w:color w:val="auto"/>
          <w:highlight w:val="none"/>
        </w:rPr>
        <w:t>项目实际合同总额为1</w:t>
      </w:r>
      <w:r>
        <w:rPr>
          <w:rFonts w:hint="eastAsia" w:eastAsia="宋体"/>
          <w:color w:val="auto"/>
          <w:highlight w:val="none"/>
          <w:lang w:eastAsia="zh-CN"/>
        </w:rPr>
        <w:t>，</w:t>
      </w:r>
      <w:r>
        <w:rPr>
          <w:rFonts w:eastAsia="宋体"/>
          <w:color w:val="auto"/>
          <w:highlight w:val="none"/>
        </w:rPr>
        <w:t>567.09万元，在预算规模内完成维修改造工作，资金分配额度合理，与项目单位实际相适应。</w:t>
      </w:r>
    </w:p>
    <w:p>
      <w:pPr>
        <w:keepNext/>
        <w:keepLines/>
        <w:ind w:firstLine="420"/>
        <w:rPr>
          <w:color w:val="auto"/>
          <w:highlight w:val="none"/>
        </w:rPr>
      </w:pPr>
      <w:r>
        <w:rPr>
          <w:color w:val="auto"/>
          <w:highlight w:val="none"/>
        </w:rPr>
        <w:t>该指标满分为1</w:t>
      </w:r>
      <w:r>
        <w:rPr>
          <w:rFonts w:hint="eastAsia"/>
          <w:color w:val="auto"/>
          <w:highlight w:val="none"/>
          <w:lang w:eastAsia="zh-CN"/>
        </w:rPr>
        <w:t>.5</w:t>
      </w:r>
      <w:r>
        <w:rPr>
          <w:color w:val="auto"/>
          <w:highlight w:val="none"/>
        </w:rPr>
        <w:t>分，根据评分标准得1</w:t>
      </w:r>
      <w:r>
        <w:rPr>
          <w:rFonts w:hint="eastAsia"/>
          <w:color w:val="auto"/>
          <w:highlight w:val="none"/>
          <w:lang w:eastAsia="zh-CN"/>
        </w:rPr>
        <w:t>.5</w:t>
      </w:r>
      <w:r>
        <w:rPr>
          <w:color w:val="auto"/>
          <w:highlight w:val="none"/>
        </w:rPr>
        <w:t>分。</w:t>
      </w:r>
    </w:p>
    <w:p>
      <w:pPr>
        <w:pStyle w:val="3"/>
        <w:ind w:firstLine="482"/>
        <w:rPr>
          <w:rFonts w:ascii="Times New Roman" w:hAnsi="Times New Roman" w:cs="Times New Roman" w:eastAsiaTheme="minorEastAsia"/>
          <w:b/>
          <w:bCs/>
          <w:color w:val="auto"/>
          <w:kern w:val="2"/>
          <w:sz w:val="24"/>
          <w:szCs w:val="28"/>
          <w:highlight w:val="none"/>
          <w:lang w:val="en-US" w:eastAsia="zh-CN" w:bidi="ar-SA"/>
        </w:rPr>
      </w:pPr>
      <w:bookmarkStart w:id="219" w:name="_Toc24830"/>
      <w:bookmarkStart w:id="220" w:name="_Toc7017"/>
      <w:bookmarkStart w:id="221" w:name="_Toc15245"/>
      <w:bookmarkStart w:id="222" w:name="_Toc29703"/>
      <w:bookmarkStart w:id="223" w:name="_Toc25310"/>
      <w:bookmarkStart w:id="224" w:name="_Toc32209"/>
      <w:bookmarkStart w:id="225" w:name="_Toc8030"/>
      <w:bookmarkStart w:id="226" w:name="_Toc10069"/>
      <w:bookmarkStart w:id="227" w:name="_Toc10157"/>
      <w:r>
        <w:rPr>
          <w:rFonts w:ascii="Times New Roman" w:hAnsi="Times New Roman" w:cs="Times New Roman" w:eastAsiaTheme="minorEastAsia"/>
          <w:b/>
          <w:bCs/>
          <w:color w:val="auto"/>
          <w:kern w:val="2"/>
          <w:sz w:val="24"/>
          <w:szCs w:val="28"/>
          <w:highlight w:val="none"/>
          <w:lang w:val="en-US" w:eastAsia="zh-CN" w:bidi="ar-SA"/>
        </w:rPr>
        <w:t>（二）项目过程情况</w:t>
      </w:r>
      <w:bookmarkEnd w:id="219"/>
      <w:bookmarkEnd w:id="220"/>
      <w:bookmarkEnd w:id="221"/>
      <w:bookmarkEnd w:id="222"/>
      <w:bookmarkEnd w:id="223"/>
      <w:bookmarkEnd w:id="224"/>
      <w:bookmarkEnd w:id="225"/>
      <w:bookmarkEnd w:id="226"/>
      <w:bookmarkEnd w:id="227"/>
    </w:p>
    <w:p>
      <w:pPr>
        <w:keepNext/>
        <w:keepLines/>
        <w:ind w:firstLine="420"/>
        <w:rPr>
          <w:color w:val="auto"/>
          <w:highlight w:val="none"/>
        </w:rPr>
      </w:pPr>
      <w:r>
        <w:rPr>
          <w:color w:val="auto"/>
          <w:highlight w:val="none"/>
        </w:rPr>
        <w:t>项目过程类指标由</w:t>
      </w:r>
      <w:r>
        <w:rPr>
          <w:rFonts w:hint="eastAsia"/>
          <w:color w:val="auto"/>
          <w:highlight w:val="none"/>
        </w:rPr>
        <w:t>2</w:t>
      </w:r>
      <w:r>
        <w:rPr>
          <w:color w:val="auto"/>
          <w:highlight w:val="none"/>
        </w:rPr>
        <w:t>个二级指标和</w:t>
      </w:r>
      <w:r>
        <w:rPr>
          <w:rFonts w:hint="eastAsia"/>
          <w:color w:val="auto"/>
          <w:highlight w:val="none"/>
        </w:rPr>
        <w:t>5</w:t>
      </w:r>
      <w:r>
        <w:rPr>
          <w:color w:val="auto"/>
          <w:highlight w:val="none"/>
        </w:rPr>
        <w:t>个三级指标构成，权重分</w:t>
      </w:r>
      <w:r>
        <w:rPr>
          <w:rFonts w:hint="eastAsia"/>
          <w:color w:val="auto"/>
          <w:highlight w:val="none"/>
        </w:rPr>
        <w:t>25</w:t>
      </w:r>
      <w:r>
        <w:rPr>
          <w:color w:val="auto"/>
          <w:highlight w:val="none"/>
        </w:rPr>
        <w:t>分，实际得分</w:t>
      </w:r>
      <w:r>
        <w:rPr>
          <w:rFonts w:hint="eastAsia"/>
          <w:color w:val="auto"/>
          <w:highlight w:val="none"/>
        </w:rPr>
        <w:t>18</w:t>
      </w:r>
      <w:r>
        <w:rPr>
          <w:color w:val="auto"/>
          <w:highlight w:val="none"/>
        </w:rPr>
        <w:t>分</w:t>
      </w:r>
      <w:r>
        <w:rPr>
          <w:rFonts w:hint="eastAsia"/>
          <w:color w:val="auto"/>
          <w:highlight w:val="none"/>
        </w:rPr>
        <w:t>，得分率为72%</w:t>
      </w:r>
      <w:r>
        <w:rPr>
          <w:color w:val="auto"/>
          <w:highlight w:val="none"/>
        </w:rPr>
        <w:t>。各指标业绩值和绩效分值如下表所示：</w:t>
      </w:r>
    </w:p>
    <w:p>
      <w:pPr>
        <w:keepNext/>
        <w:keepLines/>
        <w:ind w:firstLine="0" w:firstLineChars="0"/>
        <w:jc w:val="center"/>
        <w:rPr>
          <w:rFonts w:eastAsia="黑体"/>
          <w:color w:val="auto"/>
          <w:highlight w:val="none"/>
        </w:rPr>
      </w:pPr>
      <w:r>
        <w:rPr>
          <w:b/>
          <w:bCs/>
          <w:color w:val="auto"/>
          <w:szCs w:val="16"/>
          <w:highlight w:val="none"/>
        </w:rPr>
        <w:t>表</w:t>
      </w:r>
      <w:r>
        <w:rPr>
          <w:rFonts w:hint="eastAsia"/>
          <w:b/>
          <w:bCs/>
          <w:color w:val="auto"/>
          <w:szCs w:val="16"/>
          <w:highlight w:val="none"/>
        </w:rPr>
        <w:t>5</w:t>
      </w:r>
      <w:r>
        <w:rPr>
          <w:b/>
          <w:bCs/>
          <w:color w:val="auto"/>
          <w:szCs w:val="16"/>
          <w:highlight w:val="none"/>
        </w:rPr>
        <w:t>-2：项目过程类指标及分值</w:t>
      </w:r>
    </w:p>
    <w:tbl>
      <w:tblPr>
        <w:tblStyle w:val="19"/>
        <w:tblW w:w="84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
      <w:tblGrid>
        <w:gridCol w:w="1038"/>
        <w:gridCol w:w="1112"/>
        <w:gridCol w:w="2020"/>
        <w:gridCol w:w="841"/>
        <w:gridCol w:w="1110"/>
        <w:gridCol w:w="759"/>
        <w:gridCol w:w="690"/>
        <w:gridCol w:w="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blHeader/>
          <w:jc w:val="center"/>
        </w:trPr>
        <w:tc>
          <w:tcPr>
            <w:tcW w:w="1038" w:type="dxa"/>
            <w:vAlign w:val="center"/>
          </w:tcPr>
          <w:p>
            <w:pPr>
              <w:keepNext/>
              <w:keepLines/>
              <w:spacing w:line="240" w:lineRule="auto"/>
              <w:ind w:firstLine="0" w:firstLineChars="0"/>
              <w:jc w:val="center"/>
              <w:textAlignment w:val="center"/>
              <w:rPr>
                <w:rFonts w:eastAsia="宋体"/>
                <w:b/>
                <w:color w:val="auto"/>
                <w:sz w:val="20"/>
                <w:szCs w:val="20"/>
                <w:highlight w:val="none"/>
              </w:rPr>
            </w:pPr>
            <w:r>
              <w:rPr>
                <w:rFonts w:eastAsia="宋体"/>
                <w:b/>
                <w:color w:val="auto"/>
                <w:kern w:val="0"/>
                <w:sz w:val="20"/>
                <w:szCs w:val="20"/>
                <w:highlight w:val="none"/>
                <w:lang w:bidi="ar"/>
              </w:rPr>
              <w:t>一级指标</w:t>
            </w:r>
          </w:p>
        </w:tc>
        <w:tc>
          <w:tcPr>
            <w:tcW w:w="1112" w:type="dxa"/>
            <w:vAlign w:val="center"/>
          </w:tcPr>
          <w:p>
            <w:pPr>
              <w:keepNext/>
              <w:keepLines/>
              <w:spacing w:line="240" w:lineRule="auto"/>
              <w:ind w:firstLine="0" w:firstLineChars="0"/>
              <w:jc w:val="center"/>
              <w:textAlignment w:val="center"/>
              <w:rPr>
                <w:rFonts w:eastAsia="宋体"/>
                <w:b/>
                <w:color w:val="auto"/>
                <w:sz w:val="20"/>
                <w:szCs w:val="20"/>
                <w:highlight w:val="none"/>
              </w:rPr>
            </w:pPr>
            <w:r>
              <w:rPr>
                <w:rFonts w:eastAsia="宋体"/>
                <w:b/>
                <w:color w:val="auto"/>
                <w:kern w:val="0"/>
                <w:sz w:val="20"/>
                <w:szCs w:val="20"/>
                <w:highlight w:val="none"/>
                <w:lang w:bidi="ar"/>
              </w:rPr>
              <w:t>二级指标</w:t>
            </w:r>
          </w:p>
        </w:tc>
        <w:tc>
          <w:tcPr>
            <w:tcW w:w="2020" w:type="dxa"/>
            <w:vAlign w:val="center"/>
          </w:tcPr>
          <w:p>
            <w:pPr>
              <w:keepNext/>
              <w:keepLines/>
              <w:spacing w:line="240" w:lineRule="auto"/>
              <w:ind w:firstLine="0" w:firstLineChars="0"/>
              <w:jc w:val="center"/>
              <w:textAlignment w:val="center"/>
              <w:rPr>
                <w:rFonts w:eastAsia="宋体"/>
                <w:b/>
                <w:color w:val="auto"/>
                <w:sz w:val="20"/>
                <w:szCs w:val="20"/>
                <w:highlight w:val="none"/>
              </w:rPr>
            </w:pPr>
            <w:r>
              <w:rPr>
                <w:rFonts w:eastAsia="宋体"/>
                <w:b/>
                <w:color w:val="auto"/>
                <w:kern w:val="0"/>
                <w:sz w:val="20"/>
                <w:szCs w:val="20"/>
                <w:highlight w:val="none"/>
                <w:lang w:bidi="ar"/>
              </w:rPr>
              <w:t>三级指标</w:t>
            </w:r>
          </w:p>
        </w:tc>
        <w:tc>
          <w:tcPr>
            <w:tcW w:w="841" w:type="dxa"/>
            <w:vAlign w:val="center"/>
          </w:tcPr>
          <w:p>
            <w:pPr>
              <w:keepNext/>
              <w:keepLines/>
              <w:spacing w:line="240" w:lineRule="auto"/>
              <w:ind w:firstLine="0" w:firstLineChars="0"/>
              <w:textAlignment w:val="center"/>
              <w:rPr>
                <w:rFonts w:eastAsia="宋体"/>
                <w:b/>
                <w:color w:val="auto"/>
                <w:sz w:val="20"/>
                <w:szCs w:val="20"/>
                <w:highlight w:val="none"/>
              </w:rPr>
            </w:pPr>
            <w:r>
              <w:rPr>
                <w:rFonts w:eastAsia="宋体"/>
                <w:b/>
                <w:color w:val="auto"/>
                <w:kern w:val="0"/>
                <w:sz w:val="20"/>
                <w:szCs w:val="20"/>
                <w:highlight w:val="none"/>
                <w:lang w:bidi="ar"/>
              </w:rPr>
              <w:t>目标值</w:t>
            </w:r>
          </w:p>
        </w:tc>
        <w:tc>
          <w:tcPr>
            <w:tcW w:w="1110" w:type="dxa"/>
            <w:vAlign w:val="center"/>
          </w:tcPr>
          <w:p>
            <w:pPr>
              <w:keepNext/>
              <w:keepLines/>
              <w:spacing w:line="240" w:lineRule="auto"/>
              <w:ind w:firstLine="0" w:firstLineChars="0"/>
              <w:textAlignment w:val="center"/>
              <w:rPr>
                <w:rFonts w:eastAsia="宋体"/>
                <w:b/>
                <w:color w:val="auto"/>
                <w:kern w:val="0"/>
                <w:sz w:val="20"/>
                <w:szCs w:val="20"/>
                <w:highlight w:val="none"/>
                <w:lang w:bidi="ar"/>
              </w:rPr>
            </w:pPr>
            <w:r>
              <w:rPr>
                <w:rFonts w:eastAsia="宋体"/>
                <w:b/>
                <w:color w:val="auto"/>
                <w:kern w:val="0"/>
                <w:sz w:val="20"/>
                <w:szCs w:val="20"/>
                <w:highlight w:val="none"/>
                <w:lang w:bidi="ar"/>
              </w:rPr>
              <w:t>实际完成值</w:t>
            </w:r>
          </w:p>
        </w:tc>
        <w:tc>
          <w:tcPr>
            <w:tcW w:w="759" w:type="dxa"/>
            <w:vAlign w:val="center"/>
          </w:tcPr>
          <w:p>
            <w:pPr>
              <w:keepNext/>
              <w:keepLines/>
              <w:spacing w:line="240" w:lineRule="auto"/>
              <w:ind w:firstLine="0" w:firstLineChars="0"/>
              <w:jc w:val="center"/>
              <w:textAlignment w:val="center"/>
              <w:rPr>
                <w:rFonts w:eastAsia="宋体"/>
                <w:b/>
                <w:color w:val="auto"/>
                <w:sz w:val="20"/>
                <w:szCs w:val="20"/>
                <w:highlight w:val="none"/>
              </w:rPr>
            </w:pPr>
            <w:r>
              <w:rPr>
                <w:rFonts w:eastAsia="宋体"/>
                <w:b/>
                <w:color w:val="auto"/>
                <w:kern w:val="0"/>
                <w:sz w:val="20"/>
                <w:szCs w:val="20"/>
                <w:highlight w:val="none"/>
                <w:lang w:bidi="ar"/>
              </w:rPr>
              <w:t>权重</w:t>
            </w:r>
          </w:p>
        </w:tc>
        <w:tc>
          <w:tcPr>
            <w:tcW w:w="690" w:type="dxa"/>
            <w:vAlign w:val="center"/>
          </w:tcPr>
          <w:p>
            <w:pPr>
              <w:keepNext/>
              <w:keepLines/>
              <w:spacing w:line="240" w:lineRule="auto"/>
              <w:ind w:firstLine="0" w:firstLineChars="0"/>
              <w:jc w:val="center"/>
              <w:textAlignment w:val="center"/>
              <w:rPr>
                <w:rFonts w:eastAsia="宋体"/>
                <w:b/>
                <w:color w:val="auto"/>
                <w:sz w:val="20"/>
                <w:szCs w:val="20"/>
                <w:highlight w:val="none"/>
              </w:rPr>
            </w:pPr>
            <w:r>
              <w:rPr>
                <w:rFonts w:eastAsia="宋体"/>
                <w:b/>
                <w:color w:val="auto"/>
                <w:kern w:val="0"/>
                <w:sz w:val="20"/>
                <w:szCs w:val="20"/>
                <w:highlight w:val="none"/>
                <w:lang w:bidi="ar"/>
              </w:rPr>
              <w:t>得分</w:t>
            </w:r>
          </w:p>
        </w:tc>
        <w:tc>
          <w:tcPr>
            <w:tcW w:w="838" w:type="dxa"/>
            <w:vAlign w:val="center"/>
          </w:tcPr>
          <w:p>
            <w:pPr>
              <w:keepNext/>
              <w:keepLines/>
              <w:spacing w:line="240" w:lineRule="auto"/>
              <w:ind w:firstLine="0" w:firstLineChars="0"/>
              <w:jc w:val="center"/>
              <w:textAlignment w:val="center"/>
              <w:rPr>
                <w:rFonts w:eastAsia="宋体"/>
                <w:b/>
                <w:color w:val="auto"/>
                <w:kern w:val="0"/>
                <w:sz w:val="20"/>
                <w:szCs w:val="20"/>
                <w:highlight w:val="none"/>
                <w:lang w:bidi="ar"/>
              </w:rPr>
            </w:pPr>
            <w:r>
              <w:rPr>
                <w:rFonts w:eastAsia="宋体"/>
                <w:b/>
                <w:color w:val="auto"/>
                <w:kern w:val="0"/>
                <w:sz w:val="20"/>
                <w:szCs w:val="20"/>
                <w:highlight w:val="none"/>
                <w:lang w:bidi="ar"/>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1038" w:type="dxa"/>
            <w:vMerge w:val="restart"/>
            <w:vAlign w:val="center"/>
          </w:tcPr>
          <w:p>
            <w:pPr>
              <w:keepNext/>
              <w:keepLines/>
              <w:spacing w:line="240" w:lineRule="auto"/>
              <w:ind w:firstLine="0" w:firstLineChars="0"/>
              <w:jc w:val="left"/>
              <w:rPr>
                <w:rFonts w:eastAsia="宋体"/>
                <w:color w:val="auto"/>
                <w:sz w:val="20"/>
                <w:szCs w:val="20"/>
                <w:highlight w:val="none"/>
              </w:rPr>
            </w:pPr>
            <w:r>
              <w:rPr>
                <w:rFonts w:eastAsia="宋体"/>
                <w:color w:val="auto"/>
                <w:sz w:val="20"/>
                <w:szCs w:val="20"/>
                <w:highlight w:val="none"/>
              </w:rPr>
              <w:t>B过程（25分）</w:t>
            </w:r>
          </w:p>
        </w:tc>
        <w:tc>
          <w:tcPr>
            <w:tcW w:w="1112" w:type="dxa"/>
            <w:vMerge w:val="restart"/>
            <w:vAlign w:val="center"/>
          </w:tcPr>
          <w:p>
            <w:pPr>
              <w:keepNext/>
              <w:keepLines/>
              <w:spacing w:line="240" w:lineRule="auto"/>
              <w:ind w:firstLine="0" w:firstLineChars="0"/>
              <w:jc w:val="left"/>
              <w:rPr>
                <w:rFonts w:eastAsia="宋体"/>
                <w:color w:val="auto"/>
                <w:sz w:val="20"/>
                <w:szCs w:val="20"/>
                <w:highlight w:val="none"/>
              </w:rPr>
            </w:pPr>
            <w:r>
              <w:rPr>
                <w:rFonts w:eastAsia="宋体"/>
                <w:color w:val="auto"/>
                <w:kern w:val="0"/>
                <w:sz w:val="20"/>
                <w:szCs w:val="20"/>
                <w:highlight w:val="none"/>
                <w:lang w:bidi="ar"/>
              </w:rPr>
              <w:t>B1 资金管理（13分）　</w:t>
            </w:r>
          </w:p>
        </w:tc>
        <w:tc>
          <w:tcPr>
            <w:tcW w:w="2020" w:type="dxa"/>
            <w:vAlign w:val="center"/>
          </w:tcPr>
          <w:p>
            <w:pPr>
              <w:keepNext/>
              <w:keepLines/>
              <w:spacing w:line="240" w:lineRule="auto"/>
              <w:ind w:firstLine="0" w:firstLineChars="0"/>
              <w:rPr>
                <w:rFonts w:eastAsia="宋体"/>
                <w:color w:val="auto"/>
                <w:sz w:val="20"/>
                <w:szCs w:val="20"/>
                <w:highlight w:val="none"/>
              </w:rPr>
            </w:pPr>
            <w:r>
              <w:rPr>
                <w:rFonts w:eastAsia="宋体"/>
                <w:color w:val="auto"/>
                <w:kern w:val="0"/>
                <w:sz w:val="20"/>
                <w:szCs w:val="20"/>
                <w:highlight w:val="none"/>
                <w:lang w:bidi="ar"/>
              </w:rPr>
              <w:t>B11资金到位率</w:t>
            </w:r>
          </w:p>
        </w:tc>
        <w:tc>
          <w:tcPr>
            <w:tcW w:w="841" w:type="dxa"/>
            <w:vAlign w:val="center"/>
          </w:tcPr>
          <w:p>
            <w:pPr>
              <w:keepNext/>
              <w:keepLines/>
              <w:widowControl w:val="0"/>
              <w:spacing w:line="240" w:lineRule="auto"/>
              <w:ind w:firstLine="0" w:firstLineChars="0"/>
              <w:jc w:val="center"/>
              <w:rPr>
                <w:rFonts w:eastAsia="宋体"/>
                <w:color w:val="auto"/>
                <w:sz w:val="20"/>
                <w:szCs w:val="20"/>
                <w:highlight w:val="none"/>
              </w:rPr>
            </w:pPr>
            <w:r>
              <w:rPr>
                <w:rFonts w:hint="eastAsia" w:ascii="宋体" w:hAnsi="宋体" w:eastAsia="宋体" w:cs="宋体"/>
                <w:color w:val="auto"/>
                <w:kern w:val="0"/>
                <w:sz w:val="20"/>
                <w:szCs w:val="20"/>
                <w:highlight w:val="none"/>
                <w:lang w:bidi="ar"/>
              </w:rPr>
              <w:t>100%</w:t>
            </w:r>
          </w:p>
        </w:tc>
        <w:tc>
          <w:tcPr>
            <w:tcW w:w="1110" w:type="dxa"/>
            <w:vAlign w:val="center"/>
          </w:tcPr>
          <w:p>
            <w:pPr>
              <w:keepNext/>
              <w:keepLines/>
              <w:widowControl w:val="0"/>
              <w:spacing w:line="240" w:lineRule="auto"/>
              <w:ind w:firstLine="0" w:firstLineChars="0"/>
              <w:jc w:val="center"/>
              <w:rPr>
                <w:rFonts w:eastAsia="宋体"/>
                <w:color w:val="auto"/>
                <w:sz w:val="20"/>
                <w:szCs w:val="20"/>
                <w:highlight w:val="none"/>
              </w:rPr>
            </w:pPr>
            <w:r>
              <w:rPr>
                <w:rFonts w:hint="eastAsia" w:ascii="宋体" w:hAnsi="宋体" w:eastAsia="宋体" w:cs="宋体"/>
                <w:color w:val="auto"/>
                <w:kern w:val="0"/>
                <w:sz w:val="20"/>
                <w:szCs w:val="20"/>
                <w:highlight w:val="none"/>
                <w:lang w:bidi="ar"/>
              </w:rPr>
              <w:t>100%</w:t>
            </w:r>
          </w:p>
        </w:tc>
        <w:tc>
          <w:tcPr>
            <w:tcW w:w="759" w:type="dxa"/>
            <w:vAlign w:val="center"/>
          </w:tcPr>
          <w:p>
            <w:pPr>
              <w:keepNext/>
              <w:keepLines/>
              <w:widowControl w:val="0"/>
              <w:spacing w:line="240" w:lineRule="auto"/>
              <w:ind w:firstLine="0" w:firstLineChars="0"/>
              <w:jc w:val="center"/>
              <w:rPr>
                <w:rFonts w:hint="eastAsia" w:eastAsia="宋体"/>
                <w:color w:val="auto"/>
                <w:sz w:val="20"/>
                <w:szCs w:val="20"/>
                <w:highlight w:val="none"/>
                <w:lang w:eastAsia="zh-CN"/>
              </w:rPr>
            </w:pPr>
            <w:r>
              <w:rPr>
                <w:rFonts w:hint="eastAsia" w:ascii="宋体" w:hAnsi="宋体" w:eastAsia="宋体" w:cs="宋体"/>
                <w:color w:val="auto"/>
                <w:kern w:val="0"/>
                <w:sz w:val="20"/>
                <w:szCs w:val="20"/>
                <w:highlight w:val="none"/>
                <w:lang w:bidi="ar"/>
              </w:rPr>
              <w:t>3</w:t>
            </w:r>
          </w:p>
        </w:tc>
        <w:tc>
          <w:tcPr>
            <w:tcW w:w="690" w:type="dxa"/>
            <w:vAlign w:val="center"/>
          </w:tcPr>
          <w:p>
            <w:pPr>
              <w:keepNext/>
              <w:keepLines/>
              <w:widowControl w:val="0"/>
              <w:spacing w:line="240" w:lineRule="auto"/>
              <w:ind w:firstLine="0" w:firstLineChars="0"/>
              <w:jc w:val="center"/>
              <w:rPr>
                <w:rFonts w:hint="eastAsia" w:eastAsia="宋体"/>
                <w:color w:val="auto"/>
                <w:sz w:val="20"/>
                <w:szCs w:val="20"/>
                <w:highlight w:val="none"/>
                <w:lang w:eastAsia="zh-CN"/>
              </w:rPr>
            </w:pPr>
            <w:r>
              <w:rPr>
                <w:rFonts w:hint="eastAsia" w:ascii="宋体" w:hAnsi="宋体" w:eastAsia="宋体" w:cs="宋体"/>
                <w:color w:val="auto"/>
                <w:kern w:val="0"/>
                <w:sz w:val="20"/>
                <w:szCs w:val="20"/>
                <w:highlight w:val="none"/>
                <w:lang w:bidi="ar"/>
              </w:rPr>
              <w:t>3</w:t>
            </w:r>
          </w:p>
        </w:tc>
        <w:tc>
          <w:tcPr>
            <w:tcW w:w="838" w:type="dxa"/>
            <w:vAlign w:val="center"/>
          </w:tcPr>
          <w:p>
            <w:pPr>
              <w:keepNext/>
              <w:keepLines/>
              <w:widowControl w:val="0"/>
              <w:spacing w:line="240" w:lineRule="auto"/>
              <w:ind w:firstLine="0" w:firstLineChars="0"/>
              <w:jc w:val="center"/>
              <w:rPr>
                <w:rFonts w:eastAsia="宋体"/>
                <w:color w:val="auto"/>
                <w:sz w:val="20"/>
                <w:szCs w:val="20"/>
                <w:highlight w:val="none"/>
              </w:rPr>
            </w:pPr>
            <w:r>
              <w:rPr>
                <w:rFonts w:hint="eastAsia" w:ascii="宋体" w:hAnsi="宋体" w:eastAsia="宋体" w:cs="宋体"/>
                <w:color w:val="auto"/>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1038" w:type="dxa"/>
            <w:vMerge w:val="continue"/>
            <w:vAlign w:val="center"/>
          </w:tcPr>
          <w:p>
            <w:pPr>
              <w:keepNext/>
              <w:keepLines/>
              <w:spacing w:line="240" w:lineRule="auto"/>
              <w:ind w:firstLine="0" w:firstLineChars="0"/>
              <w:jc w:val="left"/>
              <w:rPr>
                <w:rFonts w:eastAsia="宋体"/>
                <w:color w:val="auto"/>
                <w:sz w:val="20"/>
                <w:szCs w:val="20"/>
                <w:highlight w:val="none"/>
              </w:rPr>
            </w:pPr>
          </w:p>
        </w:tc>
        <w:tc>
          <w:tcPr>
            <w:tcW w:w="1112" w:type="dxa"/>
            <w:vMerge w:val="continue"/>
            <w:vAlign w:val="center"/>
          </w:tcPr>
          <w:p>
            <w:pPr>
              <w:keepNext/>
              <w:keepLines/>
              <w:spacing w:line="240" w:lineRule="auto"/>
              <w:ind w:firstLine="0" w:firstLineChars="0"/>
              <w:jc w:val="left"/>
              <w:rPr>
                <w:rFonts w:eastAsia="宋体"/>
                <w:color w:val="auto"/>
                <w:sz w:val="20"/>
                <w:szCs w:val="20"/>
                <w:highlight w:val="none"/>
              </w:rPr>
            </w:pPr>
          </w:p>
        </w:tc>
        <w:tc>
          <w:tcPr>
            <w:tcW w:w="2020" w:type="dxa"/>
            <w:vAlign w:val="center"/>
          </w:tcPr>
          <w:p>
            <w:pPr>
              <w:keepNext/>
              <w:keepLines/>
              <w:spacing w:line="240" w:lineRule="auto"/>
              <w:ind w:firstLine="0" w:firstLineChars="0"/>
              <w:rPr>
                <w:rFonts w:eastAsia="宋体"/>
                <w:color w:val="auto"/>
                <w:sz w:val="20"/>
                <w:szCs w:val="20"/>
                <w:highlight w:val="none"/>
              </w:rPr>
            </w:pPr>
            <w:r>
              <w:rPr>
                <w:rFonts w:eastAsia="宋体"/>
                <w:color w:val="auto"/>
                <w:kern w:val="0"/>
                <w:sz w:val="20"/>
                <w:szCs w:val="20"/>
                <w:highlight w:val="none"/>
                <w:lang w:bidi="ar"/>
              </w:rPr>
              <w:t>B12预算执行率</w:t>
            </w:r>
          </w:p>
        </w:tc>
        <w:tc>
          <w:tcPr>
            <w:tcW w:w="841" w:type="dxa"/>
            <w:vAlign w:val="center"/>
          </w:tcPr>
          <w:p>
            <w:pPr>
              <w:keepNext/>
              <w:keepLines/>
              <w:widowControl w:val="0"/>
              <w:spacing w:line="240" w:lineRule="auto"/>
              <w:ind w:firstLine="0" w:firstLineChars="0"/>
              <w:jc w:val="center"/>
              <w:rPr>
                <w:rFonts w:eastAsia="宋体"/>
                <w:color w:val="auto"/>
                <w:sz w:val="20"/>
                <w:szCs w:val="20"/>
                <w:highlight w:val="none"/>
              </w:rPr>
            </w:pPr>
            <w:r>
              <w:rPr>
                <w:rFonts w:hint="eastAsia" w:ascii="宋体" w:hAnsi="宋体" w:eastAsia="宋体" w:cs="宋体"/>
                <w:color w:val="auto"/>
                <w:kern w:val="0"/>
                <w:sz w:val="20"/>
                <w:szCs w:val="20"/>
                <w:highlight w:val="none"/>
                <w:lang w:bidi="ar"/>
              </w:rPr>
              <w:t>100%</w:t>
            </w:r>
          </w:p>
        </w:tc>
        <w:tc>
          <w:tcPr>
            <w:tcW w:w="1110" w:type="dxa"/>
            <w:vAlign w:val="center"/>
          </w:tcPr>
          <w:p>
            <w:pPr>
              <w:keepNext/>
              <w:keepLines/>
              <w:widowControl w:val="0"/>
              <w:spacing w:line="240" w:lineRule="auto"/>
              <w:ind w:firstLine="0" w:firstLineChars="0"/>
              <w:jc w:val="center"/>
              <w:rPr>
                <w:rFonts w:eastAsia="宋体"/>
                <w:color w:val="auto"/>
                <w:sz w:val="20"/>
                <w:szCs w:val="20"/>
                <w:highlight w:val="none"/>
              </w:rPr>
            </w:pPr>
            <w:r>
              <w:rPr>
                <w:rFonts w:hint="eastAsia" w:ascii="宋体" w:hAnsi="宋体" w:eastAsia="宋体" w:cs="宋体"/>
                <w:color w:val="auto"/>
                <w:kern w:val="0"/>
                <w:sz w:val="20"/>
                <w:szCs w:val="20"/>
                <w:highlight w:val="none"/>
                <w:lang w:bidi="ar"/>
              </w:rPr>
              <w:t>70.11%</w:t>
            </w:r>
          </w:p>
        </w:tc>
        <w:tc>
          <w:tcPr>
            <w:tcW w:w="759" w:type="dxa"/>
            <w:vAlign w:val="center"/>
          </w:tcPr>
          <w:p>
            <w:pPr>
              <w:keepNext/>
              <w:keepLines/>
              <w:widowControl w:val="0"/>
              <w:spacing w:line="240" w:lineRule="auto"/>
              <w:ind w:firstLine="0" w:firstLineChars="0"/>
              <w:jc w:val="center"/>
              <w:rPr>
                <w:rFonts w:hint="eastAsia" w:eastAsia="宋体"/>
                <w:color w:val="auto"/>
                <w:sz w:val="20"/>
                <w:szCs w:val="20"/>
                <w:highlight w:val="none"/>
                <w:lang w:eastAsia="zh-CN"/>
              </w:rPr>
            </w:pPr>
            <w:r>
              <w:rPr>
                <w:rFonts w:hint="eastAsia" w:ascii="宋体" w:hAnsi="宋体" w:eastAsia="宋体" w:cs="宋体"/>
                <w:color w:val="auto"/>
                <w:kern w:val="0"/>
                <w:sz w:val="20"/>
                <w:szCs w:val="20"/>
                <w:highlight w:val="none"/>
                <w:lang w:bidi="ar"/>
              </w:rPr>
              <w:t>5</w:t>
            </w:r>
          </w:p>
        </w:tc>
        <w:tc>
          <w:tcPr>
            <w:tcW w:w="690" w:type="dxa"/>
            <w:vAlign w:val="center"/>
          </w:tcPr>
          <w:p>
            <w:pPr>
              <w:keepNext/>
              <w:keepLines/>
              <w:widowControl w:val="0"/>
              <w:spacing w:line="240" w:lineRule="auto"/>
              <w:ind w:firstLine="0" w:firstLineChars="0"/>
              <w:jc w:val="center"/>
              <w:rPr>
                <w:rFonts w:hint="eastAsia" w:eastAsia="宋体"/>
                <w:color w:val="auto"/>
                <w:sz w:val="20"/>
                <w:szCs w:val="20"/>
                <w:highlight w:val="none"/>
                <w:lang w:eastAsia="zh-CN"/>
              </w:rPr>
            </w:pPr>
            <w:r>
              <w:rPr>
                <w:rFonts w:hint="eastAsia" w:ascii="宋体" w:hAnsi="宋体" w:eastAsia="宋体" w:cs="宋体"/>
                <w:color w:val="auto"/>
                <w:kern w:val="0"/>
                <w:sz w:val="20"/>
                <w:szCs w:val="20"/>
                <w:highlight w:val="none"/>
                <w:lang w:bidi="ar"/>
              </w:rPr>
              <w:t>2</w:t>
            </w:r>
          </w:p>
        </w:tc>
        <w:tc>
          <w:tcPr>
            <w:tcW w:w="838" w:type="dxa"/>
            <w:vAlign w:val="center"/>
          </w:tcPr>
          <w:p>
            <w:pPr>
              <w:keepNext/>
              <w:keepLines/>
              <w:widowControl w:val="0"/>
              <w:spacing w:line="240" w:lineRule="auto"/>
              <w:ind w:firstLine="0" w:firstLineChars="0"/>
              <w:jc w:val="center"/>
              <w:rPr>
                <w:rFonts w:eastAsia="宋体"/>
                <w:color w:val="auto"/>
                <w:sz w:val="20"/>
                <w:szCs w:val="20"/>
                <w:highlight w:val="none"/>
              </w:rPr>
            </w:pPr>
            <w:r>
              <w:rPr>
                <w:rFonts w:hint="eastAsia" w:ascii="宋体" w:hAnsi="宋体" w:eastAsia="宋体" w:cs="宋体"/>
                <w:color w:val="auto"/>
                <w:kern w:val="0"/>
                <w:sz w:val="20"/>
                <w:szCs w:val="20"/>
                <w:highlight w:val="none"/>
                <w:lang w:bidi="ar"/>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1038" w:type="dxa"/>
            <w:vMerge w:val="continue"/>
            <w:vAlign w:val="center"/>
          </w:tcPr>
          <w:p>
            <w:pPr>
              <w:keepNext/>
              <w:keepLines/>
              <w:spacing w:line="240" w:lineRule="auto"/>
              <w:ind w:firstLine="0" w:firstLineChars="0"/>
              <w:jc w:val="left"/>
              <w:rPr>
                <w:rFonts w:eastAsia="宋体"/>
                <w:color w:val="auto"/>
                <w:sz w:val="20"/>
                <w:szCs w:val="20"/>
                <w:highlight w:val="none"/>
              </w:rPr>
            </w:pPr>
          </w:p>
        </w:tc>
        <w:tc>
          <w:tcPr>
            <w:tcW w:w="1112" w:type="dxa"/>
            <w:vMerge w:val="continue"/>
            <w:vAlign w:val="center"/>
          </w:tcPr>
          <w:p>
            <w:pPr>
              <w:keepNext/>
              <w:keepLines/>
              <w:spacing w:line="240" w:lineRule="auto"/>
              <w:ind w:firstLine="0" w:firstLineChars="0"/>
              <w:jc w:val="left"/>
              <w:rPr>
                <w:rFonts w:eastAsia="宋体"/>
                <w:color w:val="auto"/>
                <w:sz w:val="20"/>
                <w:szCs w:val="20"/>
                <w:highlight w:val="none"/>
              </w:rPr>
            </w:pPr>
          </w:p>
        </w:tc>
        <w:tc>
          <w:tcPr>
            <w:tcW w:w="2020" w:type="dxa"/>
            <w:vAlign w:val="center"/>
          </w:tcPr>
          <w:p>
            <w:pPr>
              <w:keepNext/>
              <w:keepLines/>
              <w:spacing w:line="240" w:lineRule="auto"/>
              <w:ind w:firstLine="0" w:firstLineChars="0"/>
              <w:rPr>
                <w:rFonts w:eastAsia="宋体"/>
                <w:color w:val="auto"/>
                <w:sz w:val="20"/>
                <w:szCs w:val="20"/>
                <w:highlight w:val="none"/>
              </w:rPr>
            </w:pPr>
            <w:r>
              <w:rPr>
                <w:rFonts w:eastAsia="宋体"/>
                <w:color w:val="auto"/>
                <w:kern w:val="0"/>
                <w:sz w:val="20"/>
                <w:szCs w:val="20"/>
                <w:highlight w:val="none"/>
                <w:lang w:bidi="ar"/>
              </w:rPr>
              <w:t>B13资金使用合规性</w:t>
            </w:r>
          </w:p>
        </w:tc>
        <w:tc>
          <w:tcPr>
            <w:tcW w:w="841" w:type="dxa"/>
            <w:vAlign w:val="center"/>
          </w:tcPr>
          <w:p>
            <w:pPr>
              <w:keepNext/>
              <w:keepLines/>
              <w:widowControl w:val="0"/>
              <w:spacing w:line="240" w:lineRule="auto"/>
              <w:ind w:firstLine="0" w:firstLineChars="0"/>
              <w:jc w:val="center"/>
              <w:rPr>
                <w:rFonts w:eastAsia="宋体"/>
                <w:color w:val="auto"/>
                <w:sz w:val="20"/>
                <w:szCs w:val="20"/>
                <w:highlight w:val="none"/>
              </w:rPr>
            </w:pPr>
            <w:r>
              <w:rPr>
                <w:rFonts w:hint="eastAsia" w:ascii="宋体" w:hAnsi="宋体" w:eastAsia="宋体" w:cs="宋体"/>
                <w:color w:val="auto"/>
                <w:kern w:val="0"/>
                <w:sz w:val="20"/>
                <w:szCs w:val="20"/>
                <w:highlight w:val="none"/>
                <w:lang w:bidi="ar"/>
              </w:rPr>
              <w:t>合规</w:t>
            </w:r>
          </w:p>
        </w:tc>
        <w:tc>
          <w:tcPr>
            <w:tcW w:w="1110" w:type="dxa"/>
            <w:vAlign w:val="center"/>
          </w:tcPr>
          <w:p>
            <w:pPr>
              <w:keepNext/>
              <w:keepLines/>
              <w:widowControl w:val="0"/>
              <w:spacing w:line="240" w:lineRule="auto"/>
              <w:ind w:firstLine="0" w:firstLineChars="0"/>
              <w:jc w:val="center"/>
              <w:rPr>
                <w:rFonts w:eastAsia="宋体"/>
                <w:color w:val="auto"/>
                <w:sz w:val="20"/>
                <w:szCs w:val="20"/>
                <w:highlight w:val="none"/>
              </w:rPr>
            </w:pPr>
            <w:r>
              <w:rPr>
                <w:rFonts w:hint="eastAsia" w:ascii="宋体" w:hAnsi="宋体" w:eastAsia="宋体" w:cs="宋体"/>
                <w:color w:val="auto"/>
                <w:kern w:val="0"/>
                <w:sz w:val="20"/>
                <w:szCs w:val="20"/>
                <w:highlight w:val="none"/>
                <w:lang w:bidi="ar"/>
              </w:rPr>
              <w:t>合规</w:t>
            </w:r>
          </w:p>
        </w:tc>
        <w:tc>
          <w:tcPr>
            <w:tcW w:w="759" w:type="dxa"/>
            <w:vAlign w:val="center"/>
          </w:tcPr>
          <w:p>
            <w:pPr>
              <w:keepNext/>
              <w:keepLines/>
              <w:widowControl w:val="0"/>
              <w:spacing w:line="240" w:lineRule="auto"/>
              <w:ind w:firstLine="0" w:firstLineChars="0"/>
              <w:jc w:val="center"/>
              <w:rPr>
                <w:rFonts w:hint="eastAsia" w:eastAsia="宋体"/>
                <w:color w:val="auto"/>
                <w:sz w:val="20"/>
                <w:szCs w:val="20"/>
                <w:highlight w:val="none"/>
                <w:lang w:eastAsia="zh-CN"/>
              </w:rPr>
            </w:pPr>
            <w:r>
              <w:rPr>
                <w:rFonts w:hint="eastAsia" w:ascii="宋体" w:hAnsi="宋体" w:eastAsia="宋体" w:cs="宋体"/>
                <w:color w:val="auto"/>
                <w:kern w:val="0"/>
                <w:sz w:val="20"/>
                <w:szCs w:val="20"/>
                <w:highlight w:val="none"/>
                <w:lang w:bidi="ar"/>
              </w:rPr>
              <w:t>5</w:t>
            </w:r>
          </w:p>
        </w:tc>
        <w:tc>
          <w:tcPr>
            <w:tcW w:w="690" w:type="dxa"/>
            <w:vAlign w:val="center"/>
          </w:tcPr>
          <w:p>
            <w:pPr>
              <w:keepNext/>
              <w:keepLines/>
              <w:widowControl w:val="0"/>
              <w:spacing w:line="240" w:lineRule="auto"/>
              <w:ind w:firstLine="0" w:firstLineChars="0"/>
              <w:jc w:val="center"/>
              <w:rPr>
                <w:rFonts w:hint="eastAsia" w:eastAsia="宋体"/>
                <w:color w:val="auto"/>
                <w:sz w:val="20"/>
                <w:szCs w:val="20"/>
                <w:highlight w:val="none"/>
                <w:lang w:eastAsia="zh-CN"/>
              </w:rPr>
            </w:pPr>
            <w:r>
              <w:rPr>
                <w:rFonts w:hint="eastAsia" w:ascii="宋体" w:hAnsi="宋体" w:eastAsia="宋体" w:cs="宋体"/>
                <w:color w:val="auto"/>
                <w:kern w:val="0"/>
                <w:sz w:val="20"/>
                <w:szCs w:val="20"/>
                <w:highlight w:val="none"/>
                <w:lang w:bidi="ar"/>
              </w:rPr>
              <w:t>5</w:t>
            </w:r>
          </w:p>
        </w:tc>
        <w:tc>
          <w:tcPr>
            <w:tcW w:w="838" w:type="dxa"/>
            <w:vAlign w:val="center"/>
          </w:tcPr>
          <w:p>
            <w:pPr>
              <w:keepNext/>
              <w:keepLines/>
              <w:widowControl w:val="0"/>
              <w:spacing w:line="240" w:lineRule="auto"/>
              <w:ind w:firstLine="0" w:firstLineChars="0"/>
              <w:jc w:val="center"/>
              <w:rPr>
                <w:rFonts w:eastAsia="宋体"/>
                <w:color w:val="auto"/>
                <w:sz w:val="20"/>
                <w:szCs w:val="20"/>
                <w:highlight w:val="none"/>
              </w:rPr>
            </w:pPr>
            <w:r>
              <w:rPr>
                <w:rFonts w:hint="eastAsia" w:ascii="宋体" w:hAnsi="宋体" w:eastAsia="宋体" w:cs="宋体"/>
                <w:color w:val="auto"/>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1038" w:type="dxa"/>
            <w:vMerge w:val="continue"/>
            <w:vAlign w:val="center"/>
          </w:tcPr>
          <w:p>
            <w:pPr>
              <w:keepNext/>
              <w:keepLines/>
              <w:spacing w:line="240" w:lineRule="auto"/>
              <w:ind w:firstLine="0" w:firstLineChars="0"/>
              <w:jc w:val="left"/>
              <w:rPr>
                <w:rFonts w:eastAsia="宋体"/>
                <w:color w:val="auto"/>
                <w:sz w:val="20"/>
                <w:szCs w:val="20"/>
                <w:highlight w:val="none"/>
              </w:rPr>
            </w:pPr>
          </w:p>
        </w:tc>
        <w:tc>
          <w:tcPr>
            <w:tcW w:w="1112" w:type="dxa"/>
            <w:vMerge w:val="restart"/>
            <w:vAlign w:val="center"/>
          </w:tcPr>
          <w:p>
            <w:pPr>
              <w:keepNext/>
              <w:keepLines/>
              <w:spacing w:line="240" w:lineRule="auto"/>
              <w:ind w:firstLine="0" w:firstLineChars="0"/>
              <w:jc w:val="left"/>
              <w:rPr>
                <w:rFonts w:eastAsia="宋体"/>
                <w:color w:val="auto"/>
                <w:sz w:val="20"/>
                <w:szCs w:val="20"/>
                <w:highlight w:val="none"/>
              </w:rPr>
            </w:pPr>
            <w:r>
              <w:rPr>
                <w:rFonts w:eastAsia="宋体"/>
                <w:color w:val="auto"/>
                <w:kern w:val="0"/>
                <w:sz w:val="20"/>
                <w:szCs w:val="20"/>
                <w:highlight w:val="none"/>
                <w:lang w:bidi="ar"/>
              </w:rPr>
              <w:t>B2 组织实施（12分）　</w:t>
            </w:r>
          </w:p>
        </w:tc>
        <w:tc>
          <w:tcPr>
            <w:tcW w:w="2020" w:type="dxa"/>
            <w:vAlign w:val="center"/>
          </w:tcPr>
          <w:p>
            <w:pPr>
              <w:keepNext/>
              <w:keepLines/>
              <w:spacing w:line="240" w:lineRule="auto"/>
              <w:ind w:firstLine="0" w:firstLineChars="0"/>
              <w:rPr>
                <w:rFonts w:eastAsia="宋体"/>
                <w:color w:val="auto"/>
                <w:sz w:val="20"/>
                <w:szCs w:val="20"/>
                <w:highlight w:val="none"/>
              </w:rPr>
            </w:pPr>
            <w:r>
              <w:rPr>
                <w:rFonts w:eastAsia="宋体"/>
                <w:color w:val="auto"/>
                <w:kern w:val="0"/>
                <w:sz w:val="20"/>
                <w:szCs w:val="20"/>
                <w:highlight w:val="none"/>
                <w:lang w:bidi="ar"/>
              </w:rPr>
              <w:t>B21管理制度健全性</w:t>
            </w:r>
          </w:p>
        </w:tc>
        <w:tc>
          <w:tcPr>
            <w:tcW w:w="841" w:type="dxa"/>
            <w:vAlign w:val="center"/>
          </w:tcPr>
          <w:p>
            <w:pPr>
              <w:keepNext/>
              <w:keepLines/>
              <w:widowControl w:val="0"/>
              <w:spacing w:line="240" w:lineRule="auto"/>
              <w:ind w:firstLine="0" w:firstLineChars="0"/>
              <w:jc w:val="center"/>
              <w:rPr>
                <w:rFonts w:eastAsia="宋体"/>
                <w:color w:val="auto"/>
                <w:sz w:val="20"/>
                <w:szCs w:val="20"/>
                <w:highlight w:val="none"/>
              </w:rPr>
            </w:pPr>
            <w:r>
              <w:rPr>
                <w:rFonts w:hint="eastAsia" w:ascii="宋体" w:hAnsi="宋体" w:eastAsia="宋体" w:cs="宋体"/>
                <w:color w:val="auto"/>
                <w:kern w:val="0"/>
                <w:sz w:val="20"/>
                <w:szCs w:val="20"/>
                <w:highlight w:val="none"/>
                <w:lang w:bidi="ar"/>
              </w:rPr>
              <w:t>健全</w:t>
            </w:r>
          </w:p>
        </w:tc>
        <w:tc>
          <w:tcPr>
            <w:tcW w:w="1110" w:type="dxa"/>
            <w:vAlign w:val="center"/>
          </w:tcPr>
          <w:p>
            <w:pPr>
              <w:keepNext/>
              <w:keepLines/>
              <w:widowControl w:val="0"/>
              <w:spacing w:line="240" w:lineRule="auto"/>
              <w:ind w:firstLine="0" w:firstLineChars="0"/>
              <w:jc w:val="center"/>
              <w:rPr>
                <w:rFonts w:eastAsia="宋体"/>
                <w:color w:val="auto"/>
                <w:sz w:val="20"/>
                <w:szCs w:val="20"/>
                <w:highlight w:val="none"/>
              </w:rPr>
            </w:pPr>
            <w:r>
              <w:rPr>
                <w:rFonts w:hint="eastAsia" w:ascii="宋体" w:hAnsi="宋体" w:eastAsia="宋体" w:cs="宋体"/>
                <w:color w:val="auto"/>
                <w:kern w:val="0"/>
                <w:sz w:val="20"/>
                <w:szCs w:val="20"/>
                <w:highlight w:val="none"/>
                <w:lang w:bidi="ar"/>
              </w:rPr>
              <w:t>健全</w:t>
            </w:r>
          </w:p>
        </w:tc>
        <w:tc>
          <w:tcPr>
            <w:tcW w:w="759" w:type="dxa"/>
            <w:vAlign w:val="center"/>
          </w:tcPr>
          <w:p>
            <w:pPr>
              <w:keepNext/>
              <w:keepLines/>
              <w:widowControl w:val="0"/>
              <w:spacing w:line="240" w:lineRule="auto"/>
              <w:ind w:firstLine="0" w:firstLineChars="0"/>
              <w:jc w:val="center"/>
              <w:rPr>
                <w:rFonts w:hint="eastAsia" w:eastAsia="宋体"/>
                <w:color w:val="auto"/>
                <w:sz w:val="20"/>
                <w:szCs w:val="20"/>
                <w:highlight w:val="none"/>
                <w:lang w:eastAsia="zh-CN"/>
              </w:rPr>
            </w:pPr>
            <w:r>
              <w:rPr>
                <w:rFonts w:hint="eastAsia" w:ascii="宋体" w:hAnsi="宋体" w:eastAsia="宋体" w:cs="宋体"/>
                <w:color w:val="auto"/>
                <w:kern w:val="0"/>
                <w:sz w:val="20"/>
                <w:szCs w:val="20"/>
                <w:highlight w:val="none"/>
                <w:lang w:bidi="ar"/>
              </w:rPr>
              <w:t>4</w:t>
            </w:r>
          </w:p>
        </w:tc>
        <w:tc>
          <w:tcPr>
            <w:tcW w:w="690" w:type="dxa"/>
            <w:vAlign w:val="center"/>
          </w:tcPr>
          <w:p>
            <w:pPr>
              <w:keepNext/>
              <w:keepLines/>
              <w:widowControl w:val="0"/>
              <w:spacing w:line="240" w:lineRule="auto"/>
              <w:ind w:firstLine="0" w:firstLineChars="0"/>
              <w:jc w:val="center"/>
              <w:rPr>
                <w:rFonts w:hint="eastAsia" w:eastAsia="宋体"/>
                <w:color w:val="auto"/>
                <w:sz w:val="20"/>
                <w:szCs w:val="20"/>
                <w:highlight w:val="none"/>
                <w:lang w:eastAsia="zh-CN"/>
              </w:rPr>
            </w:pPr>
            <w:r>
              <w:rPr>
                <w:rFonts w:hint="eastAsia" w:ascii="宋体" w:hAnsi="宋体" w:eastAsia="宋体" w:cs="宋体"/>
                <w:color w:val="auto"/>
                <w:kern w:val="0"/>
                <w:sz w:val="20"/>
                <w:szCs w:val="20"/>
                <w:highlight w:val="none"/>
                <w:lang w:bidi="ar"/>
              </w:rPr>
              <w:t>4</w:t>
            </w:r>
          </w:p>
        </w:tc>
        <w:tc>
          <w:tcPr>
            <w:tcW w:w="838" w:type="dxa"/>
            <w:vAlign w:val="center"/>
          </w:tcPr>
          <w:p>
            <w:pPr>
              <w:keepNext/>
              <w:keepLines/>
              <w:widowControl w:val="0"/>
              <w:spacing w:line="240" w:lineRule="auto"/>
              <w:ind w:firstLine="0" w:firstLineChars="0"/>
              <w:jc w:val="center"/>
              <w:rPr>
                <w:rFonts w:eastAsia="宋体"/>
                <w:color w:val="auto"/>
                <w:sz w:val="20"/>
                <w:szCs w:val="20"/>
                <w:highlight w:val="none"/>
              </w:rPr>
            </w:pPr>
            <w:r>
              <w:rPr>
                <w:rFonts w:hint="eastAsia" w:ascii="宋体" w:hAnsi="宋体" w:eastAsia="宋体" w:cs="宋体"/>
                <w:color w:val="auto"/>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1038" w:type="dxa"/>
            <w:vMerge w:val="continue"/>
            <w:vAlign w:val="center"/>
          </w:tcPr>
          <w:p>
            <w:pPr>
              <w:keepNext/>
              <w:keepLines/>
              <w:spacing w:line="240" w:lineRule="auto"/>
              <w:ind w:firstLine="0" w:firstLineChars="0"/>
              <w:jc w:val="left"/>
              <w:rPr>
                <w:rFonts w:eastAsia="宋体"/>
                <w:color w:val="auto"/>
                <w:sz w:val="20"/>
                <w:szCs w:val="20"/>
                <w:highlight w:val="none"/>
              </w:rPr>
            </w:pPr>
          </w:p>
        </w:tc>
        <w:tc>
          <w:tcPr>
            <w:tcW w:w="1112" w:type="dxa"/>
            <w:vMerge w:val="continue"/>
            <w:vAlign w:val="center"/>
          </w:tcPr>
          <w:p>
            <w:pPr>
              <w:keepNext/>
              <w:keepLines/>
              <w:spacing w:line="240" w:lineRule="auto"/>
              <w:ind w:firstLine="0" w:firstLineChars="0"/>
              <w:jc w:val="left"/>
              <w:rPr>
                <w:rFonts w:eastAsia="宋体"/>
                <w:color w:val="auto"/>
                <w:sz w:val="20"/>
                <w:szCs w:val="20"/>
                <w:highlight w:val="none"/>
              </w:rPr>
            </w:pPr>
          </w:p>
        </w:tc>
        <w:tc>
          <w:tcPr>
            <w:tcW w:w="2020" w:type="dxa"/>
            <w:vAlign w:val="center"/>
          </w:tcPr>
          <w:p>
            <w:pPr>
              <w:keepNext/>
              <w:keepLines/>
              <w:spacing w:line="240" w:lineRule="auto"/>
              <w:ind w:firstLine="0" w:firstLineChars="0"/>
              <w:rPr>
                <w:rFonts w:eastAsia="宋体"/>
                <w:color w:val="auto"/>
                <w:sz w:val="20"/>
                <w:szCs w:val="20"/>
                <w:highlight w:val="none"/>
              </w:rPr>
            </w:pPr>
            <w:r>
              <w:rPr>
                <w:rFonts w:eastAsia="宋体"/>
                <w:color w:val="auto"/>
                <w:kern w:val="0"/>
                <w:sz w:val="20"/>
                <w:szCs w:val="20"/>
                <w:highlight w:val="none"/>
                <w:lang w:bidi="ar"/>
              </w:rPr>
              <w:t>B22制度执行有效性</w:t>
            </w:r>
          </w:p>
        </w:tc>
        <w:tc>
          <w:tcPr>
            <w:tcW w:w="841" w:type="dxa"/>
            <w:vAlign w:val="center"/>
          </w:tcPr>
          <w:p>
            <w:pPr>
              <w:keepNext/>
              <w:keepLines/>
              <w:widowControl w:val="0"/>
              <w:spacing w:line="240" w:lineRule="auto"/>
              <w:ind w:firstLine="0" w:firstLineChars="0"/>
              <w:jc w:val="center"/>
              <w:rPr>
                <w:rFonts w:eastAsia="宋体"/>
                <w:color w:val="auto"/>
                <w:sz w:val="20"/>
                <w:szCs w:val="20"/>
                <w:highlight w:val="none"/>
              </w:rPr>
            </w:pPr>
            <w:r>
              <w:rPr>
                <w:rFonts w:hint="eastAsia" w:ascii="宋体" w:hAnsi="宋体" w:eastAsia="宋体" w:cs="宋体"/>
                <w:color w:val="auto"/>
                <w:kern w:val="0"/>
                <w:sz w:val="20"/>
                <w:szCs w:val="20"/>
                <w:highlight w:val="none"/>
                <w:lang w:bidi="ar"/>
              </w:rPr>
              <w:t>有效</w:t>
            </w:r>
          </w:p>
        </w:tc>
        <w:tc>
          <w:tcPr>
            <w:tcW w:w="1110" w:type="dxa"/>
            <w:vAlign w:val="center"/>
          </w:tcPr>
          <w:p>
            <w:pPr>
              <w:keepNext/>
              <w:keepLines/>
              <w:widowControl w:val="0"/>
              <w:spacing w:line="240" w:lineRule="auto"/>
              <w:ind w:firstLine="0" w:firstLineChars="0"/>
              <w:jc w:val="center"/>
              <w:rPr>
                <w:rFonts w:eastAsia="宋体"/>
                <w:color w:val="auto"/>
                <w:sz w:val="20"/>
                <w:szCs w:val="20"/>
                <w:highlight w:val="none"/>
              </w:rPr>
            </w:pPr>
            <w:r>
              <w:rPr>
                <w:rFonts w:hint="eastAsia" w:ascii="宋体" w:hAnsi="宋体" w:eastAsia="宋体" w:cs="宋体"/>
                <w:color w:val="auto"/>
                <w:kern w:val="0"/>
                <w:sz w:val="20"/>
                <w:szCs w:val="20"/>
                <w:highlight w:val="none"/>
                <w:lang w:bidi="ar"/>
              </w:rPr>
              <w:t>较有效</w:t>
            </w:r>
          </w:p>
        </w:tc>
        <w:tc>
          <w:tcPr>
            <w:tcW w:w="759" w:type="dxa"/>
            <w:vAlign w:val="center"/>
          </w:tcPr>
          <w:p>
            <w:pPr>
              <w:keepNext/>
              <w:keepLines/>
              <w:widowControl w:val="0"/>
              <w:spacing w:line="240" w:lineRule="auto"/>
              <w:ind w:firstLine="0" w:firstLineChars="0"/>
              <w:jc w:val="center"/>
              <w:rPr>
                <w:rFonts w:hint="eastAsia" w:eastAsia="宋体"/>
                <w:color w:val="auto"/>
                <w:sz w:val="20"/>
                <w:szCs w:val="20"/>
                <w:highlight w:val="none"/>
                <w:lang w:eastAsia="zh-CN"/>
              </w:rPr>
            </w:pPr>
            <w:r>
              <w:rPr>
                <w:rFonts w:hint="eastAsia" w:ascii="宋体" w:hAnsi="宋体" w:eastAsia="宋体" w:cs="宋体"/>
                <w:color w:val="auto"/>
                <w:kern w:val="0"/>
                <w:sz w:val="20"/>
                <w:szCs w:val="20"/>
                <w:highlight w:val="none"/>
                <w:lang w:bidi="ar"/>
              </w:rPr>
              <w:t>8</w:t>
            </w:r>
          </w:p>
        </w:tc>
        <w:tc>
          <w:tcPr>
            <w:tcW w:w="690" w:type="dxa"/>
            <w:vAlign w:val="center"/>
          </w:tcPr>
          <w:p>
            <w:pPr>
              <w:keepNext/>
              <w:keepLines/>
              <w:widowControl w:val="0"/>
              <w:spacing w:line="240" w:lineRule="auto"/>
              <w:ind w:firstLine="0" w:firstLineChars="0"/>
              <w:jc w:val="center"/>
              <w:rPr>
                <w:rFonts w:hint="eastAsia" w:eastAsia="宋体"/>
                <w:color w:val="auto"/>
                <w:sz w:val="20"/>
                <w:szCs w:val="20"/>
                <w:highlight w:val="none"/>
                <w:lang w:eastAsia="zh-CN"/>
              </w:rPr>
            </w:pPr>
            <w:r>
              <w:rPr>
                <w:rFonts w:hint="eastAsia" w:ascii="宋体" w:hAnsi="宋体" w:eastAsia="宋体" w:cs="宋体"/>
                <w:color w:val="auto"/>
                <w:kern w:val="0"/>
                <w:sz w:val="20"/>
                <w:szCs w:val="20"/>
                <w:highlight w:val="none"/>
                <w:lang w:bidi="ar"/>
              </w:rPr>
              <w:t>4</w:t>
            </w:r>
          </w:p>
        </w:tc>
        <w:tc>
          <w:tcPr>
            <w:tcW w:w="838" w:type="dxa"/>
            <w:vAlign w:val="center"/>
          </w:tcPr>
          <w:p>
            <w:pPr>
              <w:keepNext/>
              <w:keepLines/>
              <w:widowControl w:val="0"/>
              <w:spacing w:line="240" w:lineRule="auto"/>
              <w:ind w:firstLine="0" w:firstLineChars="0"/>
              <w:jc w:val="center"/>
              <w:rPr>
                <w:rFonts w:eastAsia="宋体"/>
                <w:color w:val="auto"/>
                <w:sz w:val="20"/>
                <w:szCs w:val="20"/>
                <w:highlight w:val="none"/>
              </w:rPr>
            </w:pPr>
            <w:r>
              <w:rPr>
                <w:rFonts w:hint="eastAsia" w:ascii="宋体" w:hAnsi="宋体" w:eastAsia="宋体" w:cs="宋体"/>
                <w:color w:val="auto"/>
                <w:kern w:val="0"/>
                <w:sz w:val="20"/>
                <w:szCs w:val="20"/>
                <w:highlight w:val="none"/>
                <w:lang w:bidi="ar"/>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4170" w:type="dxa"/>
            <w:gridSpan w:val="3"/>
            <w:vAlign w:val="center"/>
          </w:tcPr>
          <w:p>
            <w:pPr>
              <w:keepNext/>
              <w:keepLines/>
              <w:spacing w:line="240" w:lineRule="auto"/>
              <w:ind w:firstLine="0" w:firstLineChars="0"/>
              <w:jc w:val="center"/>
              <w:rPr>
                <w:rFonts w:eastAsia="宋体"/>
                <w:color w:val="auto"/>
                <w:sz w:val="20"/>
                <w:szCs w:val="20"/>
                <w:highlight w:val="none"/>
              </w:rPr>
            </w:pPr>
            <w:r>
              <w:rPr>
                <w:rFonts w:eastAsia="宋体"/>
                <w:color w:val="auto"/>
                <w:sz w:val="20"/>
                <w:szCs w:val="20"/>
                <w:highlight w:val="none"/>
              </w:rPr>
              <w:t>合计</w:t>
            </w:r>
          </w:p>
        </w:tc>
        <w:tc>
          <w:tcPr>
            <w:tcW w:w="841" w:type="dxa"/>
            <w:vAlign w:val="center"/>
          </w:tcPr>
          <w:p>
            <w:pPr>
              <w:keepNext/>
              <w:keepLines/>
              <w:widowControl w:val="0"/>
              <w:spacing w:line="240" w:lineRule="auto"/>
              <w:ind w:firstLine="0" w:firstLineChars="0"/>
              <w:jc w:val="center"/>
              <w:rPr>
                <w:rFonts w:eastAsia="宋体"/>
                <w:color w:val="auto"/>
                <w:sz w:val="20"/>
                <w:szCs w:val="20"/>
                <w:highlight w:val="none"/>
              </w:rPr>
            </w:pPr>
          </w:p>
        </w:tc>
        <w:tc>
          <w:tcPr>
            <w:tcW w:w="1110" w:type="dxa"/>
            <w:vAlign w:val="center"/>
          </w:tcPr>
          <w:p>
            <w:pPr>
              <w:keepNext/>
              <w:keepLines/>
              <w:widowControl w:val="0"/>
              <w:spacing w:line="240" w:lineRule="auto"/>
              <w:ind w:firstLine="0" w:firstLineChars="0"/>
              <w:jc w:val="center"/>
              <w:rPr>
                <w:rFonts w:eastAsia="宋体"/>
                <w:color w:val="auto"/>
                <w:sz w:val="20"/>
                <w:szCs w:val="20"/>
                <w:highlight w:val="none"/>
              </w:rPr>
            </w:pPr>
          </w:p>
        </w:tc>
        <w:tc>
          <w:tcPr>
            <w:tcW w:w="759" w:type="dxa"/>
            <w:vAlign w:val="center"/>
          </w:tcPr>
          <w:p>
            <w:pPr>
              <w:keepNext/>
              <w:keepLines/>
              <w:widowControl w:val="0"/>
              <w:spacing w:line="240" w:lineRule="auto"/>
              <w:ind w:firstLine="0" w:firstLineChars="0"/>
              <w:jc w:val="center"/>
              <w:rPr>
                <w:rFonts w:hint="eastAsia" w:eastAsia="宋体"/>
                <w:color w:val="auto"/>
                <w:sz w:val="20"/>
                <w:szCs w:val="20"/>
                <w:highlight w:val="none"/>
                <w:lang w:eastAsia="zh-CN"/>
              </w:rPr>
            </w:pPr>
            <w:r>
              <w:rPr>
                <w:rFonts w:hint="eastAsia" w:ascii="宋体" w:hAnsi="宋体" w:eastAsia="宋体" w:cs="宋体"/>
                <w:color w:val="auto"/>
                <w:kern w:val="0"/>
                <w:sz w:val="20"/>
                <w:szCs w:val="20"/>
                <w:highlight w:val="none"/>
                <w:lang w:bidi="ar"/>
              </w:rPr>
              <w:t>25</w:t>
            </w:r>
          </w:p>
        </w:tc>
        <w:tc>
          <w:tcPr>
            <w:tcW w:w="690" w:type="dxa"/>
            <w:vAlign w:val="center"/>
          </w:tcPr>
          <w:p>
            <w:pPr>
              <w:keepNext/>
              <w:keepLines/>
              <w:widowControl w:val="0"/>
              <w:spacing w:line="240" w:lineRule="auto"/>
              <w:ind w:firstLine="0" w:firstLineChars="0"/>
              <w:jc w:val="center"/>
              <w:rPr>
                <w:rFonts w:hint="eastAsia" w:eastAsia="宋体"/>
                <w:color w:val="auto"/>
                <w:sz w:val="20"/>
                <w:szCs w:val="20"/>
                <w:highlight w:val="none"/>
                <w:lang w:eastAsia="zh-CN"/>
              </w:rPr>
            </w:pPr>
            <w:r>
              <w:rPr>
                <w:rFonts w:hint="eastAsia" w:ascii="宋体" w:hAnsi="宋体" w:eastAsia="宋体" w:cs="宋体"/>
                <w:color w:val="auto"/>
                <w:kern w:val="0"/>
                <w:sz w:val="20"/>
                <w:szCs w:val="20"/>
                <w:highlight w:val="none"/>
                <w:lang w:bidi="ar"/>
              </w:rPr>
              <w:t>18</w:t>
            </w:r>
          </w:p>
        </w:tc>
        <w:tc>
          <w:tcPr>
            <w:tcW w:w="838" w:type="dxa"/>
            <w:vAlign w:val="center"/>
          </w:tcPr>
          <w:p>
            <w:pPr>
              <w:keepNext/>
              <w:keepLines/>
              <w:widowControl w:val="0"/>
              <w:spacing w:line="240" w:lineRule="auto"/>
              <w:ind w:firstLine="0" w:firstLineChars="0"/>
              <w:jc w:val="center"/>
              <w:rPr>
                <w:rFonts w:eastAsia="宋体"/>
                <w:color w:val="auto"/>
                <w:sz w:val="20"/>
                <w:szCs w:val="20"/>
                <w:highlight w:val="none"/>
              </w:rPr>
            </w:pPr>
            <w:r>
              <w:rPr>
                <w:rFonts w:hint="eastAsia" w:ascii="宋体" w:hAnsi="宋体" w:eastAsia="宋体" w:cs="宋体"/>
                <w:color w:val="auto"/>
                <w:kern w:val="0"/>
                <w:sz w:val="20"/>
                <w:szCs w:val="20"/>
                <w:highlight w:val="none"/>
                <w:lang w:bidi="ar"/>
              </w:rPr>
              <w:t>72%</w:t>
            </w:r>
          </w:p>
        </w:tc>
      </w:tr>
    </w:tbl>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指标得分分析：</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（1）B11资金到位率指标</w:t>
      </w:r>
    </w:p>
    <w:p>
      <w:pPr>
        <w:keepNext/>
        <w:keepLines/>
        <w:ind w:firstLine="422"/>
        <w:rPr>
          <w:b/>
          <w:bCs/>
          <w:color w:val="auto"/>
          <w:highlight w:val="none"/>
        </w:rPr>
      </w:pPr>
      <w:r>
        <w:rPr>
          <w:color w:val="auto"/>
          <w:highlight w:val="none"/>
        </w:rPr>
        <w:t>经查阅项目立项批复文件以及《关于提前下达2023年城乡义务教育补助经费预算（中</w:t>
      </w:r>
    </w:p>
    <w:p>
      <w:pPr>
        <w:keepNext/>
        <w:keepLines/>
        <w:ind w:firstLine="0" w:firstLineChars="0"/>
        <w:rPr>
          <w:color w:val="auto"/>
          <w:highlight w:val="none"/>
        </w:rPr>
      </w:pPr>
      <w:r>
        <w:rPr>
          <w:color w:val="auto"/>
          <w:highlight w:val="none"/>
        </w:rPr>
        <w:t>央直达资金）的通知》（喀地财教〔2022〕63号）资金拨付文件资料，项目预算资金总额为1</w:t>
      </w:r>
      <w:r>
        <w:rPr>
          <w:rFonts w:hint="eastAsia"/>
          <w:color w:val="auto"/>
          <w:highlight w:val="none"/>
          <w:lang w:eastAsia="zh-CN"/>
        </w:rPr>
        <w:t>，</w:t>
      </w:r>
      <w:r>
        <w:rPr>
          <w:color w:val="auto"/>
          <w:highlight w:val="none"/>
        </w:rPr>
        <w:t>800万元，到位资金1</w:t>
      </w:r>
      <w:r>
        <w:rPr>
          <w:rFonts w:hint="eastAsia"/>
          <w:color w:val="auto"/>
          <w:highlight w:val="none"/>
          <w:lang w:eastAsia="zh-CN"/>
        </w:rPr>
        <w:t>，</w:t>
      </w:r>
      <w:r>
        <w:rPr>
          <w:color w:val="auto"/>
          <w:highlight w:val="none"/>
        </w:rPr>
        <w:t>800万元。资金到位率100%，根据评价标准，项目完成且资金到位数满足年度预算规模需求，得3分。</w:t>
      </w:r>
    </w:p>
    <w:p>
      <w:pPr>
        <w:keepNext/>
        <w:keepLines/>
        <w:ind w:firstLine="420"/>
        <w:rPr>
          <w:color w:val="auto"/>
          <w:highlight w:val="none"/>
        </w:rPr>
      </w:pPr>
      <w:r>
        <w:rPr>
          <w:color w:val="auto"/>
          <w:highlight w:val="none"/>
        </w:rPr>
        <w:t>该指标满分为3分，根据评分标准得3分。</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（2）B12预算执行率指标</w:t>
      </w:r>
    </w:p>
    <w:p>
      <w:pPr>
        <w:keepNext/>
        <w:keepLines/>
        <w:ind w:firstLine="420"/>
        <w:rPr>
          <w:color w:val="auto"/>
          <w:highlight w:val="none"/>
        </w:rPr>
      </w:pPr>
      <w:r>
        <w:rPr>
          <w:color w:val="auto"/>
          <w:highlight w:val="none"/>
        </w:rPr>
        <w:t>经查阅项目资金文件及支付材料，项目到位资金1</w:t>
      </w:r>
      <w:r>
        <w:rPr>
          <w:rFonts w:hint="eastAsia"/>
          <w:color w:val="auto"/>
          <w:highlight w:val="none"/>
          <w:lang w:eastAsia="zh-CN"/>
        </w:rPr>
        <w:t>，</w:t>
      </w:r>
      <w:r>
        <w:rPr>
          <w:color w:val="auto"/>
          <w:highlight w:val="none"/>
        </w:rPr>
        <w:t>800万元，实际支出资金1</w:t>
      </w:r>
      <w:r>
        <w:rPr>
          <w:rFonts w:hint="eastAsia"/>
          <w:color w:val="auto"/>
          <w:highlight w:val="none"/>
          <w:lang w:eastAsia="zh-CN"/>
        </w:rPr>
        <w:t>，</w:t>
      </w:r>
      <w:r>
        <w:rPr>
          <w:color w:val="auto"/>
          <w:highlight w:val="none"/>
        </w:rPr>
        <w:t>261.99万元，预算执行率=（实际支出资金/实际到位资金）×100%=（1</w:t>
      </w:r>
      <w:r>
        <w:rPr>
          <w:rFonts w:hint="eastAsia"/>
          <w:color w:val="auto"/>
          <w:highlight w:val="none"/>
          <w:lang w:eastAsia="zh-CN"/>
        </w:rPr>
        <w:t>，</w:t>
      </w:r>
      <w:r>
        <w:rPr>
          <w:color w:val="auto"/>
          <w:highlight w:val="none"/>
        </w:rPr>
        <w:t>261.99/1</w:t>
      </w:r>
      <w:r>
        <w:rPr>
          <w:rFonts w:hint="eastAsia"/>
          <w:color w:val="auto"/>
          <w:highlight w:val="none"/>
          <w:lang w:eastAsia="zh-CN"/>
        </w:rPr>
        <w:t>，</w:t>
      </w:r>
      <w:r>
        <w:rPr>
          <w:color w:val="auto"/>
          <w:highlight w:val="none"/>
        </w:rPr>
        <w:t>800）×100%=70.11%。该项目已完成建设内容，合同总额为1</w:t>
      </w:r>
      <w:r>
        <w:rPr>
          <w:rFonts w:hint="eastAsia"/>
          <w:color w:val="auto"/>
          <w:highlight w:val="none"/>
          <w:lang w:eastAsia="zh-CN"/>
        </w:rPr>
        <w:t>，</w:t>
      </w:r>
      <w:r>
        <w:rPr>
          <w:color w:val="auto"/>
          <w:highlight w:val="none"/>
        </w:rPr>
        <w:t>567.09万元，尚未开展工程结算审计及竣工财务决算，</w:t>
      </w:r>
      <w:r>
        <w:rPr>
          <w:rFonts w:hint="eastAsia"/>
          <w:color w:val="auto"/>
          <w:highlight w:val="none"/>
        </w:rPr>
        <w:t>项目尚未完成。</w:t>
      </w:r>
      <w:r>
        <w:rPr>
          <w:color w:val="auto"/>
          <w:highlight w:val="none"/>
        </w:rPr>
        <w:t>根据评分标准，得2分。</w:t>
      </w:r>
    </w:p>
    <w:p>
      <w:pPr>
        <w:keepNext/>
        <w:keepLines/>
        <w:ind w:firstLine="420"/>
        <w:rPr>
          <w:color w:val="auto"/>
          <w:highlight w:val="none"/>
        </w:rPr>
      </w:pPr>
      <w:r>
        <w:rPr>
          <w:color w:val="auto"/>
          <w:highlight w:val="none"/>
        </w:rPr>
        <w:t>该指标满分为5分，根据评分标准得2分。</w:t>
      </w:r>
    </w:p>
    <w:p>
      <w:pPr>
        <w:keepNext/>
        <w:keepLines/>
        <w:pageBreakBefore w:val="0"/>
        <w:widowControl w:val="0"/>
        <w:numPr>
          <w:ilvl w:val="0"/>
          <w:numId w:val="2"/>
        </w:numPr>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B13资金使用合规性指标</w:t>
      </w:r>
    </w:p>
    <w:p>
      <w:pPr>
        <w:keepNext/>
        <w:keepLines/>
        <w:pageBreakBefore w:val="0"/>
        <w:widowControl w:val="0"/>
        <w:numPr>
          <w:ilvl w:val="0"/>
          <w:numId w:val="0"/>
        </w:numPr>
        <w:kinsoku/>
        <w:wordWrap/>
        <w:overflowPunct/>
        <w:topLinePunct w:val="0"/>
        <w:autoSpaceDE/>
        <w:autoSpaceDN/>
        <w:bidi w:val="0"/>
        <w:spacing w:line="360" w:lineRule="exact"/>
        <w:textAlignment w:val="auto"/>
        <w:rPr>
          <w:b/>
          <w:bCs/>
          <w:color w:val="auto"/>
          <w:sz w:val="24"/>
          <w:szCs w:val="28"/>
          <w:highlight w:val="none"/>
        </w:rPr>
      </w:pPr>
    </w:p>
    <w:p>
      <w:pPr>
        <w:keepNext/>
        <w:keepLines/>
        <w:pageBreakBefore w:val="0"/>
        <w:widowControl w:val="0"/>
        <w:numPr>
          <w:ilvl w:val="0"/>
          <w:numId w:val="0"/>
        </w:numPr>
        <w:kinsoku/>
        <w:wordWrap/>
        <w:overflowPunct/>
        <w:topLinePunct w:val="0"/>
        <w:autoSpaceDE/>
        <w:autoSpaceDN/>
        <w:bidi w:val="0"/>
        <w:spacing w:line="360" w:lineRule="exact"/>
        <w:textAlignment w:val="auto"/>
        <w:rPr>
          <w:b/>
          <w:bCs/>
          <w:color w:val="auto"/>
          <w:sz w:val="24"/>
          <w:szCs w:val="28"/>
          <w:highlight w:val="none"/>
        </w:rPr>
      </w:pPr>
    </w:p>
    <w:p>
      <w:pPr>
        <w:keepNext/>
        <w:keepLines/>
        <w:numPr>
          <w:ilvl w:val="255"/>
          <w:numId w:val="0"/>
        </w:numPr>
        <w:ind w:firstLine="420" w:firstLineChars="200"/>
        <w:rPr>
          <w:b/>
          <w:bCs/>
          <w:color w:val="auto"/>
          <w:highlight w:val="none"/>
        </w:rPr>
      </w:pPr>
      <w:r>
        <w:rPr>
          <w:rFonts w:hint="eastAsia"/>
          <w:color w:val="auto"/>
          <w:highlight w:val="none"/>
        </w:rPr>
        <w:t>经查阅项目资料，</w:t>
      </w:r>
      <w:r>
        <w:rPr>
          <w:color w:val="auto"/>
          <w:highlight w:val="none"/>
        </w:rPr>
        <w:t>项目资金使用遵从《巴楚县教育局内部控制手册》中相关资金管理制度，严格执行资金使用流程，符合国家财经法规和财务管理制度以及有关专项资金管理办法的规定。项目施工单位根据项目进度、项目合同等付款依据提交资金申请报告以及巴楚县工程款拨付申请表，经项目施工、监理、项目单位项目办、项目单位核算中心审批提交至由巴楚县教育局党组会议审核通过。巴楚县教育局向巴楚县财政局提交资金支付申请，经国库支付中心审核审批后办理支付，资金的拨付有完整的审批程序和手续，均用于支付校园维修改造合同工程款与项目前期费用</w:t>
      </w:r>
      <w:r>
        <w:rPr>
          <w:rFonts w:hint="eastAsia"/>
          <w:color w:val="auto"/>
          <w:highlight w:val="none"/>
        </w:rPr>
        <w:t>，</w:t>
      </w:r>
      <w:r>
        <w:rPr>
          <w:color w:val="auto"/>
          <w:highlight w:val="none"/>
        </w:rPr>
        <w:t>符合项目预算批复和合同规定的用途</w:t>
      </w:r>
      <w:r>
        <w:rPr>
          <w:rFonts w:hint="eastAsia"/>
          <w:color w:val="auto"/>
          <w:highlight w:val="none"/>
        </w:rPr>
        <w:t>，经核对项目进度审批</w:t>
      </w:r>
    </w:p>
    <w:p>
      <w:pPr>
        <w:keepNext/>
        <w:keepLines/>
        <w:ind w:firstLine="0" w:firstLineChars="0"/>
        <w:rPr>
          <w:color w:val="auto"/>
          <w:highlight w:val="none"/>
        </w:rPr>
      </w:pPr>
      <w:r>
        <w:rPr>
          <w:color w:val="auto"/>
          <w:highlight w:val="none"/>
        </w:rPr>
        <w:t>及支付材料，未发现超进度支付情况以及截留、挤占、挪用、虚列支出等情况。</w:t>
      </w:r>
    </w:p>
    <w:p>
      <w:pPr>
        <w:keepNext/>
        <w:keepLines/>
        <w:ind w:firstLine="420"/>
        <w:rPr>
          <w:color w:val="auto"/>
          <w:highlight w:val="none"/>
        </w:rPr>
      </w:pPr>
      <w:r>
        <w:rPr>
          <w:color w:val="auto"/>
          <w:highlight w:val="none"/>
        </w:rPr>
        <w:t>该指标满分为5分，根据评分标准得5分。</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（4）B21管理制度健全性指标</w:t>
      </w:r>
    </w:p>
    <w:p>
      <w:pPr>
        <w:keepNext/>
        <w:keepLines/>
        <w:ind w:firstLine="420"/>
        <w:rPr>
          <w:color w:val="auto"/>
          <w:highlight w:val="none"/>
        </w:rPr>
      </w:pPr>
      <w:r>
        <w:rPr>
          <w:color w:val="auto"/>
          <w:highlight w:val="none"/>
        </w:rPr>
        <w:t>经查阅巴楚县教育局制定的《巴楚县教育局内部控制手册》，项目实施单位建立较为完整的内部控制体系，其中关于业务</w:t>
      </w:r>
      <w:r>
        <w:rPr>
          <w:rFonts w:hint="eastAsia"/>
          <w:color w:val="auto"/>
          <w:highlight w:val="none"/>
        </w:rPr>
        <w:t>活动</w:t>
      </w:r>
      <w:r>
        <w:rPr>
          <w:color w:val="auto"/>
          <w:highlight w:val="none"/>
        </w:rPr>
        <w:t>层面从预算管理、政府采购、资金使用、建设项目管理、合同管理等各个方面进行了制度规范，强化优化管理措施，已建立制度中各项规章制度内容详备明确，具备可操作性。</w:t>
      </w:r>
    </w:p>
    <w:p>
      <w:pPr>
        <w:keepNext/>
        <w:keepLines/>
        <w:ind w:firstLine="420"/>
        <w:rPr>
          <w:color w:val="auto"/>
          <w:highlight w:val="none"/>
        </w:rPr>
      </w:pPr>
      <w:r>
        <w:rPr>
          <w:color w:val="auto"/>
          <w:highlight w:val="none"/>
        </w:rPr>
        <w:t>该指标满分为4分，根据评分标准得4分。</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（5）B22制度执行有效性指标</w:t>
      </w:r>
    </w:p>
    <w:p>
      <w:pPr>
        <w:keepNext/>
        <w:keepLines/>
        <w:ind w:firstLine="422"/>
        <w:rPr>
          <w:b/>
          <w:bCs/>
          <w:color w:val="auto"/>
          <w:highlight w:val="none"/>
        </w:rPr>
      </w:pPr>
      <w:r>
        <w:rPr>
          <w:color w:val="auto"/>
          <w:highlight w:val="none"/>
        </w:rPr>
        <w:t>经查阅项目实施前期及施工过程相关资料，项目组织机构健全，职责分工明确；项目实施前编制项目可行性研究报告（代项目建议书）、初步设计与施工图设计，完成项目投资立项及前期决策；依照《巴楚县政府采购工作实施管理办法</w:t>
      </w:r>
      <w:r>
        <w:rPr>
          <w:rFonts w:hint="eastAsia"/>
          <w:color w:val="auto"/>
          <w:highlight w:val="none"/>
        </w:rPr>
        <w:t>（</w:t>
      </w:r>
      <w:r>
        <w:rPr>
          <w:color w:val="auto"/>
          <w:highlight w:val="none"/>
        </w:rPr>
        <w:t>试行</w:t>
      </w:r>
      <w:r>
        <w:rPr>
          <w:rFonts w:hint="eastAsia"/>
          <w:color w:val="auto"/>
          <w:highlight w:val="none"/>
        </w:rPr>
        <w:t>）</w:t>
      </w:r>
      <w:r>
        <w:rPr>
          <w:color w:val="auto"/>
          <w:highlight w:val="none"/>
        </w:rPr>
        <w:t>》要求规范执行政府采购程序，通过询价的方式确定监理、设计、可研编制、地勘以及审计单位，通过公开招标确定项目施工单位；项目按要求及时办理并取得前期手续，组织施工、开展五方联合验收并编制竣工验收报告；项目施工合同管理到位，不存在大额资金项目未签订合同情况；该项目实施</w:t>
      </w:r>
    </w:p>
    <w:p>
      <w:pPr>
        <w:keepNext/>
        <w:keepLines/>
        <w:ind w:firstLine="422"/>
        <w:rPr>
          <w:b/>
          <w:bCs/>
          <w:color w:val="auto"/>
          <w:highlight w:val="none"/>
        </w:rPr>
      </w:pPr>
    </w:p>
    <w:p>
      <w:pPr>
        <w:keepNext/>
        <w:keepLines/>
        <w:ind w:firstLine="0" w:firstLineChars="0"/>
        <w:rPr>
          <w:color w:val="auto"/>
          <w:highlight w:val="none"/>
        </w:rPr>
      </w:pPr>
      <w:r>
        <w:rPr>
          <w:color w:val="auto"/>
          <w:highlight w:val="none"/>
        </w:rPr>
        <w:t>监理机制及巡查机制，项目实施期间未发现项目出现质量、安全事故等情况，管理与过程监督制度落实到位。但在调研了解项目实施情况过</w:t>
      </w:r>
      <w:r>
        <w:rPr>
          <w:rFonts w:hint="eastAsia"/>
          <w:color w:val="auto"/>
          <w:highlight w:val="none"/>
        </w:rPr>
        <w:t>程中</w:t>
      </w:r>
      <w:r>
        <w:rPr>
          <w:color w:val="auto"/>
          <w:highlight w:val="none"/>
        </w:rPr>
        <w:t>，项目实施单位在执行基本建设程序中存在以下情况：</w:t>
      </w:r>
      <w:r>
        <w:rPr>
          <w:rFonts w:eastAsia="宋体"/>
          <w:color w:val="auto"/>
          <w:highlight w:val="none"/>
        </w:rPr>
        <w:t>项目未及时开展工程结算和竣工财务决算审计。根据项目竣工验收报告，该项目于2023年10月12日竣工验收，但截至评价日尚未项按照《关于印发</w:t>
      </w:r>
      <w:r>
        <w:rPr>
          <w:rFonts w:hint="eastAsia" w:eastAsia="宋体"/>
          <w:color w:val="auto"/>
          <w:highlight w:val="none"/>
          <w:lang w:eastAsia="zh-CN"/>
        </w:rPr>
        <w:t>＜</w:t>
      </w:r>
      <w:r>
        <w:rPr>
          <w:rFonts w:eastAsia="宋体"/>
          <w:color w:val="auto"/>
          <w:highlight w:val="none"/>
        </w:rPr>
        <w:t>基本建设项目竣工财务决算管理暂行办法&gt;的通知》等相关法律法规要求开展工程结算及项目竣工决算审计。</w:t>
      </w:r>
    </w:p>
    <w:p>
      <w:pPr>
        <w:keepNext/>
        <w:keepLines/>
        <w:ind w:firstLine="420"/>
        <w:rPr>
          <w:color w:val="auto"/>
          <w:highlight w:val="none"/>
        </w:rPr>
      </w:pPr>
      <w:r>
        <w:rPr>
          <w:color w:val="auto"/>
          <w:highlight w:val="none"/>
        </w:rPr>
        <w:t>该指标满分为8分，根据评分标准得</w:t>
      </w:r>
      <w:r>
        <w:rPr>
          <w:rFonts w:hint="eastAsia"/>
          <w:color w:val="auto"/>
          <w:highlight w:val="none"/>
        </w:rPr>
        <w:t>4</w:t>
      </w:r>
      <w:r>
        <w:rPr>
          <w:color w:val="auto"/>
          <w:highlight w:val="none"/>
        </w:rPr>
        <w:t>分。</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lang w:val="en-US" w:eastAsia="zh-CN"/>
        </w:rPr>
      </w:pPr>
      <w:bookmarkStart w:id="228" w:name="_Toc32426"/>
      <w:bookmarkStart w:id="229" w:name="_Toc11136"/>
      <w:bookmarkStart w:id="230" w:name="_Toc7609"/>
      <w:bookmarkStart w:id="231" w:name="_Toc1468"/>
      <w:bookmarkStart w:id="232" w:name="_Toc29902"/>
      <w:bookmarkStart w:id="233" w:name="_Toc6679"/>
      <w:bookmarkStart w:id="234" w:name="_Toc13863"/>
      <w:bookmarkStart w:id="235" w:name="_Toc14591"/>
      <w:bookmarkStart w:id="236" w:name="_Toc13369"/>
      <w:r>
        <w:rPr>
          <w:b/>
          <w:bCs/>
          <w:color w:val="auto"/>
          <w:sz w:val="24"/>
          <w:szCs w:val="28"/>
          <w:highlight w:val="none"/>
          <w:lang w:val="en-US" w:eastAsia="zh-CN"/>
        </w:rPr>
        <w:t>（三）项目产出情况</w:t>
      </w:r>
      <w:bookmarkEnd w:id="228"/>
      <w:bookmarkEnd w:id="229"/>
      <w:bookmarkEnd w:id="230"/>
      <w:bookmarkEnd w:id="231"/>
      <w:bookmarkEnd w:id="232"/>
      <w:bookmarkEnd w:id="233"/>
      <w:bookmarkEnd w:id="234"/>
      <w:bookmarkEnd w:id="235"/>
      <w:bookmarkEnd w:id="236"/>
    </w:p>
    <w:p>
      <w:pPr>
        <w:keepNext/>
        <w:keepLines/>
        <w:ind w:firstLine="420"/>
        <w:jc w:val="left"/>
        <w:rPr>
          <w:color w:val="auto"/>
          <w:highlight w:val="none"/>
        </w:rPr>
      </w:pPr>
      <w:r>
        <w:rPr>
          <w:color w:val="auto"/>
          <w:highlight w:val="none"/>
        </w:rPr>
        <w:t>项目产出指标由</w:t>
      </w:r>
      <w:r>
        <w:rPr>
          <w:rFonts w:hint="eastAsia"/>
          <w:color w:val="auto"/>
          <w:highlight w:val="none"/>
        </w:rPr>
        <w:t>4</w:t>
      </w:r>
      <w:r>
        <w:rPr>
          <w:color w:val="auto"/>
          <w:highlight w:val="none"/>
        </w:rPr>
        <w:t>个二级和</w:t>
      </w:r>
      <w:r>
        <w:rPr>
          <w:rFonts w:hint="eastAsia"/>
          <w:color w:val="auto"/>
          <w:highlight w:val="none"/>
        </w:rPr>
        <w:t>5</w:t>
      </w:r>
      <w:r>
        <w:rPr>
          <w:color w:val="auto"/>
          <w:highlight w:val="none"/>
        </w:rPr>
        <w:t>个三级指标构成，权重分</w:t>
      </w:r>
      <w:r>
        <w:rPr>
          <w:rFonts w:hint="eastAsia"/>
          <w:color w:val="auto"/>
          <w:highlight w:val="none"/>
        </w:rPr>
        <w:t>30</w:t>
      </w:r>
      <w:r>
        <w:rPr>
          <w:color w:val="auto"/>
          <w:highlight w:val="none"/>
        </w:rPr>
        <w:t>分，实际得分</w:t>
      </w:r>
      <w:r>
        <w:rPr>
          <w:rFonts w:hint="eastAsia"/>
          <w:color w:val="auto"/>
          <w:highlight w:val="none"/>
        </w:rPr>
        <w:t>27</w:t>
      </w:r>
      <w:r>
        <w:rPr>
          <w:color w:val="auto"/>
          <w:highlight w:val="none"/>
        </w:rPr>
        <w:t>分</w:t>
      </w:r>
      <w:r>
        <w:rPr>
          <w:rFonts w:hint="eastAsia"/>
          <w:color w:val="auto"/>
          <w:highlight w:val="none"/>
        </w:rPr>
        <w:t>，得分率为90%</w:t>
      </w:r>
      <w:r>
        <w:rPr>
          <w:color w:val="auto"/>
          <w:highlight w:val="none"/>
        </w:rPr>
        <w:t>。各指标业绩值和绩效分值如下表所示：</w:t>
      </w:r>
    </w:p>
    <w:p>
      <w:pPr>
        <w:keepNext/>
        <w:keepLines/>
        <w:ind w:firstLine="0" w:firstLineChars="0"/>
        <w:jc w:val="center"/>
        <w:rPr>
          <w:rFonts w:eastAsia="黑体"/>
          <w:color w:val="auto"/>
          <w:szCs w:val="16"/>
          <w:highlight w:val="none"/>
        </w:rPr>
      </w:pPr>
      <w:r>
        <w:rPr>
          <w:b/>
          <w:bCs/>
          <w:color w:val="auto"/>
          <w:szCs w:val="16"/>
          <w:highlight w:val="none"/>
        </w:rPr>
        <w:t>表</w:t>
      </w:r>
      <w:r>
        <w:rPr>
          <w:rFonts w:hint="eastAsia"/>
          <w:b/>
          <w:bCs/>
          <w:color w:val="auto"/>
          <w:szCs w:val="16"/>
          <w:highlight w:val="none"/>
        </w:rPr>
        <w:t>5</w:t>
      </w:r>
      <w:r>
        <w:rPr>
          <w:b/>
          <w:bCs/>
          <w:color w:val="auto"/>
          <w:szCs w:val="16"/>
          <w:highlight w:val="none"/>
        </w:rPr>
        <w:t>-3：项目产出指标及分值</w:t>
      </w:r>
    </w:p>
    <w:tbl>
      <w:tblPr>
        <w:tblStyle w:val="19"/>
        <w:tblW w:w="84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
      <w:tblGrid>
        <w:gridCol w:w="921"/>
        <w:gridCol w:w="1039"/>
        <w:gridCol w:w="1962"/>
        <w:gridCol w:w="1302"/>
        <w:gridCol w:w="1094"/>
        <w:gridCol w:w="639"/>
        <w:gridCol w:w="621"/>
        <w:gridCol w:w="8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blHeader/>
        </w:trPr>
        <w:tc>
          <w:tcPr>
            <w:tcW w:w="921" w:type="dxa"/>
            <w:vAlign w:val="center"/>
          </w:tcPr>
          <w:p>
            <w:pPr>
              <w:keepNext/>
              <w:keepLines/>
              <w:spacing w:line="300" w:lineRule="auto"/>
              <w:ind w:firstLine="0" w:firstLineChars="0"/>
              <w:jc w:val="center"/>
              <w:textAlignment w:val="center"/>
              <w:rPr>
                <w:rFonts w:eastAsia="宋体"/>
                <w:b/>
                <w:color w:val="auto"/>
                <w:sz w:val="20"/>
                <w:szCs w:val="20"/>
                <w:highlight w:val="none"/>
              </w:rPr>
            </w:pPr>
            <w:r>
              <w:rPr>
                <w:rFonts w:eastAsia="宋体"/>
                <w:b/>
                <w:color w:val="auto"/>
                <w:kern w:val="0"/>
                <w:sz w:val="20"/>
                <w:szCs w:val="20"/>
                <w:highlight w:val="none"/>
                <w:lang w:bidi="ar"/>
              </w:rPr>
              <w:t>一级指标</w:t>
            </w:r>
          </w:p>
        </w:tc>
        <w:tc>
          <w:tcPr>
            <w:tcW w:w="1039" w:type="dxa"/>
            <w:vAlign w:val="center"/>
          </w:tcPr>
          <w:p>
            <w:pPr>
              <w:keepNext/>
              <w:keepLines/>
              <w:spacing w:line="300" w:lineRule="auto"/>
              <w:ind w:firstLine="0" w:firstLineChars="0"/>
              <w:jc w:val="center"/>
              <w:textAlignment w:val="center"/>
              <w:rPr>
                <w:rFonts w:eastAsia="宋体"/>
                <w:b/>
                <w:color w:val="auto"/>
                <w:sz w:val="20"/>
                <w:szCs w:val="20"/>
                <w:highlight w:val="none"/>
              </w:rPr>
            </w:pPr>
            <w:r>
              <w:rPr>
                <w:rFonts w:eastAsia="宋体"/>
                <w:b/>
                <w:color w:val="auto"/>
                <w:kern w:val="0"/>
                <w:sz w:val="20"/>
                <w:szCs w:val="20"/>
                <w:highlight w:val="none"/>
                <w:lang w:bidi="ar"/>
              </w:rPr>
              <w:t>二级指标</w:t>
            </w:r>
          </w:p>
        </w:tc>
        <w:tc>
          <w:tcPr>
            <w:tcW w:w="1962" w:type="dxa"/>
            <w:vAlign w:val="center"/>
          </w:tcPr>
          <w:p>
            <w:pPr>
              <w:keepNext/>
              <w:keepLines/>
              <w:spacing w:line="300" w:lineRule="auto"/>
              <w:ind w:firstLine="0" w:firstLineChars="0"/>
              <w:jc w:val="center"/>
              <w:textAlignment w:val="center"/>
              <w:rPr>
                <w:rFonts w:eastAsia="宋体"/>
                <w:b/>
                <w:color w:val="auto"/>
                <w:sz w:val="20"/>
                <w:szCs w:val="20"/>
                <w:highlight w:val="none"/>
              </w:rPr>
            </w:pPr>
            <w:r>
              <w:rPr>
                <w:rFonts w:eastAsia="宋体"/>
                <w:b/>
                <w:color w:val="auto"/>
                <w:kern w:val="0"/>
                <w:sz w:val="20"/>
                <w:szCs w:val="20"/>
                <w:highlight w:val="none"/>
                <w:lang w:bidi="ar"/>
              </w:rPr>
              <w:t>三级指标</w:t>
            </w:r>
          </w:p>
        </w:tc>
        <w:tc>
          <w:tcPr>
            <w:tcW w:w="1302" w:type="dxa"/>
            <w:vAlign w:val="center"/>
          </w:tcPr>
          <w:p>
            <w:pPr>
              <w:keepNext/>
              <w:keepLines/>
              <w:spacing w:line="300" w:lineRule="auto"/>
              <w:ind w:firstLine="0" w:firstLineChars="0"/>
              <w:jc w:val="center"/>
              <w:textAlignment w:val="center"/>
              <w:rPr>
                <w:rFonts w:eastAsia="宋体"/>
                <w:b/>
                <w:color w:val="auto"/>
                <w:sz w:val="20"/>
                <w:szCs w:val="20"/>
                <w:highlight w:val="none"/>
              </w:rPr>
            </w:pPr>
            <w:r>
              <w:rPr>
                <w:rFonts w:eastAsia="宋体"/>
                <w:b/>
                <w:color w:val="auto"/>
                <w:kern w:val="0"/>
                <w:sz w:val="20"/>
                <w:szCs w:val="20"/>
                <w:highlight w:val="none"/>
                <w:lang w:bidi="ar"/>
              </w:rPr>
              <w:t>目标值</w:t>
            </w:r>
          </w:p>
        </w:tc>
        <w:tc>
          <w:tcPr>
            <w:tcW w:w="1094" w:type="dxa"/>
            <w:vAlign w:val="center"/>
          </w:tcPr>
          <w:p>
            <w:pPr>
              <w:keepNext/>
              <w:keepLines/>
              <w:spacing w:line="300" w:lineRule="auto"/>
              <w:ind w:firstLine="0" w:firstLineChars="0"/>
              <w:jc w:val="center"/>
              <w:textAlignment w:val="center"/>
              <w:rPr>
                <w:rFonts w:eastAsia="宋体"/>
                <w:b/>
                <w:color w:val="auto"/>
                <w:kern w:val="0"/>
                <w:sz w:val="20"/>
                <w:szCs w:val="20"/>
                <w:highlight w:val="none"/>
                <w:lang w:bidi="ar"/>
              </w:rPr>
            </w:pPr>
            <w:r>
              <w:rPr>
                <w:rFonts w:eastAsia="宋体"/>
                <w:b/>
                <w:color w:val="auto"/>
                <w:kern w:val="0"/>
                <w:sz w:val="20"/>
                <w:szCs w:val="20"/>
                <w:highlight w:val="none"/>
                <w:lang w:bidi="ar"/>
              </w:rPr>
              <w:t>实际完成值</w:t>
            </w:r>
          </w:p>
        </w:tc>
        <w:tc>
          <w:tcPr>
            <w:tcW w:w="639" w:type="dxa"/>
            <w:vAlign w:val="center"/>
          </w:tcPr>
          <w:p>
            <w:pPr>
              <w:keepNext/>
              <w:keepLines/>
              <w:spacing w:line="300" w:lineRule="auto"/>
              <w:ind w:firstLine="0" w:firstLineChars="0"/>
              <w:jc w:val="center"/>
              <w:textAlignment w:val="center"/>
              <w:rPr>
                <w:rFonts w:eastAsia="宋体"/>
                <w:b/>
                <w:color w:val="auto"/>
                <w:sz w:val="20"/>
                <w:szCs w:val="20"/>
                <w:highlight w:val="none"/>
              </w:rPr>
            </w:pPr>
            <w:r>
              <w:rPr>
                <w:rFonts w:eastAsia="宋体"/>
                <w:b/>
                <w:color w:val="auto"/>
                <w:kern w:val="0"/>
                <w:sz w:val="20"/>
                <w:szCs w:val="20"/>
                <w:highlight w:val="none"/>
                <w:lang w:bidi="ar"/>
              </w:rPr>
              <w:t>权重</w:t>
            </w:r>
          </w:p>
        </w:tc>
        <w:tc>
          <w:tcPr>
            <w:tcW w:w="621" w:type="dxa"/>
            <w:vAlign w:val="center"/>
          </w:tcPr>
          <w:p>
            <w:pPr>
              <w:keepNext/>
              <w:keepLines/>
              <w:spacing w:line="300" w:lineRule="auto"/>
              <w:ind w:firstLine="0" w:firstLineChars="0"/>
              <w:jc w:val="center"/>
              <w:textAlignment w:val="center"/>
              <w:rPr>
                <w:rFonts w:eastAsia="宋体"/>
                <w:b/>
                <w:color w:val="auto"/>
                <w:sz w:val="20"/>
                <w:szCs w:val="20"/>
                <w:highlight w:val="none"/>
              </w:rPr>
            </w:pPr>
            <w:r>
              <w:rPr>
                <w:rFonts w:eastAsia="宋体"/>
                <w:b/>
                <w:color w:val="auto"/>
                <w:kern w:val="0"/>
                <w:sz w:val="20"/>
                <w:szCs w:val="20"/>
                <w:highlight w:val="none"/>
                <w:lang w:bidi="ar"/>
              </w:rPr>
              <w:t>得分</w:t>
            </w:r>
          </w:p>
        </w:tc>
        <w:tc>
          <w:tcPr>
            <w:tcW w:w="825" w:type="dxa"/>
            <w:vAlign w:val="center"/>
          </w:tcPr>
          <w:p>
            <w:pPr>
              <w:keepNext/>
              <w:keepLines/>
              <w:spacing w:line="300" w:lineRule="auto"/>
              <w:ind w:firstLine="0" w:firstLineChars="0"/>
              <w:jc w:val="center"/>
              <w:textAlignment w:val="center"/>
              <w:rPr>
                <w:rFonts w:eastAsia="宋体"/>
                <w:b/>
                <w:color w:val="auto"/>
                <w:kern w:val="0"/>
                <w:sz w:val="20"/>
                <w:szCs w:val="20"/>
                <w:highlight w:val="none"/>
                <w:lang w:bidi="ar"/>
              </w:rPr>
            </w:pPr>
            <w:r>
              <w:rPr>
                <w:rFonts w:eastAsia="宋体"/>
                <w:b/>
                <w:color w:val="auto"/>
                <w:kern w:val="0"/>
                <w:sz w:val="20"/>
                <w:szCs w:val="20"/>
                <w:highlight w:val="none"/>
                <w:lang w:bidi="ar"/>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c>
          <w:tcPr>
            <w:tcW w:w="921" w:type="dxa"/>
            <w:vMerge w:val="restart"/>
            <w:vAlign w:val="center"/>
          </w:tcPr>
          <w:p>
            <w:pPr>
              <w:keepNext/>
              <w:keepLines/>
              <w:spacing w:line="30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C产出（30分）</w:t>
            </w:r>
          </w:p>
        </w:tc>
        <w:tc>
          <w:tcPr>
            <w:tcW w:w="1039" w:type="dxa"/>
            <w:vAlign w:val="center"/>
          </w:tcPr>
          <w:p>
            <w:pPr>
              <w:keepNext/>
              <w:keepLines/>
              <w:spacing w:line="240" w:lineRule="auto"/>
              <w:ind w:firstLine="0" w:firstLineChars="0"/>
              <w:jc w:val="left"/>
              <w:textAlignment w:val="center"/>
              <w:rPr>
                <w:rFonts w:eastAsia="宋体"/>
                <w:color w:val="auto"/>
                <w:kern w:val="0"/>
                <w:sz w:val="20"/>
                <w:szCs w:val="20"/>
                <w:highlight w:val="none"/>
                <w:lang w:bidi="ar"/>
              </w:rPr>
            </w:pPr>
            <w:r>
              <w:rPr>
                <w:rFonts w:eastAsia="宋体"/>
                <w:color w:val="auto"/>
                <w:kern w:val="0"/>
                <w:sz w:val="20"/>
                <w:szCs w:val="20"/>
                <w:highlight w:val="none"/>
                <w:lang w:bidi="ar"/>
              </w:rPr>
              <w:t>C1产出数量（10分）</w:t>
            </w:r>
          </w:p>
        </w:tc>
        <w:tc>
          <w:tcPr>
            <w:tcW w:w="1962" w:type="dxa"/>
            <w:vAlign w:val="center"/>
          </w:tcPr>
          <w:p>
            <w:pPr>
              <w:keepNext/>
              <w:keepLines/>
              <w:spacing w:line="240" w:lineRule="auto"/>
              <w:ind w:firstLine="0" w:firstLineChars="0"/>
              <w:jc w:val="left"/>
              <w:textAlignment w:val="center"/>
              <w:rPr>
                <w:rFonts w:eastAsia="宋体"/>
                <w:color w:val="auto"/>
                <w:kern w:val="0"/>
                <w:sz w:val="20"/>
                <w:szCs w:val="20"/>
                <w:highlight w:val="none"/>
                <w:lang w:bidi="ar"/>
              </w:rPr>
            </w:pPr>
            <w:r>
              <w:rPr>
                <w:rFonts w:eastAsia="宋体"/>
                <w:color w:val="auto"/>
                <w:kern w:val="0"/>
                <w:sz w:val="20"/>
                <w:szCs w:val="20"/>
                <w:highlight w:val="none"/>
                <w:lang w:bidi="ar"/>
              </w:rPr>
              <w:t>C11维修改造学校数量</w:t>
            </w:r>
          </w:p>
        </w:tc>
        <w:tc>
          <w:tcPr>
            <w:tcW w:w="1302" w:type="dxa"/>
            <w:vAlign w:val="center"/>
          </w:tcPr>
          <w:p>
            <w:pPr>
              <w:keepNext/>
              <w:keepLines/>
              <w:widowControl w:val="0"/>
              <w:spacing w:line="300" w:lineRule="auto"/>
              <w:ind w:firstLine="0" w:firstLineChars="0"/>
              <w:jc w:val="center"/>
              <w:textAlignment w:val="center"/>
              <w:rPr>
                <w:rFonts w:eastAsia="宋体"/>
                <w:color w:val="auto"/>
                <w:kern w:val="0"/>
                <w:sz w:val="20"/>
                <w:szCs w:val="20"/>
                <w:highlight w:val="none"/>
                <w:lang w:bidi="ar"/>
              </w:rPr>
            </w:pPr>
            <w:r>
              <w:rPr>
                <w:rFonts w:hint="eastAsia" w:eastAsia="宋体"/>
                <w:color w:val="auto"/>
                <w:kern w:val="0"/>
                <w:sz w:val="20"/>
                <w:szCs w:val="20"/>
                <w:highlight w:val="none"/>
                <w:lang w:eastAsia="zh-CN" w:bidi="ar"/>
              </w:rPr>
              <w:t>≥</w:t>
            </w:r>
            <w:r>
              <w:rPr>
                <w:rFonts w:eastAsia="宋体"/>
                <w:color w:val="auto"/>
                <w:kern w:val="0"/>
                <w:sz w:val="20"/>
                <w:szCs w:val="20"/>
                <w:highlight w:val="none"/>
                <w:lang w:bidi="ar"/>
              </w:rPr>
              <w:t>14个</w:t>
            </w:r>
          </w:p>
        </w:tc>
        <w:tc>
          <w:tcPr>
            <w:tcW w:w="1094" w:type="dxa"/>
            <w:vAlign w:val="center"/>
          </w:tcPr>
          <w:p>
            <w:pPr>
              <w:keepNext/>
              <w:keepLines/>
              <w:widowControl w:val="0"/>
              <w:spacing w:line="300" w:lineRule="auto"/>
              <w:ind w:firstLine="0" w:firstLineChars="0"/>
              <w:jc w:val="center"/>
              <w:textAlignment w:val="center"/>
              <w:rPr>
                <w:rFonts w:eastAsia="宋体"/>
                <w:color w:val="auto"/>
                <w:kern w:val="0"/>
                <w:sz w:val="20"/>
                <w:szCs w:val="20"/>
                <w:highlight w:val="none"/>
                <w:lang w:bidi="ar"/>
              </w:rPr>
            </w:pPr>
            <w:r>
              <w:rPr>
                <w:rFonts w:eastAsia="宋体"/>
                <w:color w:val="auto"/>
                <w:kern w:val="0"/>
                <w:sz w:val="20"/>
                <w:szCs w:val="20"/>
                <w:highlight w:val="none"/>
                <w:lang w:bidi="ar"/>
              </w:rPr>
              <w:t>14个</w:t>
            </w:r>
          </w:p>
        </w:tc>
        <w:tc>
          <w:tcPr>
            <w:tcW w:w="639" w:type="dxa"/>
            <w:vAlign w:val="center"/>
          </w:tcPr>
          <w:p>
            <w:pPr>
              <w:keepNext/>
              <w:keepLines/>
              <w:widowControl w:val="0"/>
              <w:spacing w:line="300" w:lineRule="auto"/>
              <w:ind w:firstLine="0" w:firstLineChars="0"/>
              <w:jc w:val="center"/>
              <w:textAlignment w:val="center"/>
              <w:rPr>
                <w:rFonts w:hint="eastAsia" w:eastAsia="宋体"/>
                <w:color w:val="auto"/>
                <w:kern w:val="0"/>
                <w:sz w:val="20"/>
                <w:szCs w:val="20"/>
                <w:highlight w:val="none"/>
                <w:lang w:eastAsia="zh-CN" w:bidi="ar"/>
              </w:rPr>
            </w:pPr>
            <w:r>
              <w:rPr>
                <w:rFonts w:eastAsia="宋体"/>
                <w:color w:val="auto"/>
                <w:kern w:val="0"/>
                <w:sz w:val="20"/>
                <w:szCs w:val="20"/>
                <w:highlight w:val="none"/>
                <w:lang w:bidi="ar"/>
              </w:rPr>
              <w:t>10</w:t>
            </w:r>
          </w:p>
        </w:tc>
        <w:tc>
          <w:tcPr>
            <w:tcW w:w="621" w:type="dxa"/>
            <w:vAlign w:val="center"/>
          </w:tcPr>
          <w:p>
            <w:pPr>
              <w:keepNext/>
              <w:keepLines/>
              <w:widowControl w:val="0"/>
              <w:spacing w:line="300" w:lineRule="auto"/>
              <w:ind w:firstLine="0" w:firstLineChars="0"/>
              <w:jc w:val="center"/>
              <w:textAlignment w:val="center"/>
              <w:rPr>
                <w:rFonts w:hint="eastAsia" w:eastAsia="宋体"/>
                <w:color w:val="auto"/>
                <w:kern w:val="0"/>
                <w:sz w:val="20"/>
                <w:szCs w:val="20"/>
                <w:highlight w:val="none"/>
                <w:lang w:eastAsia="zh-CN" w:bidi="ar"/>
              </w:rPr>
            </w:pPr>
            <w:r>
              <w:rPr>
                <w:rFonts w:eastAsia="宋体"/>
                <w:color w:val="auto"/>
                <w:kern w:val="0"/>
                <w:sz w:val="20"/>
                <w:szCs w:val="20"/>
                <w:highlight w:val="none"/>
                <w:lang w:bidi="ar"/>
              </w:rPr>
              <w:t>10</w:t>
            </w:r>
          </w:p>
        </w:tc>
        <w:tc>
          <w:tcPr>
            <w:tcW w:w="825" w:type="dxa"/>
            <w:vAlign w:val="center"/>
          </w:tcPr>
          <w:p>
            <w:pPr>
              <w:keepNext/>
              <w:keepLines/>
              <w:widowControl w:val="0"/>
              <w:spacing w:line="300" w:lineRule="auto"/>
              <w:ind w:firstLine="0" w:firstLineChars="0"/>
              <w:jc w:val="center"/>
              <w:textAlignment w:val="center"/>
              <w:rPr>
                <w:rFonts w:eastAsia="宋体"/>
                <w:color w:val="auto"/>
                <w:kern w:val="0"/>
                <w:sz w:val="20"/>
                <w:szCs w:val="20"/>
                <w:highlight w:val="none"/>
                <w:lang w:bidi="ar"/>
              </w:rPr>
            </w:pPr>
            <w:r>
              <w:rPr>
                <w:rFonts w:eastAsia="宋体"/>
                <w:color w:val="auto"/>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c>
          <w:tcPr>
            <w:tcW w:w="921" w:type="dxa"/>
            <w:vMerge w:val="continue"/>
            <w:vAlign w:val="center"/>
          </w:tcPr>
          <w:p>
            <w:pPr>
              <w:keepNext/>
              <w:keepLines/>
              <w:spacing w:line="300" w:lineRule="auto"/>
              <w:ind w:firstLine="0" w:firstLineChars="0"/>
              <w:jc w:val="left"/>
              <w:textAlignment w:val="center"/>
              <w:rPr>
                <w:rFonts w:eastAsia="宋体"/>
                <w:color w:val="auto"/>
                <w:sz w:val="20"/>
                <w:szCs w:val="20"/>
                <w:highlight w:val="none"/>
              </w:rPr>
            </w:pPr>
          </w:p>
        </w:tc>
        <w:tc>
          <w:tcPr>
            <w:tcW w:w="1039" w:type="dxa"/>
            <w:vAlign w:val="center"/>
          </w:tcPr>
          <w:p>
            <w:pPr>
              <w:keepNext/>
              <w:keepLines/>
              <w:spacing w:line="240" w:lineRule="auto"/>
              <w:ind w:firstLine="0" w:firstLineChars="0"/>
              <w:jc w:val="left"/>
              <w:textAlignment w:val="center"/>
              <w:rPr>
                <w:rFonts w:eastAsia="宋体"/>
                <w:color w:val="auto"/>
                <w:kern w:val="0"/>
                <w:sz w:val="20"/>
                <w:szCs w:val="20"/>
                <w:highlight w:val="none"/>
                <w:lang w:bidi="ar"/>
              </w:rPr>
            </w:pPr>
            <w:r>
              <w:rPr>
                <w:rFonts w:eastAsia="宋体"/>
                <w:color w:val="auto"/>
                <w:kern w:val="0"/>
                <w:sz w:val="20"/>
                <w:szCs w:val="20"/>
                <w:highlight w:val="none"/>
                <w:lang w:bidi="ar"/>
              </w:rPr>
              <w:t>C2产出质量（8分）</w:t>
            </w:r>
          </w:p>
        </w:tc>
        <w:tc>
          <w:tcPr>
            <w:tcW w:w="1962" w:type="dxa"/>
            <w:vAlign w:val="center"/>
          </w:tcPr>
          <w:p>
            <w:pPr>
              <w:keepNext/>
              <w:keepLines/>
              <w:spacing w:line="240" w:lineRule="auto"/>
              <w:ind w:firstLine="0" w:firstLineChars="0"/>
              <w:jc w:val="left"/>
              <w:textAlignment w:val="center"/>
              <w:rPr>
                <w:rFonts w:eastAsia="宋体"/>
                <w:color w:val="auto"/>
                <w:kern w:val="0"/>
                <w:sz w:val="20"/>
                <w:szCs w:val="20"/>
                <w:highlight w:val="none"/>
                <w:lang w:bidi="ar"/>
              </w:rPr>
            </w:pPr>
            <w:r>
              <w:rPr>
                <w:rFonts w:eastAsia="宋体"/>
                <w:color w:val="auto"/>
                <w:kern w:val="0"/>
                <w:sz w:val="20"/>
                <w:szCs w:val="20"/>
                <w:highlight w:val="none"/>
                <w:lang w:bidi="ar"/>
              </w:rPr>
              <w:t>C21竣工验收合格率</w:t>
            </w:r>
          </w:p>
        </w:tc>
        <w:tc>
          <w:tcPr>
            <w:tcW w:w="1302" w:type="dxa"/>
            <w:vAlign w:val="center"/>
          </w:tcPr>
          <w:p>
            <w:pPr>
              <w:keepNext/>
              <w:keepLines/>
              <w:widowControl w:val="0"/>
              <w:spacing w:line="300" w:lineRule="auto"/>
              <w:ind w:firstLine="0" w:firstLineChars="0"/>
              <w:jc w:val="center"/>
              <w:textAlignment w:val="center"/>
              <w:rPr>
                <w:rFonts w:eastAsia="宋体"/>
                <w:color w:val="auto"/>
                <w:kern w:val="0"/>
                <w:sz w:val="20"/>
                <w:szCs w:val="20"/>
                <w:highlight w:val="none"/>
                <w:lang w:bidi="ar"/>
              </w:rPr>
            </w:pPr>
            <w:r>
              <w:rPr>
                <w:rFonts w:eastAsia="宋体"/>
                <w:color w:val="auto"/>
                <w:kern w:val="0"/>
                <w:sz w:val="20"/>
                <w:szCs w:val="20"/>
                <w:highlight w:val="none"/>
                <w:lang w:bidi="ar"/>
              </w:rPr>
              <w:t>100%</w:t>
            </w:r>
          </w:p>
        </w:tc>
        <w:tc>
          <w:tcPr>
            <w:tcW w:w="1094" w:type="dxa"/>
            <w:vAlign w:val="center"/>
          </w:tcPr>
          <w:p>
            <w:pPr>
              <w:keepNext/>
              <w:keepLines/>
              <w:widowControl w:val="0"/>
              <w:spacing w:line="300" w:lineRule="auto"/>
              <w:ind w:firstLine="0" w:firstLineChars="0"/>
              <w:jc w:val="center"/>
              <w:textAlignment w:val="center"/>
              <w:rPr>
                <w:rFonts w:eastAsia="宋体"/>
                <w:color w:val="auto"/>
                <w:kern w:val="0"/>
                <w:sz w:val="20"/>
                <w:szCs w:val="20"/>
                <w:highlight w:val="none"/>
                <w:lang w:bidi="ar"/>
              </w:rPr>
            </w:pPr>
            <w:r>
              <w:rPr>
                <w:rFonts w:eastAsia="宋体"/>
                <w:color w:val="auto"/>
                <w:kern w:val="0"/>
                <w:sz w:val="20"/>
                <w:szCs w:val="20"/>
                <w:highlight w:val="none"/>
                <w:lang w:bidi="ar"/>
              </w:rPr>
              <w:t>100%</w:t>
            </w:r>
          </w:p>
        </w:tc>
        <w:tc>
          <w:tcPr>
            <w:tcW w:w="639" w:type="dxa"/>
            <w:vAlign w:val="center"/>
          </w:tcPr>
          <w:p>
            <w:pPr>
              <w:keepNext/>
              <w:keepLines/>
              <w:widowControl w:val="0"/>
              <w:spacing w:line="300" w:lineRule="auto"/>
              <w:ind w:firstLine="0" w:firstLineChars="0"/>
              <w:jc w:val="center"/>
              <w:textAlignment w:val="center"/>
              <w:rPr>
                <w:rFonts w:hint="eastAsia" w:eastAsia="宋体"/>
                <w:color w:val="auto"/>
                <w:kern w:val="0"/>
                <w:sz w:val="20"/>
                <w:szCs w:val="20"/>
                <w:highlight w:val="none"/>
                <w:lang w:eastAsia="zh-CN" w:bidi="ar"/>
              </w:rPr>
            </w:pPr>
            <w:r>
              <w:rPr>
                <w:rFonts w:eastAsia="宋体"/>
                <w:color w:val="auto"/>
                <w:kern w:val="0"/>
                <w:sz w:val="20"/>
                <w:szCs w:val="20"/>
                <w:highlight w:val="none"/>
                <w:lang w:bidi="ar"/>
              </w:rPr>
              <w:t>8</w:t>
            </w:r>
          </w:p>
        </w:tc>
        <w:tc>
          <w:tcPr>
            <w:tcW w:w="621" w:type="dxa"/>
            <w:vAlign w:val="center"/>
          </w:tcPr>
          <w:p>
            <w:pPr>
              <w:keepNext/>
              <w:keepLines/>
              <w:widowControl w:val="0"/>
              <w:spacing w:line="300" w:lineRule="auto"/>
              <w:ind w:firstLine="0" w:firstLineChars="0"/>
              <w:jc w:val="center"/>
              <w:textAlignment w:val="center"/>
              <w:rPr>
                <w:rFonts w:hint="eastAsia" w:eastAsia="宋体"/>
                <w:color w:val="auto"/>
                <w:kern w:val="0"/>
                <w:sz w:val="20"/>
                <w:szCs w:val="20"/>
                <w:highlight w:val="none"/>
                <w:lang w:eastAsia="zh-CN" w:bidi="ar"/>
              </w:rPr>
            </w:pPr>
            <w:r>
              <w:rPr>
                <w:rFonts w:eastAsia="宋体"/>
                <w:color w:val="auto"/>
                <w:kern w:val="0"/>
                <w:sz w:val="20"/>
                <w:szCs w:val="20"/>
                <w:highlight w:val="none"/>
                <w:lang w:bidi="ar"/>
              </w:rPr>
              <w:t>8</w:t>
            </w:r>
          </w:p>
        </w:tc>
        <w:tc>
          <w:tcPr>
            <w:tcW w:w="825" w:type="dxa"/>
            <w:vAlign w:val="center"/>
          </w:tcPr>
          <w:p>
            <w:pPr>
              <w:keepNext/>
              <w:keepLines/>
              <w:widowControl w:val="0"/>
              <w:spacing w:line="300" w:lineRule="auto"/>
              <w:ind w:firstLine="0" w:firstLineChars="0"/>
              <w:jc w:val="center"/>
              <w:textAlignment w:val="center"/>
              <w:rPr>
                <w:rFonts w:eastAsia="宋体"/>
                <w:color w:val="auto"/>
                <w:kern w:val="0"/>
                <w:sz w:val="20"/>
                <w:szCs w:val="20"/>
                <w:highlight w:val="none"/>
                <w:lang w:bidi="ar"/>
              </w:rPr>
            </w:pPr>
            <w:r>
              <w:rPr>
                <w:rFonts w:eastAsia="宋体"/>
                <w:color w:val="auto"/>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c>
          <w:tcPr>
            <w:tcW w:w="921" w:type="dxa"/>
            <w:vMerge w:val="continue"/>
            <w:vAlign w:val="center"/>
          </w:tcPr>
          <w:p>
            <w:pPr>
              <w:keepNext/>
              <w:keepLines/>
              <w:spacing w:line="300" w:lineRule="auto"/>
              <w:ind w:firstLine="0" w:firstLineChars="0"/>
              <w:jc w:val="left"/>
              <w:textAlignment w:val="center"/>
              <w:rPr>
                <w:rFonts w:eastAsia="宋体"/>
                <w:color w:val="auto"/>
                <w:sz w:val="20"/>
                <w:szCs w:val="20"/>
                <w:highlight w:val="none"/>
              </w:rPr>
            </w:pPr>
          </w:p>
        </w:tc>
        <w:tc>
          <w:tcPr>
            <w:tcW w:w="1039" w:type="dxa"/>
            <w:vMerge w:val="restart"/>
            <w:vAlign w:val="center"/>
          </w:tcPr>
          <w:p>
            <w:pPr>
              <w:keepNext/>
              <w:keepLines/>
              <w:spacing w:line="240" w:lineRule="auto"/>
              <w:ind w:firstLine="0" w:firstLineChars="0"/>
              <w:jc w:val="left"/>
              <w:textAlignment w:val="center"/>
              <w:rPr>
                <w:rFonts w:eastAsia="宋体"/>
                <w:color w:val="auto"/>
                <w:kern w:val="0"/>
                <w:sz w:val="20"/>
                <w:szCs w:val="20"/>
                <w:highlight w:val="none"/>
                <w:lang w:bidi="ar"/>
              </w:rPr>
            </w:pPr>
            <w:r>
              <w:rPr>
                <w:rFonts w:eastAsia="宋体"/>
                <w:color w:val="auto"/>
                <w:kern w:val="0"/>
                <w:sz w:val="20"/>
                <w:szCs w:val="20"/>
                <w:highlight w:val="none"/>
                <w:lang w:bidi="ar"/>
              </w:rPr>
              <w:t>C3产出时效（6分）</w:t>
            </w:r>
          </w:p>
        </w:tc>
        <w:tc>
          <w:tcPr>
            <w:tcW w:w="1962" w:type="dxa"/>
            <w:vAlign w:val="center"/>
          </w:tcPr>
          <w:p>
            <w:pPr>
              <w:keepNext/>
              <w:keepLines/>
              <w:spacing w:line="240" w:lineRule="auto"/>
              <w:ind w:firstLine="0" w:firstLineChars="0"/>
              <w:jc w:val="left"/>
              <w:textAlignment w:val="center"/>
              <w:rPr>
                <w:rFonts w:eastAsia="宋体"/>
                <w:color w:val="auto"/>
                <w:kern w:val="0"/>
                <w:sz w:val="20"/>
                <w:szCs w:val="20"/>
                <w:highlight w:val="none"/>
                <w:lang w:bidi="ar"/>
              </w:rPr>
            </w:pPr>
            <w:r>
              <w:rPr>
                <w:rFonts w:eastAsia="宋体"/>
                <w:color w:val="auto"/>
                <w:kern w:val="0"/>
                <w:sz w:val="20"/>
                <w:szCs w:val="20"/>
                <w:highlight w:val="none"/>
                <w:lang w:bidi="ar"/>
              </w:rPr>
              <w:t>C31项目开工及时率</w:t>
            </w:r>
          </w:p>
        </w:tc>
        <w:tc>
          <w:tcPr>
            <w:tcW w:w="1302" w:type="dxa"/>
            <w:vAlign w:val="center"/>
          </w:tcPr>
          <w:p>
            <w:pPr>
              <w:keepNext/>
              <w:keepLines/>
              <w:widowControl w:val="0"/>
              <w:spacing w:line="300" w:lineRule="auto"/>
              <w:ind w:firstLine="0" w:firstLineChars="0"/>
              <w:jc w:val="center"/>
              <w:textAlignment w:val="center"/>
              <w:rPr>
                <w:rFonts w:eastAsia="宋体"/>
                <w:color w:val="auto"/>
                <w:kern w:val="0"/>
                <w:sz w:val="20"/>
                <w:szCs w:val="20"/>
                <w:highlight w:val="none"/>
                <w:lang w:bidi="ar"/>
              </w:rPr>
            </w:pPr>
            <w:r>
              <w:rPr>
                <w:rFonts w:eastAsia="宋体"/>
                <w:color w:val="auto"/>
                <w:kern w:val="0"/>
                <w:sz w:val="20"/>
                <w:szCs w:val="20"/>
                <w:highlight w:val="none"/>
                <w:lang w:bidi="ar"/>
              </w:rPr>
              <w:t>100%</w:t>
            </w:r>
          </w:p>
        </w:tc>
        <w:tc>
          <w:tcPr>
            <w:tcW w:w="1094" w:type="dxa"/>
            <w:vAlign w:val="center"/>
          </w:tcPr>
          <w:p>
            <w:pPr>
              <w:keepNext/>
              <w:keepLines/>
              <w:widowControl w:val="0"/>
              <w:spacing w:line="300" w:lineRule="auto"/>
              <w:ind w:firstLine="0" w:firstLineChars="0"/>
              <w:jc w:val="center"/>
              <w:textAlignment w:val="center"/>
              <w:rPr>
                <w:rFonts w:eastAsia="宋体"/>
                <w:color w:val="auto"/>
                <w:kern w:val="0"/>
                <w:sz w:val="20"/>
                <w:szCs w:val="20"/>
                <w:highlight w:val="none"/>
                <w:lang w:bidi="ar"/>
              </w:rPr>
            </w:pPr>
            <w:r>
              <w:rPr>
                <w:rFonts w:eastAsia="宋体"/>
                <w:color w:val="auto"/>
                <w:kern w:val="0"/>
                <w:sz w:val="20"/>
                <w:szCs w:val="20"/>
                <w:highlight w:val="none"/>
                <w:lang w:bidi="ar"/>
              </w:rPr>
              <w:t>0%</w:t>
            </w:r>
          </w:p>
        </w:tc>
        <w:tc>
          <w:tcPr>
            <w:tcW w:w="639" w:type="dxa"/>
            <w:vAlign w:val="center"/>
          </w:tcPr>
          <w:p>
            <w:pPr>
              <w:keepNext/>
              <w:keepLines/>
              <w:widowControl w:val="0"/>
              <w:spacing w:line="300" w:lineRule="auto"/>
              <w:ind w:firstLine="0" w:firstLineChars="0"/>
              <w:jc w:val="center"/>
              <w:textAlignment w:val="center"/>
              <w:rPr>
                <w:rFonts w:hint="eastAsia" w:eastAsia="宋体"/>
                <w:color w:val="auto"/>
                <w:kern w:val="0"/>
                <w:sz w:val="20"/>
                <w:szCs w:val="20"/>
                <w:highlight w:val="none"/>
                <w:lang w:eastAsia="zh-CN" w:bidi="ar"/>
              </w:rPr>
            </w:pPr>
            <w:r>
              <w:rPr>
                <w:rFonts w:eastAsia="宋体"/>
                <w:color w:val="auto"/>
                <w:kern w:val="0"/>
                <w:sz w:val="20"/>
                <w:szCs w:val="20"/>
                <w:highlight w:val="none"/>
                <w:lang w:bidi="ar"/>
              </w:rPr>
              <w:t>3</w:t>
            </w:r>
          </w:p>
        </w:tc>
        <w:tc>
          <w:tcPr>
            <w:tcW w:w="621" w:type="dxa"/>
            <w:vAlign w:val="center"/>
          </w:tcPr>
          <w:p>
            <w:pPr>
              <w:keepNext/>
              <w:keepLines/>
              <w:widowControl w:val="0"/>
              <w:spacing w:line="300" w:lineRule="auto"/>
              <w:ind w:firstLine="0" w:firstLineChars="0"/>
              <w:jc w:val="center"/>
              <w:textAlignment w:val="center"/>
              <w:rPr>
                <w:rFonts w:hint="eastAsia" w:eastAsia="宋体"/>
                <w:color w:val="auto"/>
                <w:kern w:val="0"/>
                <w:sz w:val="20"/>
                <w:szCs w:val="20"/>
                <w:highlight w:val="none"/>
                <w:lang w:eastAsia="zh-CN" w:bidi="ar"/>
              </w:rPr>
            </w:pPr>
            <w:r>
              <w:rPr>
                <w:rFonts w:eastAsia="宋体"/>
                <w:color w:val="auto"/>
                <w:kern w:val="0"/>
                <w:sz w:val="20"/>
                <w:szCs w:val="20"/>
                <w:highlight w:val="none"/>
                <w:lang w:bidi="ar"/>
              </w:rPr>
              <w:t>0</w:t>
            </w:r>
          </w:p>
        </w:tc>
        <w:tc>
          <w:tcPr>
            <w:tcW w:w="825" w:type="dxa"/>
            <w:vAlign w:val="center"/>
          </w:tcPr>
          <w:p>
            <w:pPr>
              <w:keepNext/>
              <w:keepLines/>
              <w:widowControl w:val="0"/>
              <w:spacing w:line="300" w:lineRule="auto"/>
              <w:ind w:firstLine="0" w:firstLineChars="0"/>
              <w:jc w:val="center"/>
              <w:textAlignment w:val="center"/>
              <w:rPr>
                <w:rFonts w:eastAsia="宋体"/>
                <w:color w:val="auto"/>
                <w:kern w:val="0"/>
                <w:sz w:val="20"/>
                <w:szCs w:val="20"/>
                <w:highlight w:val="none"/>
                <w:lang w:bidi="ar"/>
              </w:rPr>
            </w:pPr>
            <w:r>
              <w:rPr>
                <w:rFonts w:eastAsia="宋体"/>
                <w:color w:val="auto"/>
                <w:kern w:val="0"/>
                <w:sz w:val="20"/>
                <w:szCs w:val="20"/>
                <w:highlight w:val="none"/>
                <w:lang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c>
          <w:tcPr>
            <w:tcW w:w="921" w:type="dxa"/>
            <w:vMerge w:val="continue"/>
            <w:vAlign w:val="center"/>
          </w:tcPr>
          <w:p>
            <w:pPr>
              <w:keepNext/>
              <w:keepLines/>
              <w:spacing w:line="300" w:lineRule="auto"/>
              <w:ind w:firstLine="0" w:firstLineChars="0"/>
              <w:jc w:val="left"/>
              <w:textAlignment w:val="center"/>
              <w:rPr>
                <w:rFonts w:eastAsia="宋体"/>
                <w:color w:val="auto"/>
                <w:sz w:val="20"/>
                <w:szCs w:val="20"/>
                <w:highlight w:val="none"/>
              </w:rPr>
            </w:pPr>
          </w:p>
        </w:tc>
        <w:tc>
          <w:tcPr>
            <w:tcW w:w="1039" w:type="dxa"/>
            <w:vMerge w:val="continue"/>
            <w:vAlign w:val="center"/>
          </w:tcPr>
          <w:p>
            <w:pPr>
              <w:keepNext/>
              <w:keepLines/>
              <w:spacing w:line="240" w:lineRule="auto"/>
              <w:ind w:firstLine="0" w:firstLineChars="0"/>
              <w:jc w:val="left"/>
              <w:textAlignment w:val="center"/>
              <w:rPr>
                <w:rFonts w:eastAsia="宋体"/>
                <w:color w:val="auto"/>
                <w:kern w:val="0"/>
                <w:sz w:val="20"/>
                <w:szCs w:val="20"/>
                <w:highlight w:val="none"/>
                <w:lang w:bidi="ar"/>
              </w:rPr>
            </w:pPr>
          </w:p>
        </w:tc>
        <w:tc>
          <w:tcPr>
            <w:tcW w:w="1962" w:type="dxa"/>
            <w:vAlign w:val="center"/>
          </w:tcPr>
          <w:p>
            <w:pPr>
              <w:keepNext/>
              <w:keepLines/>
              <w:spacing w:line="240" w:lineRule="auto"/>
              <w:ind w:firstLine="0" w:firstLineChars="0"/>
              <w:jc w:val="left"/>
              <w:textAlignment w:val="center"/>
              <w:rPr>
                <w:rFonts w:eastAsia="宋体"/>
                <w:color w:val="auto"/>
                <w:kern w:val="0"/>
                <w:sz w:val="20"/>
                <w:szCs w:val="20"/>
                <w:highlight w:val="none"/>
                <w:lang w:bidi="ar"/>
              </w:rPr>
            </w:pPr>
            <w:r>
              <w:rPr>
                <w:rFonts w:eastAsia="宋体"/>
                <w:color w:val="auto"/>
                <w:kern w:val="0"/>
                <w:sz w:val="20"/>
                <w:szCs w:val="20"/>
                <w:highlight w:val="none"/>
                <w:lang w:bidi="ar"/>
              </w:rPr>
              <w:t>C32项目完工及时率</w:t>
            </w:r>
          </w:p>
        </w:tc>
        <w:tc>
          <w:tcPr>
            <w:tcW w:w="1302" w:type="dxa"/>
            <w:vAlign w:val="center"/>
          </w:tcPr>
          <w:p>
            <w:pPr>
              <w:keepNext/>
              <w:keepLines/>
              <w:widowControl w:val="0"/>
              <w:spacing w:line="300" w:lineRule="auto"/>
              <w:ind w:firstLine="0" w:firstLineChars="0"/>
              <w:jc w:val="center"/>
              <w:textAlignment w:val="center"/>
              <w:rPr>
                <w:rFonts w:eastAsia="宋体"/>
                <w:color w:val="auto"/>
                <w:kern w:val="0"/>
                <w:sz w:val="20"/>
                <w:szCs w:val="20"/>
                <w:highlight w:val="none"/>
                <w:lang w:bidi="ar"/>
              </w:rPr>
            </w:pPr>
            <w:r>
              <w:rPr>
                <w:rFonts w:eastAsia="宋体"/>
                <w:color w:val="auto"/>
                <w:kern w:val="0"/>
                <w:sz w:val="20"/>
                <w:szCs w:val="20"/>
                <w:highlight w:val="none"/>
                <w:lang w:bidi="ar"/>
              </w:rPr>
              <w:t>100%</w:t>
            </w:r>
          </w:p>
        </w:tc>
        <w:tc>
          <w:tcPr>
            <w:tcW w:w="1094" w:type="dxa"/>
            <w:vAlign w:val="center"/>
          </w:tcPr>
          <w:p>
            <w:pPr>
              <w:keepNext/>
              <w:keepLines/>
              <w:widowControl w:val="0"/>
              <w:spacing w:line="300" w:lineRule="auto"/>
              <w:ind w:firstLine="0" w:firstLineChars="0"/>
              <w:jc w:val="center"/>
              <w:textAlignment w:val="center"/>
              <w:rPr>
                <w:rFonts w:eastAsia="宋体"/>
                <w:color w:val="auto"/>
                <w:kern w:val="0"/>
                <w:sz w:val="20"/>
                <w:szCs w:val="20"/>
                <w:highlight w:val="none"/>
                <w:lang w:bidi="ar"/>
              </w:rPr>
            </w:pPr>
            <w:r>
              <w:rPr>
                <w:rFonts w:eastAsia="宋体"/>
                <w:color w:val="auto"/>
                <w:kern w:val="0"/>
                <w:sz w:val="20"/>
                <w:szCs w:val="20"/>
                <w:highlight w:val="none"/>
                <w:lang w:bidi="ar"/>
              </w:rPr>
              <w:t>100%</w:t>
            </w:r>
          </w:p>
        </w:tc>
        <w:tc>
          <w:tcPr>
            <w:tcW w:w="639" w:type="dxa"/>
            <w:vAlign w:val="center"/>
          </w:tcPr>
          <w:p>
            <w:pPr>
              <w:keepNext/>
              <w:keepLines/>
              <w:widowControl w:val="0"/>
              <w:spacing w:line="300" w:lineRule="auto"/>
              <w:ind w:firstLine="0" w:firstLineChars="0"/>
              <w:jc w:val="center"/>
              <w:textAlignment w:val="center"/>
              <w:rPr>
                <w:rFonts w:hint="eastAsia" w:eastAsia="宋体"/>
                <w:color w:val="auto"/>
                <w:kern w:val="0"/>
                <w:sz w:val="20"/>
                <w:szCs w:val="20"/>
                <w:highlight w:val="none"/>
                <w:lang w:eastAsia="zh-CN" w:bidi="ar"/>
              </w:rPr>
            </w:pPr>
            <w:r>
              <w:rPr>
                <w:rFonts w:eastAsia="宋体"/>
                <w:color w:val="auto"/>
                <w:kern w:val="0"/>
                <w:sz w:val="20"/>
                <w:szCs w:val="20"/>
                <w:highlight w:val="none"/>
                <w:lang w:bidi="ar"/>
              </w:rPr>
              <w:t>3</w:t>
            </w:r>
          </w:p>
        </w:tc>
        <w:tc>
          <w:tcPr>
            <w:tcW w:w="621" w:type="dxa"/>
            <w:vAlign w:val="center"/>
          </w:tcPr>
          <w:p>
            <w:pPr>
              <w:keepNext/>
              <w:keepLines/>
              <w:widowControl w:val="0"/>
              <w:spacing w:line="300" w:lineRule="auto"/>
              <w:ind w:firstLine="0" w:firstLineChars="0"/>
              <w:jc w:val="center"/>
              <w:textAlignment w:val="center"/>
              <w:rPr>
                <w:rFonts w:hint="eastAsia" w:eastAsia="宋体"/>
                <w:color w:val="auto"/>
                <w:kern w:val="0"/>
                <w:sz w:val="20"/>
                <w:szCs w:val="20"/>
                <w:highlight w:val="none"/>
                <w:lang w:eastAsia="zh-CN" w:bidi="ar"/>
              </w:rPr>
            </w:pPr>
            <w:r>
              <w:rPr>
                <w:rFonts w:eastAsia="宋体"/>
                <w:color w:val="auto"/>
                <w:kern w:val="0"/>
                <w:sz w:val="20"/>
                <w:szCs w:val="20"/>
                <w:highlight w:val="none"/>
                <w:lang w:bidi="ar"/>
              </w:rPr>
              <w:t>3</w:t>
            </w:r>
          </w:p>
        </w:tc>
        <w:tc>
          <w:tcPr>
            <w:tcW w:w="825" w:type="dxa"/>
            <w:vAlign w:val="center"/>
          </w:tcPr>
          <w:p>
            <w:pPr>
              <w:keepNext/>
              <w:keepLines/>
              <w:widowControl w:val="0"/>
              <w:spacing w:line="300" w:lineRule="auto"/>
              <w:ind w:firstLine="0" w:firstLineChars="0"/>
              <w:jc w:val="center"/>
              <w:textAlignment w:val="center"/>
              <w:rPr>
                <w:rFonts w:eastAsia="宋体"/>
                <w:color w:val="auto"/>
                <w:kern w:val="0"/>
                <w:sz w:val="20"/>
                <w:szCs w:val="20"/>
                <w:highlight w:val="none"/>
                <w:lang w:bidi="ar"/>
              </w:rPr>
            </w:pPr>
            <w:r>
              <w:rPr>
                <w:rFonts w:eastAsia="宋体"/>
                <w:color w:val="auto"/>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c>
          <w:tcPr>
            <w:tcW w:w="921" w:type="dxa"/>
            <w:vMerge w:val="continue"/>
            <w:vAlign w:val="center"/>
          </w:tcPr>
          <w:p>
            <w:pPr>
              <w:keepNext/>
              <w:keepLines/>
              <w:spacing w:line="300" w:lineRule="auto"/>
              <w:ind w:firstLine="0" w:firstLineChars="0"/>
              <w:jc w:val="left"/>
              <w:textAlignment w:val="center"/>
              <w:rPr>
                <w:rFonts w:eastAsia="宋体"/>
                <w:color w:val="auto"/>
                <w:sz w:val="20"/>
                <w:szCs w:val="20"/>
                <w:highlight w:val="none"/>
              </w:rPr>
            </w:pPr>
          </w:p>
        </w:tc>
        <w:tc>
          <w:tcPr>
            <w:tcW w:w="1039" w:type="dxa"/>
            <w:vAlign w:val="center"/>
          </w:tcPr>
          <w:p>
            <w:pPr>
              <w:keepNext/>
              <w:keepLines/>
              <w:spacing w:line="240" w:lineRule="auto"/>
              <w:ind w:firstLine="0" w:firstLineChars="0"/>
              <w:jc w:val="left"/>
              <w:textAlignment w:val="center"/>
              <w:rPr>
                <w:rFonts w:eastAsia="宋体"/>
                <w:color w:val="auto"/>
                <w:kern w:val="0"/>
                <w:sz w:val="20"/>
                <w:szCs w:val="20"/>
                <w:highlight w:val="none"/>
                <w:lang w:bidi="ar"/>
              </w:rPr>
            </w:pPr>
            <w:r>
              <w:rPr>
                <w:rFonts w:eastAsia="宋体"/>
                <w:color w:val="auto"/>
                <w:kern w:val="0"/>
                <w:sz w:val="20"/>
                <w:szCs w:val="20"/>
                <w:highlight w:val="none"/>
                <w:lang w:bidi="ar"/>
              </w:rPr>
              <w:t>C4产出成本（6分）</w:t>
            </w:r>
          </w:p>
        </w:tc>
        <w:tc>
          <w:tcPr>
            <w:tcW w:w="1962" w:type="dxa"/>
            <w:vAlign w:val="center"/>
          </w:tcPr>
          <w:p>
            <w:pPr>
              <w:keepNext/>
              <w:keepLines/>
              <w:spacing w:line="240" w:lineRule="auto"/>
              <w:ind w:firstLine="0" w:firstLineChars="0"/>
              <w:jc w:val="left"/>
              <w:textAlignment w:val="center"/>
              <w:rPr>
                <w:rFonts w:hint="eastAsia" w:eastAsia="宋体"/>
                <w:color w:val="auto"/>
                <w:kern w:val="0"/>
                <w:sz w:val="20"/>
                <w:szCs w:val="20"/>
                <w:highlight w:val="none"/>
                <w:lang w:eastAsia="zh-CN" w:bidi="ar"/>
              </w:rPr>
            </w:pPr>
            <w:r>
              <w:rPr>
                <w:rFonts w:eastAsia="宋体"/>
                <w:color w:val="auto"/>
                <w:kern w:val="0"/>
                <w:sz w:val="20"/>
                <w:szCs w:val="20"/>
                <w:highlight w:val="none"/>
                <w:lang w:bidi="ar"/>
              </w:rPr>
              <w:t>C41</w:t>
            </w:r>
            <w:r>
              <w:rPr>
                <w:rFonts w:hint="eastAsia" w:eastAsia="宋体"/>
                <w:color w:val="auto"/>
                <w:kern w:val="0"/>
                <w:sz w:val="20"/>
                <w:szCs w:val="20"/>
                <w:highlight w:val="none"/>
                <w:lang w:eastAsia="zh-CN" w:bidi="ar"/>
              </w:rPr>
              <w:t>工程建设成本预算控制率</w:t>
            </w:r>
          </w:p>
        </w:tc>
        <w:tc>
          <w:tcPr>
            <w:tcW w:w="1302" w:type="dxa"/>
            <w:vAlign w:val="center"/>
          </w:tcPr>
          <w:p>
            <w:pPr>
              <w:keepNext/>
              <w:keepLines/>
              <w:widowControl w:val="0"/>
              <w:spacing w:line="300" w:lineRule="auto"/>
              <w:ind w:firstLine="0" w:firstLineChars="0"/>
              <w:jc w:val="center"/>
              <w:textAlignment w:val="center"/>
              <w:rPr>
                <w:rFonts w:hint="default" w:eastAsia="宋体"/>
                <w:color w:val="auto"/>
                <w:kern w:val="0"/>
                <w:sz w:val="20"/>
                <w:szCs w:val="20"/>
                <w:highlight w:val="none"/>
                <w:lang w:val="en-US" w:bidi="ar"/>
              </w:rPr>
            </w:pPr>
            <w:r>
              <w:rPr>
                <w:rFonts w:hint="eastAsia" w:eastAsia="宋体"/>
                <w:color w:val="auto"/>
                <w:kern w:val="0"/>
                <w:sz w:val="20"/>
                <w:szCs w:val="20"/>
                <w:highlight w:val="none"/>
                <w:lang w:val="en-US" w:eastAsia="zh-CN" w:bidi="ar"/>
              </w:rPr>
              <w:t>0%~15%</w:t>
            </w:r>
          </w:p>
        </w:tc>
        <w:tc>
          <w:tcPr>
            <w:tcW w:w="1094" w:type="dxa"/>
            <w:vAlign w:val="center"/>
          </w:tcPr>
          <w:p>
            <w:pPr>
              <w:keepNext/>
              <w:keepLines/>
              <w:widowControl w:val="0"/>
              <w:spacing w:line="300" w:lineRule="auto"/>
              <w:ind w:firstLine="0" w:firstLineChars="0"/>
              <w:jc w:val="center"/>
              <w:textAlignment w:val="center"/>
              <w:rPr>
                <w:rFonts w:eastAsia="宋体"/>
                <w:color w:val="auto"/>
                <w:kern w:val="0"/>
                <w:sz w:val="20"/>
                <w:szCs w:val="20"/>
                <w:highlight w:val="none"/>
                <w:lang w:bidi="ar"/>
              </w:rPr>
            </w:pPr>
            <w:r>
              <w:rPr>
                <w:rFonts w:hint="eastAsia"/>
                <w:color w:val="auto"/>
                <w:highlight w:val="none"/>
                <w:lang w:val="en-US" w:eastAsia="zh-CN"/>
              </w:rPr>
              <w:t>5.7</w:t>
            </w:r>
            <w:r>
              <w:rPr>
                <w:rFonts w:eastAsia="宋体"/>
                <w:color w:val="auto"/>
                <w:kern w:val="0"/>
                <w:sz w:val="20"/>
                <w:szCs w:val="20"/>
                <w:highlight w:val="none"/>
                <w:lang w:bidi="ar"/>
              </w:rPr>
              <w:t>%</w:t>
            </w:r>
          </w:p>
        </w:tc>
        <w:tc>
          <w:tcPr>
            <w:tcW w:w="639" w:type="dxa"/>
            <w:vAlign w:val="center"/>
          </w:tcPr>
          <w:p>
            <w:pPr>
              <w:keepNext/>
              <w:keepLines/>
              <w:widowControl w:val="0"/>
              <w:spacing w:line="300" w:lineRule="auto"/>
              <w:ind w:firstLine="0" w:firstLineChars="0"/>
              <w:jc w:val="center"/>
              <w:textAlignment w:val="center"/>
              <w:rPr>
                <w:rFonts w:hint="eastAsia" w:eastAsia="宋体"/>
                <w:color w:val="auto"/>
                <w:kern w:val="0"/>
                <w:sz w:val="20"/>
                <w:szCs w:val="20"/>
                <w:highlight w:val="none"/>
                <w:lang w:eastAsia="zh-CN" w:bidi="ar"/>
              </w:rPr>
            </w:pPr>
            <w:r>
              <w:rPr>
                <w:rFonts w:eastAsia="宋体"/>
                <w:color w:val="auto"/>
                <w:kern w:val="0"/>
                <w:sz w:val="20"/>
                <w:szCs w:val="20"/>
                <w:highlight w:val="none"/>
                <w:lang w:bidi="ar"/>
              </w:rPr>
              <w:t>6</w:t>
            </w:r>
          </w:p>
        </w:tc>
        <w:tc>
          <w:tcPr>
            <w:tcW w:w="621" w:type="dxa"/>
            <w:vAlign w:val="center"/>
          </w:tcPr>
          <w:p>
            <w:pPr>
              <w:keepNext/>
              <w:keepLines/>
              <w:widowControl w:val="0"/>
              <w:spacing w:line="300" w:lineRule="auto"/>
              <w:ind w:firstLine="0" w:firstLineChars="0"/>
              <w:jc w:val="center"/>
              <w:textAlignment w:val="center"/>
              <w:rPr>
                <w:rFonts w:hint="eastAsia" w:eastAsia="宋体"/>
                <w:color w:val="auto"/>
                <w:kern w:val="0"/>
                <w:sz w:val="20"/>
                <w:szCs w:val="20"/>
                <w:highlight w:val="none"/>
                <w:lang w:eastAsia="zh-CN" w:bidi="ar"/>
              </w:rPr>
            </w:pPr>
            <w:r>
              <w:rPr>
                <w:rFonts w:eastAsia="宋体"/>
                <w:color w:val="auto"/>
                <w:kern w:val="0"/>
                <w:sz w:val="20"/>
                <w:szCs w:val="20"/>
                <w:highlight w:val="none"/>
                <w:lang w:bidi="ar"/>
              </w:rPr>
              <w:t>6</w:t>
            </w:r>
          </w:p>
        </w:tc>
        <w:tc>
          <w:tcPr>
            <w:tcW w:w="825" w:type="dxa"/>
            <w:vAlign w:val="center"/>
          </w:tcPr>
          <w:p>
            <w:pPr>
              <w:keepNext/>
              <w:keepLines/>
              <w:widowControl w:val="0"/>
              <w:spacing w:line="300" w:lineRule="auto"/>
              <w:ind w:firstLine="0" w:firstLineChars="0"/>
              <w:jc w:val="center"/>
              <w:textAlignment w:val="center"/>
              <w:rPr>
                <w:rFonts w:eastAsia="宋体"/>
                <w:color w:val="auto"/>
                <w:kern w:val="0"/>
                <w:sz w:val="20"/>
                <w:szCs w:val="20"/>
                <w:highlight w:val="none"/>
                <w:lang w:bidi="ar"/>
              </w:rPr>
            </w:pPr>
            <w:r>
              <w:rPr>
                <w:rFonts w:eastAsia="宋体"/>
                <w:color w:val="auto"/>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c>
          <w:tcPr>
            <w:tcW w:w="3922" w:type="dxa"/>
            <w:gridSpan w:val="3"/>
            <w:vAlign w:val="center"/>
          </w:tcPr>
          <w:p>
            <w:pPr>
              <w:keepNext/>
              <w:keepLines/>
              <w:spacing w:line="30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合计</w:t>
            </w:r>
          </w:p>
        </w:tc>
        <w:tc>
          <w:tcPr>
            <w:tcW w:w="1302" w:type="dxa"/>
            <w:vAlign w:val="center"/>
          </w:tcPr>
          <w:p>
            <w:pPr>
              <w:keepNext/>
              <w:keepLines/>
              <w:widowControl w:val="0"/>
              <w:spacing w:line="300" w:lineRule="auto"/>
              <w:ind w:firstLine="0" w:firstLineChars="0"/>
              <w:jc w:val="center"/>
              <w:textAlignment w:val="center"/>
              <w:rPr>
                <w:rFonts w:eastAsia="宋体"/>
                <w:color w:val="auto"/>
                <w:kern w:val="0"/>
                <w:sz w:val="20"/>
                <w:szCs w:val="20"/>
                <w:highlight w:val="none"/>
                <w:lang w:bidi="ar"/>
              </w:rPr>
            </w:pPr>
          </w:p>
        </w:tc>
        <w:tc>
          <w:tcPr>
            <w:tcW w:w="1094" w:type="dxa"/>
            <w:vAlign w:val="center"/>
          </w:tcPr>
          <w:p>
            <w:pPr>
              <w:keepNext/>
              <w:keepLines/>
              <w:widowControl w:val="0"/>
              <w:spacing w:line="300" w:lineRule="auto"/>
              <w:ind w:firstLine="0" w:firstLineChars="0"/>
              <w:jc w:val="center"/>
              <w:textAlignment w:val="center"/>
              <w:rPr>
                <w:rFonts w:eastAsia="宋体"/>
                <w:color w:val="auto"/>
                <w:kern w:val="0"/>
                <w:sz w:val="20"/>
                <w:szCs w:val="20"/>
                <w:highlight w:val="none"/>
                <w:lang w:bidi="ar"/>
              </w:rPr>
            </w:pPr>
          </w:p>
        </w:tc>
        <w:tc>
          <w:tcPr>
            <w:tcW w:w="639" w:type="dxa"/>
            <w:vAlign w:val="center"/>
          </w:tcPr>
          <w:p>
            <w:pPr>
              <w:keepNext/>
              <w:keepLines/>
              <w:widowControl w:val="0"/>
              <w:spacing w:line="300" w:lineRule="auto"/>
              <w:ind w:firstLine="0" w:firstLineChars="0"/>
              <w:jc w:val="center"/>
              <w:textAlignment w:val="center"/>
              <w:rPr>
                <w:rFonts w:hint="eastAsia" w:eastAsia="宋体"/>
                <w:color w:val="auto"/>
                <w:kern w:val="0"/>
                <w:sz w:val="20"/>
                <w:szCs w:val="20"/>
                <w:highlight w:val="none"/>
                <w:lang w:eastAsia="zh-CN" w:bidi="ar"/>
              </w:rPr>
            </w:pPr>
            <w:r>
              <w:rPr>
                <w:rFonts w:eastAsia="宋体"/>
                <w:color w:val="auto"/>
                <w:kern w:val="0"/>
                <w:sz w:val="20"/>
                <w:szCs w:val="20"/>
                <w:highlight w:val="none"/>
                <w:lang w:bidi="ar"/>
              </w:rPr>
              <w:t>30</w:t>
            </w:r>
          </w:p>
        </w:tc>
        <w:tc>
          <w:tcPr>
            <w:tcW w:w="621" w:type="dxa"/>
            <w:vAlign w:val="center"/>
          </w:tcPr>
          <w:p>
            <w:pPr>
              <w:keepNext/>
              <w:keepLines/>
              <w:widowControl w:val="0"/>
              <w:spacing w:line="300" w:lineRule="auto"/>
              <w:ind w:firstLine="0" w:firstLineChars="0"/>
              <w:jc w:val="center"/>
              <w:textAlignment w:val="center"/>
              <w:rPr>
                <w:rFonts w:hint="eastAsia" w:eastAsia="宋体"/>
                <w:color w:val="auto"/>
                <w:kern w:val="0"/>
                <w:sz w:val="20"/>
                <w:szCs w:val="20"/>
                <w:highlight w:val="none"/>
                <w:lang w:eastAsia="zh-CN" w:bidi="ar"/>
              </w:rPr>
            </w:pPr>
            <w:r>
              <w:rPr>
                <w:rFonts w:eastAsia="宋体"/>
                <w:color w:val="auto"/>
                <w:kern w:val="0"/>
                <w:sz w:val="20"/>
                <w:szCs w:val="20"/>
                <w:highlight w:val="none"/>
                <w:lang w:bidi="ar"/>
              </w:rPr>
              <w:t>27</w:t>
            </w:r>
          </w:p>
        </w:tc>
        <w:tc>
          <w:tcPr>
            <w:tcW w:w="825" w:type="dxa"/>
            <w:vAlign w:val="center"/>
          </w:tcPr>
          <w:p>
            <w:pPr>
              <w:keepNext/>
              <w:keepLines/>
              <w:widowControl w:val="0"/>
              <w:spacing w:line="300" w:lineRule="auto"/>
              <w:ind w:firstLine="0" w:firstLineChars="0"/>
              <w:jc w:val="center"/>
              <w:textAlignment w:val="center"/>
              <w:rPr>
                <w:rFonts w:eastAsia="宋体"/>
                <w:color w:val="auto"/>
                <w:kern w:val="0"/>
                <w:sz w:val="20"/>
                <w:szCs w:val="20"/>
                <w:highlight w:val="none"/>
                <w:lang w:bidi="ar"/>
              </w:rPr>
            </w:pPr>
            <w:r>
              <w:rPr>
                <w:rFonts w:eastAsia="宋体"/>
                <w:color w:val="auto"/>
                <w:kern w:val="0"/>
                <w:sz w:val="20"/>
                <w:szCs w:val="20"/>
                <w:highlight w:val="none"/>
                <w:lang w:bidi="ar"/>
              </w:rPr>
              <w:t>90%</w:t>
            </w:r>
          </w:p>
        </w:tc>
      </w:tr>
    </w:tbl>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指标得分分析：</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（1）C11维修改造学校数量指标</w:t>
      </w:r>
    </w:p>
    <w:p>
      <w:pPr>
        <w:keepNext/>
        <w:keepLines/>
        <w:ind w:firstLine="420"/>
        <w:rPr>
          <w:color w:val="auto"/>
          <w:highlight w:val="none"/>
        </w:rPr>
      </w:pPr>
      <w:r>
        <w:rPr>
          <w:color w:val="auto"/>
          <w:highlight w:val="none"/>
        </w:rPr>
        <w:t>经查阅项目立项批复以及竣工验收报告，该项目计划完成14个乡村中小学维修改造，实际完成14个乡村中小学维修改造，实际完成值达到预期目标，根据评分标准，得满分。</w:t>
      </w:r>
    </w:p>
    <w:p>
      <w:pPr>
        <w:keepNext/>
        <w:keepLines/>
        <w:ind w:firstLine="420"/>
        <w:rPr>
          <w:color w:val="auto"/>
          <w:highlight w:val="none"/>
        </w:rPr>
      </w:pPr>
      <w:r>
        <w:rPr>
          <w:color w:val="auto"/>
          <w:highlight w:val="none"/>
        </w:rPr>
        <w:t>该指标满分为</w:t>
      </w:r>
      <w:r>
        <w:rPr>
          <w:rFonts w:hint="eastAsia"/>
          <w:color w:val="auto"/>
          <w:highlight w:val="none"/>
        </w:rPr>
        <w:t>10</w:t>
      </w:r>
      <w:r>
        <w:rPr>
          <w:color w:val="auto"/>
          <w:highlight w:val="none"/>
        </w:rPr>
        <w:t>分，根据评分标准得</w:t>
      </w:r>
      <w:r>
        <w:rPr>
          <w:rFonts w:hint="eastAsia"/>
          <w:color w:val="auto"/>
          <w:highlight w:val="none"/>
        </w:rPr>
        <w:t>10</w:t>
      </w:r>
      <w:r>
        <w:rPr>
          <w:color w:val="auto"/>
          <w:highlight w:val="none"/>
        </w:rPr>
        <w:t>分。</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（2）C23竣工验收合格率指标</w:t>
      </w:r>
    </w:p>
    <w:p>
      <w:pPr>
        <w:keepNext/>
        <w:keepLines/>
        <w:ind w:firstLine="420"/>
        <w:rPr>
          <w:color w:val="auto"/>
          <w:highlight w:val="none"/>
        </w:rPr>
      </w:pPr>
      <w:r>
        <w:rPr>
          <w:color w:val="auto"/>
          <w:highlight w:val="none"/>
        </w:rPr>
        <w:t>经查阅项目竣工验收报告、项目建设工程质量监督报告，项目于2023年10月12日通过施工、监理、勘察、设计以及建设单位五方联合工程验收，验收结果：工程质量符合国家标准，同意使用。项目竣工验收合格率为100%，根据评分标准，得满分。</w:t>
      </w:r>
    </w:p>
    <w:p>
      <w:pPr>
        <w:keepNext/>
        <w:keepLines/>
        <w:ind w:firstLine="420"/>
        <w:rPr>
          <w:color w:val="auto"/>
          <w:highlight w:val="none"/>
        </w:rPr>
      </w:pPr>
      <w:r>
        <w:rPr>
          <w:color w:val="auto"/>
          <w:highlight w:val="none"/>
        </w:rPr>
        <w:t>该指标满分为</w:t>
      </w:r>
      <w:r>
        <w:rPr>
          <w:rFonts w:hint="eastAsia"/>
          <w:color w:val="auto"/>
          <w:highlight w:val="none"/>
        </w:rPr>
        <w:t>8</w:t>
      </w:r>
      <w:r>
        <w:rPr>
          <w:color w:val="auto"/>
          <w:highlight w:val="none"/>
        </w:rPr>
        <w:t>分，根据评分标准得</w:t>
      </w:r>
      <w:r>
        <w:rPr>
          <w:rFonts w:hint="eastAsia"/>
          <w:color w:val="auto"/>
          <w:highlight w:val="none"/>
        </w:rPr>
        <w:t>8</w:t>
      </w:r>
      <w:r>
        <w:rPr>
          <w:color w:val="auto"/>
          <w:highlight w:val="none"/>
        </w:rPr>
        <w:t>分。</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（3）C31</w:t>
      </w:r>
      <w:r>
        <w:rPr>
          <w:rFonts w:hint="eastAsia"/>
          <w:b/>
          <w:bCs/>
          <w:color w:val="auto"/>
          <w:sz w:val="24"/>
          <w:szCs w:val="28"/>
          <w:highlight w:val="none"/>
        </w:rPr>
        <w:t>项目开工及时率</w:t>
      </w:r>
      <w:r>
        <w:rPr>
          <w:b/>
          <w:bCs/>
          <w:color w:val="auto"/>
          <w:sz w:val="24"/>
          <w:szCs w:val="28"/>
          <w:highlight w:val="none"/>
        </w:rPr>
        <w:t>指标</w:t>
      </w:r>
    </w:p>
    <w:p>
      <w:pPr>
        <w:keepNext/>
        <w:keepLines/>
        <w:ind w:firstLine="420"/>
        <w:rPr>
          <w:color w:val="auto"/>
          <w:highlight w:val="none"/>
        </w:rPr>
      </w:pPr>
      <w:r>
        <w:rPr>
          <w:rFonts w:hint="eastAsia"/>
          <w:color w:val="auto"/>
          <w:highlight w:val="none"/>
        </w:rPr>
        <w:t>经查阅项目施工合同、监理日志及施工日志，项目计划开工时间为2023年7月5日，实际开工时间为2023年7月27日，项目开工不及时，根据评分标准，不得分</w:t>
      </w:r>
      <w:r>
        <w:rPr>
          <w:color w:val="auto"/>
          <w:highlight w:val="none"/>
        </w:rPr>
        <w:t>。</w:t>
      </w:r>
    </w:p>
    <w:p>
      <w:pPr>
        <w:keepNext/>
        <w:keepLines/>
        <w:ind w:firstLine="420"/>
        <w:rPr>
          <w:color w:val="auto"/>
          <w:highlight w:val="none"/>
        </w:rPr>
      </w:pPr>
      <w:r>
        <w:rPr>
          <w:color w:val="auto"/>
          <w:highlight w:val="none"/>
        </w:rPr>
        <w:t>该指标满分为</w:t>
      </w:r>
      <w:r>
        <w:rPr>
          <w:rFonts w:hint="eastAsia"/>
          <w:color w:val="auto"/>
          <w:highlight w:val="none"/>
        </w:rPr>
        <w:t>3</w:t>
      </w:r>
      <w:r>
        <w:rPr>
          <w:color w:val="auto"/>
          <w:highlight w:val="none"/>
        </w:rPr>
        <w:t>分，根据评分标准得0分。</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（4）C32</w:t>
      </w:r>
      <w:r>
        <w:rPr>
          <w:rFonts w:hint="eastAsia"/>
          <w:b/>
          <w:bCs/>
          <w:color w:val="auto"/>
          <w:sz w:val="24"/>
          <w:szCs w:val="28"/>
          <w:highlight w:val="none"/>
        </w:rPr>
        <w:t>项目完工及时率</w:t>
      </w:r>
      <w:r>
        <w:rPr>
          <w:b/>
          <w:bCs/>
          <w:color w:val="auto"/>
          <w:sz w:val="24"/>
          <w:szCs w:val="28"/>
          <w:highlight w:val="none"/>
        </w:rPr>
        <w:t>指标</w:t>
      </w:r>
    </w:p>
    <w:p>
      <w:pPr>
        <w:keepNext/>
        <w:keepLines/>
        <w:ind w:firstLine="420"/>
        <w:rPr>
          <w:color w:val="auto"/>
          <w:highlight w:val="none"/>
        </w:rPr>
      </w:pPr>
      <w:r>
        <w:rPr>
          <w:rFonts w:hint="eastAsia"/>
          <w:color w:val="auto"/>
          <w:highlight w:val="none"/>
        </w:rPr>
        <w:t>经查阅施工单位工程竣工报告、项目建设工程质量监督报告，项目于2023年10月12日竣工，实际建设工期为78天，在约定工期内完成建设内容，根据评分标准，得满分。</w:t>
      </w:r>
    </w:p>
    <w:p>
      <w:pPr>
        <w:keepNext/>
        <w:keepLines/>
        <w:ind w:firstLine="420"/>
        <w:rPr>
          <w:color w:val="auto"/>
          <w:highlight w:val="none"/>
        </w:rPr>
      </w:pPr>
      <w:r>
        <w:rPr>
          <w:color w:val="auto"/>
          <w:highlight w:val="none"/>
        </w:rPr>
        <w:t>该指标满分为</w:t>
      </w:r>
      <w:r>
        <w:rPr>
          <w:rFonts w:hint="eastAsia"/>
          <w:color w:val="auto"/>
          <w:highlight w:val="none"/>
        </w:rPr>
        <w:t>3</w:t>
      </w:r>
      <w:r>
        <w:rPr>
          <w:color w:val="auto"/>
          <w:highlight w:val="none"/>
        </w:rPr>
        <w:t>分，根据评分标准得</w:t>
      </w:r>
      <w:r>
        <w:rPr>
          <w:rFonts w:hint="eastAsia"/>
          <w:color w:val="auto"/>
          <w:highlight w:val="none"/>
        </w:rPr>
        <w:t>3</w:t>
      </w:r>
      <w:r>
        <w:rPr>
          <w:color w:val="auto"/>
          <w:highlight w:val="none"/>
        </w:rPr>
        <w:t>分。</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（5）C41</w:t>
      </w:r>
      <w:r>
        <w:rPr>
          <w:rFonts w:hint="eastAsia"/>
          <w:b/>
          <w:bCs/>
          <w:color w:val="auto"/>
          <w:sz w:val="24"/>
          <w:szCs w:val="28"/>
          <w:highlight w:val="none"/>
        </w:rPr>
        <w:t>工程建设成本预算控制率</w:t>
      </w:r>
      <w:r>
        <w:rPr>
          <w:b/>
          <w:bCs/>
          <w:color w:val="auto"/>
          <w:sz w:val="24"/>
          <w:szCs w:val="28"/>
          <w:highlight w:val="none"/>
        </w:rPr>
        <w:t>指标</w:t>
      </w:r>
    </w:p>
    <w:p>
      <w:pPr>
        <w:keepNext/>
        <w:keepLines/>
        <w:ind w:firstLine="420"/>
        <w:rPr>
          <w:color w:val="auto"/>
          <w:highlight w:val="none"/>
        </w:rPr>
      </w:pPr>
      <w:r>
        <w:rPr>
          <w:rFonts w:hint="eastAsia"/>
          <w:color w:val="auto"/>
          <w:highlight w:val="none"/>
        </w:rPr>
        <w:t>根据项目可研及立项批复，项目总预算为1</w:t>
      </w:r>
      <w:r>
        <w:rPr>
          <w:rFonts w:hint="eastAsia"/>
          <w:color w:val="auto"/>
          <w:highlight w:val="none"/>
          <w:lang w:eastAsia="zh-CN"/>
        </w:rPr>
        <w:t>，</w:t>
      </w:r>
      <w:r>
        <w:rPr>
          <w:rFonts w:hint="eastAsia"/>
          <w:color w:val="auto"/>
          <w:highlight w:val="none"/>
        </w:rPr>
        <w:t>800万元，其中工程建设费用预算1</w:t>
      </w:r>
      <w:r>
        <w:rPr>
          <w:rFonts w:hint="eastAsia"/>
          <w:color w:val="auto"/>
          <w:highlight w:val="none"/>
          <w:lang w:eastAsia="zh-CN"/>
        </w:rPr>
        <w:t>，</w:t>
      </w:r>
      <w:r>
        <w:rPr>
          <w:rFonts w:hint="eastAsia"/>
          <w:color w:val="auto"/>
          <w:highlight w:val="none"/>
        </w:rPr>
        <w:t>665.57万元，根据《关于喀什地区巴楚县2023年城乡义务教育农村校舍安全保障长效机制项目（第一批）投资评审的报告》（巴发改投评工字〔2023〕77号）</w:t>
      </w:r>
      <w:r>
        <w:rPr>
          <w:color w:val="auto"/>
          <w:highlight w:val="none"/>
        </w:rPr>
        <w:t>、项目施工合同及中标通知书</w:t>
      </w:r>
      <w:r>
        <w:rPr>
          <w:rFonts w:hint="eastAsia"/>
          <w:color w:val="auto"/>
          <w:highlight w:val="none"/>
        </w:rPr>
        <w:t>可知，项目工程建设造价经评审审定后为1</w:t>
      </w:r>
      <w:r>
        <w:rPr>
          <w:rFonts w:hint="eastAsia"/>
          <w:color w:val="auto"/>
          <w:highlight w:val="none"/>
          <w:lang w:eastAsia="zh-CN"/>
        </w:rPr>
        <w:t>，</w:t>
      </w:r>
      <w:r>
        <w:rPr>
          <w:rFonts w:hint="eastAsia"/>
          <w:color w:val="auto"/>
          <w:highlight w:val="none"/>
        </w:rPr>
        <w:t>567.45万元，并作为招标控制价，实际中标价1</w:t>
      </w:r>
      <w:r>
        <w:rPr>
          <w:rFonts w:hint="eastAsia"/>
          <w:color w:val="auto"/>
          <w:highlight w:val="none"/>
          <w:lang w:eastAsia="zh-CN"/>
        </w:rPr>
        <w:t>，</w:t>
      </w:r>
      <w:r>
        <w:rPr>
          <w:rFonts w:hint="eastAsia"/>
          <w:color w:val="auto"/>
          <w:highlight w:val="none"/>
        </w:rPr>
        <w:t>478.17万元，工程建设成本预算控制率=（工程建设费用预算价-工程建设合同价）/工程建设费用预算价×100%=</w:t>
      </w:r>
      <w:r>
        <w:rPr>
          <w:rFonts w:hint="eastAsia"/>
          <w:color w:val="auto"/>
          <w:highlight w:val="none"/>
          <w:lang w:val="en-US" w:eastAsia="zh-CN"/>
        </w:rPr>
        <w:t>5.7</w:t>
      </w:r>
      <w:r>
        <w:rPr>
          <w:rFonts w:hint="eastAsia"/>
          <w:color w:val="auto"/>
          <w:highlight w:val="none"/>
        </w:rPr>
        <w:t>%，根据评分标准，得满分</w:t>
      </w:r>
      <w:r>
        <w:rPr>
          <w:color w:val="auto"/>
          <w:highlight w:val="none"/>
        </w:rPr>
        <w:t>。</w:t>
      </w:r>
    </w:p>
    <w:p>
      <w:pPr>
        <w:keepNext/>
        <w:keepLines/>
        <w:ind w:firstLine="420"/>
        <w:rPr>
          <w:color w:val="auto"/>
          <w:highlight w:val="none"/>
        </w:rPr>
      </w:pPr>
      <w:r>
        <w:rPr>
          <w:color w:val="auto"/>
          <w:highlight w:val="none"/>
        </w:rPr>
        <w:t>该指标满分为6分，根据评分标准得6分。</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bookmarkStart w:id="237" w:name="_Toc5473"/>
      <w:bookmarkStart w:id="238" w:name="_Toc26285"/>
      <w:bookmarkStart w:id="239" w:name="_Toc15105"/>
      <w:bookmarkStart w:id="240" w:name="_Toc30796"/>
      <w:bookmarkStart w:id="241" w:name="_Toc16244"/>
      <w:bookmarkStart w:id="242" w:name="_Toc29658"/>
      <w:bookmarkStart w:id="243" w:name="_Toc16731"/>
      <w:bookmarkStart w:id="244" w:name="_Toc8493"/>
      <w:bookmarkStart w:id="245" w:name="_Toc32423"/>
      <w:r>
        <w:rPr>
          <w:b/>
          <w:bCs/>
          <w:color w:val="auto"/>
          <w:sz w:val="24"/>
          <w:szCs w:val="28"/>
          <w:highlight w:val="none"/>
        </w:rPr>
        <w:t>（四）项目效益情况</w:t>
      </w:r>
      <w:bookmarkEnd w:id="237"/>
      <w:bookmarkEnd w:id="238"/>
      <w:bookmarkEnd w:id="239"/>
      <w:bookmarkEnd w:id="240"/>
      <w:bookmarkEnd w:id="241"/>
      <w:bookmarkEnd w:id="242"/>
      <w:bookmarkEnd w:id="243"/>
      <w:bookmarkEnd w:id="244"/>
      <w:bookmarkEnd w:id="245"/>
    </w:p>
    <w:p>
      <w:pPr>
        <w:keepNext/>
        <w:keepLines/>
        <w:ind w:firstLine="420"/>
        <w:rPr>
          <w:color w:val="auto"/>
          <w:highlight w:val="none"/>
        </w:rPr>
      </w:pPr>
      <w:r>
        <w:rPr>
          <w:color w:val="auto"/>
          <w:highlight w:val="none"/>
        </w:rPr>
        <w:t>项目效益指标由2个二级和4个三级指标构成，权重分35分，实际得分34.23分，得分率为97</w:t>
      </w:r>
      <w:r>
        <w:rPr>
          <w:rFonts w:hint="eastAsia"/>
          <w:color w:val="auto"/>
          <w:highlight w:val="none"/>
          <w:lang w:eastAsia="zh-CN"/>
        </w:rPr>
        <w:t>.8</w:t>
      </w:r>
      <w:r>
        <w:rPr>
          <w:color w:val="auto"/>
          <w:highlight w:val="none"/>
        </w:rPr>
        <w:t>%。各指标业绩值和绩效分值如下表所示：</w:t>
      </w:r>
    </w:p>
    <w:p>
      <w:pPr>
        <w:keepNext/>
        <w:keepLines/>
        <w:ind w:firstLine="0" w:firstLineChars="0"/>
        <w:jc w:val="center"/>
        <w:rPr>
          <w:color w:val="auto"/>
          <w:highlight w:val="none"/>
        </w:rPr>
      </w:pPr>
      <w:r>
        <w:rPr>
          <w:b/>
          <w:bCs/>
          <w:color w:val="auto"/>
          <w:highlight w:val="none"/>
        </w:rPr>
        <w:t>表</w:t>
      </w:r>
      <w:r>
        <w:rPr>
          <w:rFonts w:hint="eastAsia"/>
          <w:b/>
          <w:bCs/>
          <w:color w:val="auto"/>
          <w:highlight w:val="none"/>
        </w:rPr>
        <w:t>5</w:t>
      </w:r>
      <w:r>
        <w:rPr>
          <w:b/>
          <w:bCs/>
          <w:color w:val="auto"/>
          <w:highlight w:val="none"/>
        </w:rPr>
        <w:t>-4：项目效益指标及分值</w:t>
      </w:r>
    </w:p>
    <w:tbl>
      <w:tblPr>
        <w:tblStyle w:val="19"/>
        <w:tblW w:w="84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
      <w:tblGrid>
        <w:gridCol w:w="954"/>
        <w:gridCol w:w="1277"/>
        <w:gridCol w:w="1934"/>
        <w:gridCol w:w="900"/>
        <w:gridCol w:w="1171"/>
        <w:gridCol w:w="659"/>
        <w:gridCol w:w="656"/>
        <w:gridCol w:w="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2" w:hRule="atLeast"/>
          <w:tblHeader/>
        </w:trPr>
        <w:tc>
          <w:tcPr>
            <w:tcW w:w="954" w:type="dxa"/>
            <w:vAlign w:val="center"/>
          </w:tcPr>
          <w:p>
            <w:pPr>
              <w:keepNext/>
              <w:keepLines/>
              <w:spacing w:line="300" w:lineRule="auto"/>
              <w:ind w:firstLine="0" w:firstLineChars="0"/>
              <w:jc w:val="center"/>
              <w:textAlignment w:val="center"/>
              <w:rPr>
                <w:rFonts w:eastAsia="宋体"/>
                <w:b/>
                <w:color w:val="auto"/>
                <w:sz w:val="20"/>
                <w:szCs w:val="20"/>
                <w:highlight w:val="none"/>
              </w:rPr>
            </w:pPr>
            <w:r>
              <w:rPr>
                <w:rFonts w:eastAsia="宋体"/>
                <w:b/>
                <w:color w:val="auto"/>
                <w:kern w:val="0"/>
                <w:sz w:val="20"/>
                <w:szCs w:val="20"/>
                <w:highlight w:val="none"/>
                <w:lang w:bidi="ar"/>
              </w:rPr>
              <w:t>一级指标</w:t>
            </w:r>
          </w:p>
        </w:tc>
        <w:tc>
          <w:tcPr>
            <w:tcW w:w="1277" w:type="dxa"/>
            <w:vAlign w:val="center"/>
          </w:tcPr>
          <w:p>
            <w:pPr>
              <w:keepNext/>
              <w:keepLines/>
              <w:spacing w:line="300" w:lineRule="auto"/>
              <w:ind w:firstLine="0" w:firstLineChars="0"/>
              <w:jc w:val="center"/>
              <w:textAlignment w:val="center"/>
              <w:rPr>
                <w:rFonts w:eastAsia="宋体"/>
                <w:b/>
                <w:color w:val="auto"/>
                <w:sz w:val="20"/>
                <w:szCs w:val="20"/>
                <w:highlight w:val="none"/>
              </w:rPr>
            </w:pPr>
            <w:r>
              <w:rPr>
                <w:rFonts w:eastAsia="宋体"/>
                <w:b/>
                <w:color w:val="auto"/>
                <w:kern w:val="0"/>
                <w:sz w:val="20"/>
                <w:szCs w:val="20"/>
                <w:highlight w:val="none"/>
                <w:lang w:bidi="ar"/>
              </w:rPr>
              <w:t>二级指标</w:t>
            </w:r>
          </w:p>
        </w:tc>
        <w:tc>
          <w:tcPr>
            <w:tcW w:w="1934" w:type="dxa"/>
            <w:vAlign w:val="center"/>
          </w:tcPr>
          <w:p>
            <w:pPr>
              <w:keepNext/>
              <w:keepLines/>
              <w:spacing w:line="300" w:lineRule="auto"/>
              <w:ind w:firstLine="0" w:firstLineChars="0"/>
              <w:jc w:val="center"/>
              <w:textAlignment w:val="center"/>
              <w:rPr>
                <w:rFonts w:eastAsia="宋体"/>
                <w:b/>
                <w:color w:val="auto"/>
                <w:sz w:val="20"/>
                <w:szCs w:val="20"/>
                <w:highlight w:val="none"/>
              </w:rPr>
            </w:pPr>
            <w:r>
              <w:rPr>
                <w:rFonts w:eastAsia="宋体"/>
                <w:b/>
                <w:color w:val="auto"/>
                <w:kern w:val="0"/>
                <w:sz w:val="20"/>
                <w:szCs w:val="20"/>
                <w:highlight w:val="none"/>
                <w:lang w:bidi="ar"/>
              </w:rPr>
              <w:t>三级指标</w:t>
            </w:r>
          </w:p>
        </w:tc>
        <w:tc>
          <w:tcPr>
            <w:tcW w:w="900" w:type="dxa"/>
            <w:vAlign w:val="center"/>
          </w:tcPr>
          <w:p>
            <w:pPr>
              <w:keepNext/>
              <w:keepLines/>
              <w:spacing w:line="300" w:lineRule="auto"/>
              <w:ind w:firstLine="0" w:firstLineChars="0"/>
              <w:jc w:val="center"/>
              <w:textAlignment w:val="center"/>
              <w:rPr>
                <w:rFonts w:eastAsia="宋体"/>
                <w:b/>
                <w:color w:val="auto"/>
                <w:sz w:val="20"/>
                <w:szCs w:val="20"/>
                <w:highlight w:val="none"/>
              </w:rPr>
            </w:pPr>
            <w:r>
              <w:rPr>
                <w:rFonts w:eastAsia="宋体"/>
                <w:b/>
                <w:color w:val="auto"/>
                <w:kern w:val="0"/>
                <w:sz w:val="20"/>
                <w:szCs w:val="20"/>
                <w:highlight w:val="none"/>
                <w:lang w:bidi="ar"/>
              </w:rPr>
              <w:t>目标值</w:t>
            </w:r>
          </w:p>
        </w:tc>
        <w:tc>
          <w:tcPr>
            <w:tcW w:w="1171" w:type="dxa"/>
            <w:vAlign w:val="center"/>
          </w:tcPr>
          <w:p>
            <w:pPr>
              <w:keepNext/>
              <w:keepLines/>
              <w:spacing w:line="300" w:lineRule="auto"/>
              <w:ind w:firstLine="0" w:firstLineChars="0"/>
              <w:jc w:val="center"/>
              <w:textAlignment w:val="center"/>
              <w:rPr>
                <w:rFonts w:eastAsia="宋体"/>
                <w:b/>
                <w:color w:val="auto"/>
                <w:kern w:val="0"/>
                <w:sz w:val="20"/>
                <w:szCs w:val="20"/>
                <w:highlight w:val="none"/>
                <w:lang w:bidi="ar"/>
              </w:rPr>
            </w:pPr>
            <w:r>
              <w:rPr>
                <w:rFonts w:eastAsia="宋体"/>
                <w:b/>
                <w:color w:val="auto"/>
                <w:kern w:val="0"/>
                <w:sz w:val="20"/>
                <w:szCs w:val="20"/>
                <w:highlight w:val="none"/>
                <w:lang w:bidi="ar"/>
              </w:rPr>
              <w:t>实际完成值</w:t>
            </w:r>
          </w:p>
        </w:tc>
        <w:tc>
          <w:tcPr>
            <w:tcW w:w="659" w:type="dxa"/>
            <w:vAlign w:val="center"/>
          </w:tcPr>
          <w:p>
            <w:pPr>
              <w:keepNext/>
              <w:keepLines/>
              <w:spacing w:line="300" w:lineRule="auto"/>
              <w:ind w:firstLine="0" w:firstLineChars="0"/>
              <w:jc w:val="center"/>
              <w:textAlignment w:val="center"/>
              <w:rPr>
                <w:rFonts w:eastAsia="宋体"/>
                <w:b/>
                <w:color w:val="auto"/>
                <w:sz w:val="20"/>
                <w:szCs w:val="20"/>
                <w:highlight w:val="none"/>
              </w:rPr>
            </w:pPr>
            <w:r>
              <w:rPr>
                <w:rFonts w:eastAsia="宋体"/>
                <w:b/>
                <w:color w:val="auto"/>
                <w:kern w:val="0"/>
                <w:sz w:val="20"/>
                <w:szCs w:val="20"/>
                <w:highlight w:val="none"/>
                <w:lang w:bidi="ar"/>
              </w:rPr>
              <w:t>权重</w:t>
            </w:r>
          </w:p>
        </w:tc>
        <w:tc>
          <w:tcPr>
            <w:tcW w:w="656" w:type="dxa"/>
            <w:vAlign w:val="center"/>
          </w:tcPr>
          <w:p>
            <w:pPr>
              <w:keepNext/>
              <w:keepLines/>
              <w:spacing w:line="300" w:lineRule="auto"/>
              <w:ind w:firstLine="0" w:firstLineChars="0"/>
              <w:jc w:val="center"/>
              <w:textAlignment w:val="center"/>
              <w:rPr>
                <w:rFonts w:eastAsia="宋体"/>
                <w:b/>
                <w:color w:val="auto"/>
                <w:sz w:val="20"/>
                <w:szCs w:val="20"/>
                <w:highlight w:val="none"/>
              </w:rPr>
            </w:pPr>
            <w:r>
              <w:rPr>
                <w:rFonts w:eastAsia="宋体"/>
                <w:b/>
                <w:color w:val="auto"/>
                <w:kern w:val="0"/>
                <w:sz w:val="20"/>
                <w:szCs w:val="20"/>
                <w:highlight w:val="none"/>
                <w:lang w:bidi="ar"/>
              </w:rPr>
              <w:t>得分</w:t>
            </w:r>
          </w:p>
        </w:tc>
        <w:tc>
          <w:tcPr>
            <w:tcW w:w="854" w:type="dxa"/>
            <w:vAlign w:val="center"/>
          </w:tcPr>
          <w:p>
            <w:pPr>
              <w:keepNext/>
              <w:keepLines/>
              <w:spacing w:line="300" w:lineRule="auto"/>
              <w:ind w:firstLine="0" w:firstLineChars="0"/>
              <w:jc w:val="center"/>
              <w:textAlignment w:val="center"/>
              <w:rPr>
                <w:rFonts w:eastAsia="宋体"/>
                <w:b/>
                <w:color w:val="auto"/>
                <w:kern w:val="0"/>
                <w:sz w:val="20"/>
                <w:szCs w:val="20"/>
                <w:highlight w:val="none"/>
                <w:lang w:bidi="ar"/>
              </w:rPr>
            </w:pPr>
            <w:r>
              <w:rPr>
                <w:rFonts w:eastAsia="宋体"/>
                <w:b/>
                <w:color w:val="auto"/>
                <w:kern w:val="0"/>
                <w:sz w:val="20"/>
                <w:szCs w:val="20"/>
                <w:highlight w:val="none"/>
                <w:lang w:bidi="ar"/>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282" w:hRule="atLeast"/>
        </w:trPr>
        <w:tc>
          <w:tcPr>
            <w:tcW w:w="954" w:type="dxa"/>
            <w:vMerge w:val="restart"/>
            <w:vAlign w:val="center"/>
          </w:tcPr>
          <w:p>
            <w:pPr>
              <w:keepNext/>
              <w:keepLines/>
              <w:spacing w:line="300" w:lineRule="auto"/>
              <w:ind w:firstLine="0" w:firstLineChars="0"/>
              <w:jc w:val="left"/>
              <w:rPr>
                <w:rFonts w:eastAsia="宋体"/>
                <w:color w:val="auto"/>
                <w:sz w:val="20"/>
                <w:szCs w:val="20"/>
                <w:highlight w:val="none"/>
              </w:rPr>
            </w:pPr>
            <w:r>
              <w:rPr>
                <w:rFonts w:eastAsia="宋体"/>
                <w:color w:val="auto"/>
                <w:sz w:val="20"/>
                <w:szCs w:val="20"/>
                <w:highlight w:val="none"/>
              </w:rPr>
              <w:t>D效益（35分）</w:t>
            </w:r>
          </w:p>
        </w:tc>
        <w:tc>
          <w:tcPr>
            <w:tcW w:w="1277" w:type="dxa"/>
            <w:vMerge w:val="restart"/>
            <w:vAlign w:val="center"/>
          </w:tcPr>
          <w:p>
            <w:pPr>
              <w:keepNext/>
              <w:keepLines/>
              <w:spacing w:line="300" w:lineRule="auto"/>
              <w:ind w:firstLine="0" w:firstLineChars="0"/>
              <w:jc w:val="center"/>
              <w:rPr>
                <w:rFonts w:eastAsia="宋体"/>
                <w:color w:val="auto"/>
                <w:sz w:val="20"/>
                <w:szCs w:val="20"/>
                <w:highlight w:val="none"/>
              </w:rPr>
            </w:pPr>
            <w:r>
              <w:rPr>
                <w:rFonts w:eastAsia="宋体"/>
                <w:color w:val="auto"/>
                <w:kern w:val="0"/>
                <w:sz w:val="20"/>
                <w:szCs w:val="20"/>
                <w:highlight w:val="none"/>
                <w:lang w:bidi="ar"/>
              </w:rPr>
              <w:t>D1社会效益指标（25分）</w:t>
            </w:r>
          </w:p>
        </w:tc>
        <w:tc>
          <w:tcPr>
            <w:tcW w:w="1934" w:type="dxa"/>
            <w:vAlign w:val="center"/>
          </w:tcPr>
          <w:p>
            <w:pPr>
              <w:keepNext/>
              <w:keepLines/>
              <w:spacing w:line="300" w:lineRule="auto"/>
              <w:ind w:firstLine="0" w:firstLineChars="0"/>
              <w:jc w:val="center"/>
              <w:rPr>
                <w:rFonts w:eastAsia="宋体"/>
                <w:color w:val="auto"/>
                <w:sz w:val="20"/>
                <w:szCs w:val="20"/>
                <w:highlight w:val="none"/>
              </w:rPr>
            </w:pPr>
            <w:r>
              <w:rPr>
                <w:rFonts w:eastAsia="宋体"/>
                <w:color w:val="auto"/>
                <w:kern w:val="0"/>
                <w:sz w:val="20"/>
                <w:szCs w:val="20"/>
                <w:highlight w:val="none"/>
                <w:lang w:bidi="ar"/>
              </w:rPr>
              <w:t>D11维修改造正常运转率</w:t>
            </w:r>
          </w:p>
        </w:tc>
        <w:tc>
          <w:tcPr>
            <w:tcW w:w="900" w:type="dxa"/>
            <w:vAlign w:val="center"/>
          </w:tcPr>
          <w:p>
            <w:pPr>
              <w:keepNext/>
              <w:keepLines/>
              <w:spacing w:line="300" w:lineRule="auto"/>
              <w:ind w:firstLine="0" w:firstLineChars="0"/>
              <w:jc w:val="center"/>
              <w:rPr>
                <w:rFonts w:eastAsia="宋体"/>
                <w:color w:val="auto"/>
                <w:sz w:val="20"/>
                <w:szCs w:val="20"/>
                <w:highlight w:val="none"/>
              </w:rPr>
            </w:pPr>
            <w:r>
              <w:rPr>
                <w:rFonts w:hint="eastAsia" w:eastAsia="宋体"/>
                <w:color w:val="auto"/>
                <w:kern w:val="0"/>
                <w:sz w:val="20"/>
                <w:szCs w:val="20"/>
                <w:highlight w:val="none"/>
                <w:lang w:eastAsia="zh-CN" w:bidi="ar"/>
              </w:rPr>
              <w:t>≥</w:t>
            </w:r>
            <w:r>
              <w:rPr>
                <w:rFonts w:eastAsia="宋体"/>
                <w:color w:val="auto"/>
                <w:kern w:val="0"/>
                <w:sz w:val="20"/>
                <w:szCs w:val="20"/>
                <w:highlight w:val="none"/>
                <w:lang w:bidi="ar"/>
              </w:rPr>
              <w:t>90%</w:t>
            </w:r>
          </w:p>
        </w:tc>
        <w:tc>
          <w:tcPr>
            <w:tcW w:w="1171" w:type="dxa"/>
            <w:vAlign w:val="center"/>
          </w:tcPr>
          <w:p>
            <w:pPr>
              <w:keepNext/>
              <w:keepLines/>
              <w:spacing w:line="300" w:lineRule="auto"/>
              <w:ind w:firstLine="0" w:firstLineChars="0"/>
              <w:jc w:val="center"/>
              <w:rPr>
                <w:rFonts w:eastAsia="宋体"/>
                <w:color w:val="auto"/>
                <w:sz w:val="20"/>
                <w:szCs w:val="20"/>
                <w:highlight w:val="none"/>
              </w:rPr>
            </w:pPr>
            <w:r>
              <w:rPr>
                <w:rFonts w:eastAsia="宋体"/>
                <w:color w:val="auto"/>
                <w:kern w:val="0"/>
                <w:sz w:val="20"/>
                <w:szCs w:val="20"/>
                <w:highlight w:val="none"/>
                <w:lang w:bidi="ar"/>
              </w:rPr>
              <w:t>92.86%</w:t>
            </w:r>
          </w:p>
        </w:tc>
        <w:tc>
          <w:tcPr>
            <w:tcW w:w="659" w:type="dxa"/>
            <w:vAlign w:val="center"/>
          </w:tcPr>
          <w:p>
            <w:pPr>
              <w:keepNext/>
              <w:keepLines/>
              <w:spacing w:line="300" w:lineRule="auto"/>
              <w:ind w:firstLine="0" w:firstLineChars="0"/>
              <w:jc w:val="center"/>
              <w:rPr>
                <w:rFonts w:hint="eastAsia" w:eastAsia="宋体"/>
                <w:color w:val="auto"/>
                <w:sz w:val="20"/>
                <w:szCs w:val="20"/>
                <w:highlight w:val="none"/>
                <w:lang w:eastAsia="zh-CN"/>
              </w:rPr>
            </w:pPr>
            <w:r>
              <w:rPr>
                <w:rFonts w:eastAsia="宋体"/>
                <w:color w:val="auto"/>
                <w:kern w:val="0"/>
                <w:sz w:val="20"/>
                <w:szCs w:val="20"/>
                <w:highlight w:val="none"/>
                <w:lang w:bidi="ar"/>
              </w:rPr>
              <w:t>10</w:t>
            </w:r>
          </w:p>
        </w:tc>
        <w:tc>
          <w:tcPr>
            <w:tcW w:w="656" w:type="dxa"/>
            <w:vAlign w:val="center"/>
          </w:tcPr>
          <w:p>
            <w:pPr>
              <w:keepNext/>
              <w:keepLines/>
              <w:spacing w:line="300" w:lineRule="auto"/>
              <w:ind w:firstLine="0" w:firstLineChars="0"/>
              <w:jc w:val="center"/>
              <w:rPr>
                <w:rFonts w:hint="eastAsia" w:eastAsia="宋体"/>
                <w:color w:val="auto"/>
                <w:sz w:val="20"/>
                <w:szCs w:val="20"/>
                <w:highlight w:val="none"/>
                <w:lang w:eastAsia="zh-CN"/>
              </w:rPr>
            </w:pPr>
            <w:r>
              <w:rPr>
                <w:rFonts w:eastAsia="宋体"/>
                <w:color w:val="auto"/>
                <w:kern w:val="0"/>
                <w:sz w:val="20"/>
                <w:szCs w:val="20"/>
                <w:highlight w:val="none"/>
                <w:lang w:bidi="ar"/>
              </w:rPr>
              <w:t>10</w:t>
            </w:r>
          </w:p>
        </w:tc>
        <w:tc>
          <w:tcPr>
            <w:tcW w:w="854" w:type="dxa"/>
            <w:vAlign w:val="center"/>
          </w:tcPr>
          <w:p>
            <w:pPr>
              <w:keepNext/>
              <w:keepLines/>
              <w:spacing w:line="300" w:lineRule="auto"/>
              <w:ind w:firstLine="0" w:firstLineChars="0"/>
              <w:jc w:val="center"/>
              <w:rPr>
                <w:rFonts w:eastAsia="宋体"/>
                <w:color w:val="auto"/>
                <w:sz w:val="20"/>
                <w:szCs w:val="20"/>
                <w:highlight w:val="none"/>
              </w:rPr>
            </w:pPr>
            <w:r>
              <w:rPr>
                <w:rFonts w:eastAsia="宋体"/>
                <w:color w:val="auto"/>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282" w:hRule="atLeast"/>
        </w:trPr>
        <w:tc>
          <w:tcPr>
            <w:tcW w:w="954" w:type="dxa"/>
            <w:vMerge w:val="continue"/>
            <w:vAlign w:val="center"/>
          </w:tcPr>
          <w:p>
            <w:pPr>
              <w:keepNext/>
              <w:keepLines/>
              <w:spacing w:line="300" w:lineRule="auto"/>
              <w:ind w:firstLine="0" w:firstLineChars="0"/>
              <w:jc w:val="left"/>
              <w:rPr>
                <w:rFonts w:eastAsia="宋体"/>
                <w:color w:val="auto"/>
                <w:sz w:val="20"/>
                <w:szCs w:val="20"/>
                <w:highlight w:val="none"/>
              </w:rPr>
            </w:pPr>
          </w:p>
        </w:tc>
        <w:tc>
          <w:tcPr>
            <w:tcW w:w="1277" w:type="dxa"/>
            <w:vMerge w:val="continue"/>
            <w:vAlign w:val="center"/>
          </w:tcPr>
          <w:p>
            <w:pPr>
              <w:keepNext/>
              <w:keepLines/>
              <w:spacing w:line="300" w:lineRule="auto"/>
              <w:ind w:firstLine="0" w:firstLineChars="0"/>
              <w:jc w:val="center"/>
              <w:rPr>
                <w:rFonts w:eastAsia="宋体"/>
                <w:color w:val="auto"/>
                <w:sz w:val="20"/>
                <w:szCs w:val="20"/>
                <w:highlight w:val="none"/>
              </w:rPr>
            </w:pPr>
          </w:p>
        </w:tc>
        <w:tc>
          <w:tcPr>
            <w:tcW w:w="1934" w:type="dxa"/>
            <w:vAlign w:val="center"/>
          </w:tcPr>
          <w:p>
            <w:pPr>
              <w:keepNext/>
              <w:keepLines/>
              <w:spacing w:line="300" w:lineRule="auto"/>
              <w:ind w:firstLine="0" w:firstLineChars="0"/>
              <w:jc w:val="center"/>
              <w:rPr>
                <w:rFonts w:eastAsia="宋体"/>
                <w:color w:val="auto"/>
                <w:sz w:val="20"/>
                <w:szCs w:val="20"/>
                <w:highlight w:val="none"/>
              </w:rPr>
            </w:pPr>
            <w:r>
              <w:rPr>
                <w:rFonts w:eastAsia="宋体"/>
                <w:color w:val="auto"/>
                <w:kern w:val="0"/>
                <w:sz w:val="20"/>
                <w:szCs w:val="20"/>
                <w:highlight w:val="none"/>
                <w:lang w:bidi="ar"/>
              </w:rPr>
              <w:t>D</w:t>
            </w:r>
            <w:r>
              <w:rPr>
                <w:rFonts w:hint="eastAsia" w:eastAsia="宋体"/>
                <w:color w:val="auto"/>
                <w:kern w:val="0"/>
                <w:sz w:val="20"/>
                <w:szCs w:val="20"/>
                <w:highlight w:val="none"/>
                <w:lang w:bidi="ar"/>
              </w:rPr>
              <w:t>12</w:t>
            </w:r>
            <w:r>
              <w:rPr>
                <w:rFonts w:eastAsia="宋体"/>
                <w:color w:val="auto"/>
                <w:kern w:val="0"/>
                <w:sz w:val="20"/>
                <w:szCs w:val="20"/>
                <w:highlight w:val="none"/>
                <w:lang w:bidi="ar"/>
              </w:rPr>
              <w:t>重大事故发生数</w:t>
            </w:r>
          </w:p>
        </w:tc>
        <w:tc>
          <w:tcPr>
            <w:tcW w:w="900" w:type="dxa"/>
            <w:vAlign w:val="center"/>
          </w:tcPr>
          <w:p>
            <w:pPr>
              <w:keepNext/>
              <w:keepLines/>
              <w:spacing w:line="300" w:lineRule="auto"/>
              <w:ind w:firstLine="0" w:firstLineChars="0"/>
              <w:jc w:val="center"/>
              <w:rPr>
                <w:rFonts w:eastAsia="宋体"/>
                <w:color w:val="auto"/>
                <w:sz w:val="20"/>
                <w:szCs w:val="20"/>
                <w:highlight w:val="none"/>
              </w:rPr>
            </w:pPr>
            <w:r>
              <w:rPr>
                <w:rFonts w:eastAsia="宋体"/>
                <w:color w:val="auto"/>
                <w:kern w:val="0"/>
                <w:sz w:val="20"/>
                <w:szCs w:val="20"/>
                <w:highlight w:val="none"/>
                <w:lang w:bidi="ar"/>
              </w:rPr>
              <w:t>0件</w:t>
            </w:r>
          </w:p>
        </w:tc>
        <w:tc>
          <w:tcPr>
            <w:tcW w:w="1171" w:type="dxa"/>
            <w:vAlign w:val="center"/>
          </w:tcPr>
          <w:p>
            <w:pPr>
              <w:keepNext/>
              <w:keepLines/>
              <w:spacing w:line="300" w:lineRule="auto"/>
              <w:ind w:firstLine="0" w:firstLineChars="0"/>
              <w:jc w:val="center"/>
              <w:rPr>
                <w:rFonts w:eastAsia="宋体"/>
                <w:color w:val="auto"/>
                <w:sz w:val="20"/>
                <w:szCs w:val="20"/>
                <w:highlight w:val="none"/>
              </w:rPr>
            </w:pPr>
            <w:r>
              <w:rPr>
                <w:rFonts w:eastAsia="宋体"/>
                <w:color w:val="auto"/>
                <w:kern w:val="0"/>
                <w:sz w:val="20"/>
                <w:szCs w:val="20"/>
                <w:highlight w:val="none"/>
                <w:lang w:bidi="ar"/>
              </w:rPr>
              <w:t>0件</w:t>
            </w:r>
          </w:p>
        </w:tc>
        <w:tc>
          <w:tcPr>
            <w:tcW w:w="659" w:type="dxa"/>
            <w:vAlign w:val="center"/>
          </w:tcPr>
          <w:p>
            <w:pPr>
              <w:keepNext/>
              <w:keepLines/>
              <w:spacing w:line="300" w:lineRule="auto"/>
              <w:ind w:firstLine="0" w:firstLineChars="0"/>
              <w:jc w:val="center"/>
              <w:rPr>
                <w:rFonts w:hint="eastAsia" w:eastAsia="宋体"/>
                <w:color w:val="auto"/>
                <w:sz w:val="20"/>
                <w:szCs w:val="20"/>
                <w:highlight w:val="none"/>
                <w:lang w:eastAsia="zh-CN"/>
              </w:rPr>
            </w:pPr>
            <w:r>
              <w:rPr>
                <w:rFonts w:eastAsia="宋体"/>
                <w:color w:val="auto"/>
                <w:kern w:val="0"/>
                <w:sz w:val="20"/>
                <w:szCs w:val="20"/>
                <w:highlight w:val="none"/>
                <w:lang w:bidi="ar"/>
              </w:rPr>
              <w:t>5</w:t>
            </w:r>
          </w:p>
        </w:tc>
        <w:tc>
          <w:tcPr>
            <w:tcW w:w="656" w:type="dxa"/>
            <w:vAlign w:val="center"/>
          </w:tcPr>
          <w:p>
            <w:pPr>
              <w:keepNext/>
              <w:keepLines/>
              <w:spacing w:line="300" w:lineRule="auto"/>
              <w:ind w:firstLine="0" w:firstLineChars="0"/>
              <w:jc w:val="center"/>
              <w:rPr>
                <w:rFonts w:hint="eastAsia" w:eastAsia="宋体"/>
                <w:color w:val="auto"/>
                <w:sz w:val="20"/>
                <w:szCs w:val="20"/>
                <w:highlight w:val="none"/>
                <w:lang w:eastAsia="zh-CN"/>
              </w:rPr>
            </w:pPr>
            <w:r>
              <w:rPr>
                <w:rFonts w:eastAsia="宋体"/>
                <w:color w:val="auto"/>
                <w:kern w:val="0"/>
                <w:sz w:val="20"/>
                <w:szCs w:val="20"/>
                <w:highlight w:val="none"/>
                <w:lang w:bidi="ar"/>
              </w:rPr>
              <w:t>5</w:t>
            </w:r>
          </w:p>
        </w:tc>
        <w:tc>
          <w:tcPr>
            <w:tcW w:w="854" w:type="dxa"/>
            <w:vAlign w:val="center"/>
          </w:tcPr>
          <w:p>
            <w:pPr>
              <w:keepNext/>
              <w:keepLines/>
              <w:spacing w:line="300" w:lineRule="auto"/>
              <w:ind w:firstLine="0" w:firstLineChars="0"/>
              <w:jc w:val="center"/>
              <w:rPr>
                <w:rFonts w:eastAsia="宋体"/>
                <w:color w:val="auto"/>
                <w:sz w:val="20"/>
                <w:szCs w:val="20"/>
                <w:highlight w:val="none"/>
              </w:rPr>
            </w:pPr>
            <w:r>
              <w:rPr>
                <w:rFonts w:eastAsia="宋体"/>
                <w:color w:val="auto"/>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282" w:hRule="atLeast"/>
        </w:trPr>
        <w:tc>
          <w:tcPr>
            <w:tcW w:w="954" w:type="dxa"/>
            <w:vMerge w:val="continue"/>
            <w:vAlign w:val="center"/>
          </w:tcPr>
          <w:p>
            <w:pPr>
              <w:keepNext/>
              <w:keepLines/>
              <w:spacing w:line="300" w:lineRule="auto"/>
              <w:ind w:firstLine="0" w:firstLineChars="0"/>
              <w:jc w:val="left"/>
              <w:rPr>
                <w:rFonts w:eastAsia="宋体"/>
                <w:color w:val="auto"/>
                <w:sz w:val="20"/>
                <w:szCs w:val="20"/>
                <w:highlight w:val="none"/>
              </w:rPr>
            </w:pPr>
          </w:p>
        </w:tc>
        <w:tc>
          <w:tcPr>
            <w:tcW w:w="1277" w:type="dxa"/>
            <w:vMerge w:val="continue"/>
            <w:vAlign w:val="center"/>
          </w:tcPr>
          <w:p>
            <w:pPr>
              <w:keepNext/>
              <w:keepLines/>
              <w:spacing w:line="300" w:lineRule="auto"/>
              <w:ind w:firstLine="0" w:firstLineChars="0"/>
              <w:jc w:val="center"/>
              <w:rPr>
                <w:rFonts w:eastAsia="宋体"/>
                <w:color w:val="auto"/>
                <w:sz w:val="20"/>
                <w:szCs w:val="20"/>
                <w:highlight w:val="none"/>
              </w:rPr>
            </w:pPr>
          </w:p>
        </w:tc>
        <w:tc>
          <w:tcPr>
            <w:tcW w:w="1934" w:type="dxa"/>
            <w:vAlign w:val="center"/>
          </w:tcPr>
          <w:p>
            <w:pPr>
              <w:keepNext/>
              <w:keepLines/>
              <w:spacing w:line="300" w:lineRule="auto"/>
              <w:ind w:firstLine="0" w:firstLineChars="0"/>
              <w:jc w:val="center"/>
              <w:rPr>
                <w:rFonts w:eastAsia="宋体"/>
                <w:color w:val="auto"/>
                <w:sz w:val="20"/>
                <w:szCs w:val="20"/>
                <w:highlight w:val="none"/>
              </w:rPr>
            </w:pPr>
            <w:r>
              <w:rPr>
                <w:rFonts w:eastAsia="宋体"/>
                <w:color w:val="auto"/>
                <w:kern w:val="0"/>
                <w:sz w:val="20"/>
                <w:szCs w:val="20"/>
                <w:highlight w:val="none"/>
                <w:lang w:bidi="ar"/>
              </w:rPr>
              <w:t>D</w:t>
            </w:r>
            <w:r>
              <w:rPr>
                <w:rFonts w:hint="eastAsia" w:eastAsia="宋体"/>
                <w:color w:val="auto"/>
                <w:kern w:val="0"/>
                <w:sz w:val="20"/>
                <w:szCs w:val="20"/>
                <w:highlight w:val="none"/>
                <w:lang w:bidi="ar"/>
              </w:rPr>
              <w:t>13</w:t>
            </w:r>
            <w:r>
              <w:rPr>
                <w:rFonts w:eastAsia="宋体"/>
                <w:color w:val="auto"/>
                <w:kern w:val="0"/>
                <w:sz w:val="20"/>
                <w:szCs w:val="20"/>
                <w:highlight w:val="none"/>
                <w:lang w:bidi="ar"/>
              </w:rPr>
              <w:t>提升学校基础设施水平</w:t>
            </w:r>
          </w:p>
        </w:tc>
        <w:tc>
          <w:tcPr>
            <w:tcW w:w="900" w:type="dxa"/>
            <w:vAlign w:val="center"/>
          </w:tcPr>
          <w:p>
            <w:pPr>
              <w:keepNext/>
              <w:keepLines/>
              <w:spacing w:line="300" w:lineRule="auto"/>
              <w:ind w:firstLine="0" w:firstLineChars="0"/>
              <w:jc w:val="center"/>
              <w:rPr>
                <w:rFonts w:eastAsia="宋体"/>
                <w:color w:val="auto"/>
                <w:sz w:val="20"/>
                <w:szCs w:val="20"/>
                <w:highlight w:val="none"/>
              </w:rPr>
            </w:pPr>
            <w:r>
              <w:rPr>
                <w:rFonts w:eastAsia="宋体"/>
                <w:color w:val="auto"/>
                <w:kern w:val="0"/>
                <w:sz w:val="20"/>
                <w:szCs w:val="20"/>
                <w:highlight w:val="none"/>
                <w:lang w:bidi="ar"/>
              </w:rPr>
              <w:t>有效提高</w:t>
            </w:r>
          </w:p>
        </w:tc>
        <w:tc>
          <w:tcPr>
            <w:tcW w:w="1171" w:type="dxa"/>
            <w:vAlign w:val="center"/>
          </w:tcPr>
          <w:p>
            <w:pPr>
              <w:keepNext/>
              <w:keepLines/>
              <w:spacing w:line="300" w:lineRule="auto"/>
              <w:ind w:firstLine="0" w:firstLineChars="0"/>
              <w:jc w:val="center"/>
              <w:rPr>
                <w:rFonts w:eastAsia="宋体"/>
                <w:color w:val="auto"/>
                <w:sz w:val="20"/>
                <w:szCs w:val="20"/>
                <w:highlight w:val="none"/>
              </w:rPr>
            </w:pPr>
            <w:r>
              <w:rPr>
                <w:rFonts w:eastAsia="宋体"/>
                <w:color w:val="auto"/>
                <w:kern w:val="0"/>
                <w:sz w:val="20"/>
                <w:szCs w:val="20"/>
                <w:highlight w:val="none"/>
                <w:lang w:bidi="ar"/>
              </w:rPr>
              <w:t>基本达成目标</w:t>
            </w:r>
          </w:p>
        </w:tc>
        <w:tc>
          <w:tcPr>
            <w:tcW w:w="659" w:type="dxa"/>
            <w:vAlign w:val="center"/>
          </w:tcPr>
          <w:p>
            <w:pPr>
              <w:keepNext/>
              <w:keepLines/>
              <w:spacing w:line="300" w:lineRule="auto"/>
              <w:ind w:firstLine="0" w:firstLineChars="0"/>
              <w:jc w:val="center"/>
              <w:rPr>
                <w:rFonts w:hint="eastAsia" w:eastAsia="宋体"/>
                <w:color w:val="auto"/>
                <w:sz w:val="20"/>
                <w:szCs w:val="20"/>
                <w:highlight w:val="none"/>
                <w:lang w:eastAsia="zh-CN"/>
              </w:rPr>
            </w:pPr>
            <w:r>
              <w:rPr>
                <w:rFonts w:eastAsia="宋体"/>
                <w:color w:val="auto"/>
                <w:kern w:val="0"/>
                <w:sz w:val="20"/>
                <w:szCs w:val="20"/>
                <w:highlight w:val="none"/>
                <w:lang w:bidi="ar"/>
              </w:rPr>
              <w:t>10</w:t>
            </w:r>
          </w:p>
        </w:tc>
        <w:tc>
          <w:tcPr>
            <w:tcW w:w="656" w:type="dxa"/>
            <w:vAlign w:val="center"/>
          </w:tcPr>
          <w:p>
            <w:pPr>
              <w:keepNext/>
              <w:keepLines/>
              <w:spacing w:line="300" w:lineRule="auto"/>
              <w:ind w:firstLine="0" w:firstLineChars="0"/>
              <w:jc w:val="center"/>
              <w:rPr>
                <w:rFonts w:hint="eastAsia" w:eastAsia="宋体"/>
                <w:color w:val="auto"/>
                <w:sz w:val="20"/>
                <w:szCs w:val="20"/>
                <w:highlight w:val="none"/>
                <w:lang w:eastAsia="zh-CN"/>
              </w:rPr>
            </w:pPr>
            <w:r>
              <w:rPr>
                <w:rFonts w:eastAsia="宋体"/>
                <w:color w:val="auto"/>
                <w:kern w:val="0"/>
                <w:sz w:val="20"/>
                <w:szCs w:val="20"/>
                <w:highlight w:val="none"/>
                <w:lang w:bidi="ar"/>
              </w:rPr>
              <w:t>10</w:t>
            </w:r>
          </w:p>
        </w:tc>
        <w:tc>
          <w:tcPr>
            <w:tcW w:w="854" w:type="dxa"/>
            <w:vAlign w:val="center"/>
          </w:tcPr>
          <w:p>
            <w:pPr>
              <w:keepNext/>
              <w:keepLines/>
              <w:spacing w:line="300" w:lineRule="auto"/>
              <w:ind w:firstLine="0" w:firstLineChars="0"/>
              <w:jc w:val="center"/>
              <w:rPr>
                <w:rFonts w:eastAsia="宋体"/>
                <w:color w:val="auto"/>
                <w:sz w:val="20"/>
                <w:szCs w:val="20"/>
                <w:highlight w:val="none"/>
              </w:rPr>
            </w:pPr>
            <w:r>
              <w:rPr>
                <w:rFonts w:eastAsia="宋体"/>
                <w:color w:val="auto"/>
                <w:kern w:val="0"/>
                <w:sz w:val="20"/>
                <w:szCs w:val="20"/>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282" w:hRule="atLeast"/>
        </w:trPr>
        <w:tc>
          <w:tcPr>
            <w:tcW w:w="954" w:type="dxa"/>
            <w:vMerge w:val="continue"/>
            <w:vAlign w:val="center"/>
          </w:tcPr>
          <w:p>
            <w:pPr>
              <w:keepNext/>
              <w:keepLines/>
              <w:spacing w:line="300" w:lineRule="auto"/>
              <w:ind w:firstLine="0" w:firstLineChars="0"/>
              <w:jc w:val="left"/>
              <w:rPr>
                <w:rFonts w:eastAsia="宋体"/>
                <w:color w:val="auto"/>
                <w:sz w:val="20"/>
                <w:szCs w:val="20"/>
                <w:highlight w:val="none"/>
              </w:rPr>
            </w:pPr>
          </w:p>
        </w:tc>
        <w:tc>
          <w:tcPr>
            <w:tcW w:w="1277" w:type="dxa"/>
            <w:vAlign w:val="center"/>
          </w:tcPr>
          <w:p>
            <w:pPr>
              <w:keepNext/>
              <w:keepLines/>
              <w:spacing w:line="300" w:lineRule="auto"/>
              <w:ind w:firstLine="0" w:firstLineChars="0"/>
              <w:jc w:val="center"/>
              <w:rPr>
                <w:rFonts w:eastAsia="宋体"/>
                <w:color w:val="auto"/>
                <w:sz w:val="20"/>
                <w:szCs w:val="20"/>
                <w:highlight w:val="none"/>
              </w:rPr>
            </w:pPr>
            <w:r>
              <w:rPr>
                <w:rFonts w:eastAsia="宋体"/>
                <w:color w:val="auto"/>
                <w:kern w:val="0"/>
                <w:sz w:val="20"/>
                <w:szCs w:val="20"/>
                <w:highlight w:val="none"/>
                <w:lang w:bidi="ar"/>
              </w:rPr>
              <w:t>D2服务对象满意度指标（10分）</w:t>
            </w:r>
          </w:p>
        </w:tc>
        <w:tc>
          <w:tcPr>
            <w:tcW w:w="1934" w:type="dxa"/>
            <w:vAlign w:val="center"/>
          </w:tcPr>
          <w:p>
            <w:pPr>
              <w:keepNext/>
              <w:keepLines/>
              <w:spacing w:line="300" w:lineRule="auto"/>
              <w:ind w:firstLine="0" w:firstLineChars="0"/>
              <w:jc w:val="center"/>
              <w:rPr>
                <w:rFonts w:eastAsia="宋体"/>
                <w:color w:val="auto"/>
                <w:sz w:val="20"/>
                <w:szCs w:val="20"/>
                <w:highlight w:val="none"/>
              </w:rPr>
            </w:pPr>
            <w:r>
              <w:rPr>
                <w:rFonts w:eastAsia="宋体"/>
                <w:color w:val="auto"/>
                <w:kern w:val="0"/>
                <w:sz w:val="20"/>
                <w:szCs w:val="20"/>
                <w:highlight w:val="none"/>
                <w:lang w:bidi="ar"/>
              </w:rPr>
              <w:t>D</w:t>
            </w:r>
            <w:r>
              <w:rPr>
                <w:rFonts w:hint="eastAsia" w:eastAsia="宋体"/>
                <w:color w:val="auto"/>
                <w:kern w:val="0"/>
                <w:sz w:val="20"/>
                <w:szCs w:val="20"/>
                <w:highlight w:val="none"/>
                <w:lang w:bidi="ar"/>
              </w:rPr>
              <w:t>21</w:t>
            </w:r>
            <w:r>
              <w:rPr>
                <w:rFonts w:eastAsia="宋体"/>
                <w:color w:val="auto"/>
                <w:kern w:val="0"/>
                <w:sz w:val="20"/>
                <w:szCs w:val="20"/>
                <w:highlight w:val="none"/>
                <w:lang w:bidi="ar"/>
              </w:rPr>
              <w:t>受益教师及学生满意度</w:t>
            </w:r>
          </w:p>
        </w:tc>
        <w:tc>
          <w:tcPr>
            <w:tcW w:w="900" w:type="dxa"/>
            <w:vAlign w:val="center"/>
          </w:tcPr>
          <w:p>
            <w:pPr>
              <w:keepNext/>
              <w:keepLines/>
              <w:spacing w:line="300" w:lineRule="auto"/>
              <w:ind w:firstLine="0" w:firstLineChars="0"/>
              <w:jc w:val="center"/>
              <w:rPr>
                <w:rFonts w:eastAsia="宋体"/>
                <w:color w:val="auto"/>
                <w:sz w:val="20"/>
                <w:szCs w:val="20"/>
                <w:highlight w:val="none"/>
              </w:rPr>
            </w:pPr>
            <w:r>
              <w:rPr>
                <w:rFonts w:hint="eastAsia" w:eastAsia="宋体"/>
                <w:color w:val="auto"/>
                <w:kern w:val="0"/>
                <w:sz w:val="20"/>
                <w:szCs w:val="20"/>
                <w:highlight w:val="none"/>
                <w:lang w:eastAsia="zh-CN" w:bidi="ar"/>
              </w:rPr>
              <w:t>≥</w:t>
            </w:r>
            <w:r>
              <w:rPr>
                <w:rFonts w:eastAsia="宋体"/>
                <w:color w:val="auto"/>
                <w:kern w:val="0"/>
                <w:sz w:val="20"/>
                <w:szCs w:val="20"/>
                <w:highlight w:val="none"/>
                <w:lang w:bidi="ar"/>
              </w:rPr>
              <w:t>90%</w:t>
            </w:r>
          </w:p>
        </w:tc>
        <w:tc>
          <w:tcPr>
            <w:tcW w:w="1171" w:type="dxa"/>
            <w:vAlign w:val="center"/>
          </w:tcPr>
          <w:p>
            <w:pPr>
              <w:keepNext/>
              <w:keepLines/>
              <w:spacing w:line="300" w:lineRule="auto"/>
              <w:ind w:firstLine="0" w:firstLineChars="0"/>
              <w:jc w:val="center"/>
              <w:rPr>
                <w:rFonts w:eastAsia="宋体"/>
                <w:color w:val="auto"/>
                <w:sz w:val="20"/>
                <w:szCs w:val="20"/>
                <w:highlight w:val="none"/>
              </w:rPr>
            </w:pPr>
            <w:r>
              <w:rPr>
                <w:rFonts w:eastAsia="宋体"/>
                <w:color w:val="auto"/>
                <w:kern w:val="0"/>
                <w:sz w:val="20"/>
                <w:szCs w:val="20"/>
                <w:highlight w:val="none"/>
                <w:lang w:bidi="ar"/>
              </w:rPr>
              <w:t>87.69%</w:t>
            </w:r>
          </w:p>
        </w:tc>
        <w:tc>
          <w:tcPr>
            <w:tcW w:w="659" w:type="dxa"/>
            <w:vAlign w:val="center"/>
          </w:tcPr>
          <w:p>
            <w:pPr>
              <w:keepNext/>
              <w:keepLines/>
              <w:spacing w:line="300" w:lineRule="auto"/>
              <w:ind w:firstLine="0" w:firstLineChars="0"/>
              <w:jc w:val="center"/>
              <w:rPr>
                <w:rFonts w:hint="eastAsia" w:eastAsia="宋体"/>
                <w:color w:val="auto"/>
                <w:sz w:val="20"/>
                <w:szCs w:val="20"/>
                <w:highlight w:val="none"/>
                <w:lang w:eastAsia="zh-CN"/>
              </w:rPr>
            </w:pPr>
            <w:r>
              <w:rPr>
                <w:rFonts w:eastAsia="宋体"/>
                <w:color w:val="auto"/>
                <w:kern w:val="0"/>
                <w:sz w:val="20"/>
                <w:szCs w:val="20"/>
                <w:highlight w:val="none"/>
                <w:lang w:bidi="ar"/>
              </w:rPr>
              <w:t>10</w:t>
            </w:r>
          </w:p>
        </w:tc>
        <w:tc>
          <w:tcPr>
            <w:tcW w:w="656" w:type="dxa"/>
            <w:vAlign w:val="center"/>
          </w:tcPr>
          <w:p>
            <w:pPr>
              <w:keepNext/>
              <w:keepLines/>
              <w:spacing w:line="300" w:lineRule="auto"/>
              <w:ind w:firstLine="0" w:firstLineChars="0"/>
              <w:jc w:val="center"/>
              <w:rPr>
                <w:rFonts w:eastAsia="宋体"/>
                <w:color w:val="auto"/>
                <w:sz w:val="20"/>
                <w:szCs w:val="20"/>
                <w:highlight w:val="none"/>
              </w:rPr>
            </w:pPr>
            <w:r>
              <w:rPr>
                <w:rFonts w:eastAsia="宋体"/>
                <w:color w:val="auto"/>
                <w:kern w:val="0"/>
                <w:sz w:val="20"/>
                <w:szCs w:val="20"/>
                <w:highlight w:val="none"/>
                <w:lang w:bidi="ar"/>
              </w:rPr>
              <w:t>9.23</w:t>
            </w:r>
          </w:p>
        </w:tc>
        <w:tc>
          <w:tcPr>
            <w:tcW w:w="854" w:type="dxa"/>
            <w:vAlign w:val="center"/>
          </w:tcPr>
          <w:p>
            <w:pPr>
              <w:keepNext/>
              <w:keepLines/>
              <w:spacing w:line="300" w:lineRule="auto"/>
              <w:ind w:firstLine="0" w:firstLineChars="0"/>
              <w:jc w:val="center"/>
              <w:rPr>
                <w:rFonts w:eastAsia="宋体"/>
                <w:color w:val="auto"/>
                <w:sz w:val="20"/>
                <w:szCs w:val="20"/>
                <w:highlight w:val="none"/>
              </w:rPr>
            </w:pPr>
            <w:r>
              <w:rPr>
                <w:rFonts w:eastAsia="宋体"/>
                <w:color w:val="auto"/>
                <w:kern w:val="0"/>
                <w:sz w:val="20"/>
                <w:szCs w:val="20"/>
                <w:highlight w:val="none"/>
                <w:lang w:bidi="ar"/>
              </w:rPr>
              <w:t>92</w:t>
            </w:r>
            <w:r>
              <w:rPr>
                <w:rFonts w:hint="eastAsia" w:eastAsia="宋体"/>
                <w:color w:val="auto"/>
                <w:kern w:val="0"/>
                <w:sz w:val="20"/>
                <w:szCs w:val="20"/>
                <w:highlight w:val="none"/>
                <w:lang w:eastAsia="zh-CN" w:bidi="ar"/>
              </w:rPr>
              <w:t>.3</w:t>
            </w:r>
            <w:r>
              <w:rPr>
                <w:rFonts w:eastAsia="宋体"/>
                <w:color w:val="auto"/>
                <w:kern w:val="0"/>
                <w:sz w:val="20"/>
                <w:szCs w:val="20"/>
                <w:highlight w:val="none"/>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282" w:hRule="atLeast"/>
        </w:trPr>
        <w:tc>
          <w:tcPr>
            <w:tcW w:w="4165" w:type="dxa"/>
            <w:gridSpan w:val="3"/>
            <w:vAlign w:val="center"/>
          </w:tcPr>
          <w:p>
            <w:pPr>
              <w:keepNext/>
              <w:keepLines/>
              <w:spacing w:line="300" w:lineRule="auto"/>
              <w:ind w:firstLine="0" w:firstLineChars="0"/>
              <w:jc w:val="center"/>
              <w:rPr>
                <w:rFonts w:eastAsia="宋体"/>
                <w:color w:val="auto"/>
                <w:sz w:val="20"/>
                <w:szCs w:val="20"/>
                <w:highlight w:val="none"/>
              </w:rPr>
            </w:pPr>
            <w:r>
              <w:rPr>
                <w:rFonts w:eastAsia="宋体"/>
                <w:color w:val="auto"/>
                <w:sz w:val="20"/>
                <w:szCs w:val="20"/>
                <w:highlight w:val="none"/>
              </w:rPr>
              <w:t>合计</w:t>
            </w:r>
          </w:p>
        </w:tc>
        <w:tc>
          <w:tcPr>
            <w:tcW w:w="900" w:type="dxa"/>
            <w:vAlign w:val="center"/>
          </w:tcPr>
          <w:p>
            <w:pPr>
              <w:keepNext/>
              <w:keepLines/>
              <w:spacing w:line="300" w:lineRule="auto"/>
              <w:ind w:firstLine="0" w:firstLineChars="0"/>
              <w:jc w:val="center"/>
              <w:rPr>
                <w:rFonts w:eastAsia="宋体"/>
                <w:color w:val="auto"/>
                <w:sz w:val="20"/>
                <w:szCs w:val="20"/>
                <w:highlight w:val="none"/>
              </w:rPr>
            </w:pPr>
          </w:p>
        </w:tc>
        <w:tc>
          <w:tcPr>
            <w:tcW w:w="1171" w:type="dxa"/>
            <w:vAlign w:val="center"/>
          </w:tcPr>
          <w:p>
            <w:pPr>
              <w:keepNext/>
              <w:keepLines/>
              <w:spacing w:line="300" w:lineRule="auto"/>
              <w:ind w:firstLine="0" w:firstLineChars="0"/>
              <w:jc w:val="center"/>
              <w:rPr>
                <w:rFonts w:eastAsia="宋体"/>
                <w:color w:val="auto"/>
                <w:sz w:val="20"/>
                <w:szCs w:val="20"/>
                <w:highlight w:val="none"/>
              </w:rPr>
            </w:pPr>
          </w:p>
        </w:tc>
        <w:tc>
          <w:tcPr>
            <w:tcW w:w="659" w:type="dxa"/>
            <w:vAlign w:val="center"/>
          </w:tcPr>
          <w:p>
            <w:pPr>
              <w:keepNext/>
              <w:keepLines/>
              <w:spacing w:line="300" w:lineRule="auto"/>
              <w:ind w:firstLine="0" w:firstLineChars="0"/>
              <w:jc w:val="center"/>
              <w:rPr>
                <w:rFonts w:hint="eastAsia" w:eastAsia="宋体"/>
                <w:color w:val="auto"/>
                <w:sz w:val="20"/>
                <w:szCs w:val="20"/>
                <w:highlight w:val="none"/>
                <w:lang w:eastAsia="zh-CN"/>
              </w:rPr>
            </w:pPr>
            <w:r>
              <w:rPr>
                <w:rFonts w:eastAsia="宋体"/>
                <w:color w:val="auto"/>
                <w:kern w:val="0"/>
                <w:sz w:val="20"/>
                <w:szCs w:val="20"/>
                <w:highlight w:val="none"/>
                <w:lang w:bidi="ar"/>
              </w:rPr>
              <w:t>35</w:t>
            </w:r>
          </w:p>
        </w:tc>
        <w:tc>
          <w:tcPr>
            <w:tcW w:w="656" w:type="dxa"/>
            <w:vAlign w:val="center"/>
          </w:tcPr>
          <w:p>
            <w:pPr>
              <w:keepNext/>
              <w:keepLines/>
              <w:spacing w:line="300" w:lineRule="auto"/>
              <w:ind w:firstLine="0" w:firstLineChars="0"/>
              <w:jc w:val="center"/>
              <w:rPr>
                <w:rFonts w:eastAsia="宋体"/>
                <w:color w:val="auto"/>
                <w:sz w:val="20"/>
                <w:szCs w:val="20"/>
                <w:highlight w:val="none"/>
              </w:rPr>
            </w:pPr>
            <w:r>
              <w:rPr>
                <w:rFonts w:eastAsia="宋体"/>
                <w:color w:val="auto"/>
                <w:kern w:val="0"/>
                <w:sz w:val="20"/>
                <w:szCs w:val="20"/>
                <w:highlight w:val="none"/>
                <w:lang w:bidi="ar"/>
              </w:rPr>
              <w:t>34.23</w:t>
            </w:r>
          </w:p>
        </w:tc>
        <w:tc>
          <w:tcPr>
            <w:tcW w:w="854" w:type="dxa"/>
            <w:vAlign w:val="center"/>
          </w:tcPr>
          <w:p>
            <w:pPr>
              <w:keepNext/>
              <w:keepLines/>
              <w:spacing w:line="300" w:lineRule="auto"/>
              <w:ind w:firstLine="0" w:firstLineChars="0"/>
              <w:jc w:val="center"/>
              <w:rPr>
                <w:rFonts w:eastAsia="宋体"/>
                <w:color w:val="auto"/>
                <w:sz w:val="20"/>
                <w:szCs w:val="20"/>
                <w:highlight w:val="none"/>
              </w:rPr>
            </w:pPr>
            <w:r>
              <w:rPr>
                <w:rFonts w:eastAsia="宋体"/>
                <w:color w:val="auto"/>
                <w:kern w:val="0"/>
                <w:sz w:val="20"/>
                <w:szCs w:val="20"/>
                <w:highlight w:val="none"/>
                <w:lang w:bidi="ar"/>
              </w:rPr>
              <w:t>97</w:t>
            </w:r>
            <w:r>
              <w:rPr>
                <w:rFonts w:hint="eastAsia" w:eastAsia="宋体"/>
                <w:color w:val="auto"/>
                <w:kern w:val="0"/>
                <w:sz w:val="20"/>
                <w:szCs w:val="20"/>
                <w:highlight w:val="none"/>
                <w:lang w:eastAsia="zh-CN" w:bidi="ar"/>
              </w:rPr>
              <w:t>.8</w:t>
            </w:r>
            <w:r>
              <w:rPr>
                <w:rFonts w:eastAsia="宋体"/>
                <w:color w:val="auto"/>
                <w:kern w:val="0"/>
                <w:sz w:val="20"/>
                <w:szCs w:val="20"/>
                <w:highlight w:val="none"/>
                <w:lang w:bidi="ar"/>
              </w:rPr>
              <w:t>%</w:t>
            </w:r>
          </w:p>
        </w:tc>
      </w:tr>
    </w:tbl>
    <w:p>
      <w:pPr>
        <w:keepNext/>
        <w:keepLines/>
        <w:ind w:firstLine="422"/>
        <w:rPr>
          <w:rFonts w:eastAsia="宋体"/>
          <w:b/>
          <w:bCs/>
          <w:color w:val="auto"/>
          <w:highlight w:val="none"/>
        </w:rPr>
      </w:pP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指标得分分析：</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（1）D11维修改造正常运转率指标</w:t>
      </w:r>
    </w:p>
    <w:p>
      <w:pPr>
        <w:keepNext/>
        <w:keepLines/>
        <w:ind w:firstLine="420"/>
        <w:rPr>
          <w:color w:val="auto"/>
          <w:highlight w:val="none"/>
        </w:rPr>
      </w:pPr>
      <w:r>
        <w:rPr>
          <w:color w:val="auto"/>
          <w:highlight w:val="none"/>
        </w:rPr>
        <w:t>经查阅项目资料，结合现场调研情况，该项目完成对14个校园的校舍安全改造，其中巴楚县第八小学实施的附属用房配套、消防、给排水、电气、通风、火灾自动报警等工程为其他项目主体工程的配套工程，由于巴楚县第八小学食堂及宿舍等主体工程未完成竣工，该项目巴楚县第八小学实施的</w:t>
      </w:r>
      <w:r>
        <w:rPr>
          <w:rFonts w:hint="eastAsia"/>
          <w:color w:val="auto"/>
          <w:highlight w:val="none"/>
          <w:lang w:val="en-US" w:eastAsia="zh-CN"/>
        </w:rPr>
        <w:t>配套设施</w:t>
      </w:r>
      <w:r>
        <w:rPr>
          <w:rFonts w:hint="eastAsia"/>
          <w:color w:val="auto"/>
          <w:highlight w:val="none"/>
        </w:rPr>
        <w:t>建设</w:t>
      </w:r>
      <w:r>
        <w:rPr>
          <w:color w:val="auto"/>
          <w:highlight w:val="none"/>
        </w:rPr>
        <w:t>内容未投入使用。故维修改造正常运转率=（实际正常运转数量/实际正常运转数量）×100</w:t>
      </w:r>
      <w:r>
        <w:rPr>
          <w:rFonts w:hint="eastAsia"/>
          <w:color w:val="auto"/>
          <w:highlight w:val="none"/>
          <w:lang w:eastAsia="zh-CN"/>
        </w:rPr>
        <w:t>%</w:t>
      </w:r>
      <w:r>
        <w:rPr>
          <w:color w:val="auto"/>
          <w:highlight w:val="none"/>
        </w:rPr>
        <w:t>=（13/14）×100</w:t>
      </w:r>
      <w:r>
        <w:rPr>
          <w:rFonts w:hint="eastAsia"/>
          <w:color w:val="auto"/>
          <w:highlight w:val="none"/>
          <w:lang w:eastAsia="zh-CN"/>
        </w:rPr>
        <w:t>%</w:t>
      </w:r>
      <w:r>
        <w:rPr>
          <w:color w:val="auto"/>
          <w:highlight w:val="none"/>
        </w:rPr>
        <w:t>=92.86%，根据评分标准，得满分。</w:t>
      </w:r>
    </w:p>
    <w:p>
      <w:pPr>
        <w:keepNext/>
        <w:keepLines/>
        <w:ind w:firstLine="420"/>
        <w:rPr>
          <w:color w:val="auto"/>
          <w:highlight w:val="none"/>
        </w:rPr>
      </w:pPr>
      <w:r>
        <w:rPr>
          <w:color w:val="auto"/>
          <w:highlight w:val="none"/>
        </w:rPr>
        <w:t>该指标满分为10分，根据评分标准得10分。</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（2）D1</w:t>
      </w:r>
      <w:r>
        <w:rPr>
          <w:rFonts w:hint="eastAsia"/>
          <w:b/>
          <w:bCs/>
          <w:color w:val="auto"/>
          <w:sz w:val="24"/>
          <w:szCs w:val="28"/>
          <w:highlight w:val="none"/>
        </w:rPr>
        <w:t>2</w:t>
      </w:r>
      <w:r>
        <w:rPr>
          <w:b/>
          <w:bCs/>
          <w:color w:val="auto"/>
          <w:sz w:val="24"/>
          <w:szCs w:val="28"/>
          <w:highlight w:val="none"/>
        </w:rPr>
        <w:t>重大事故发生数指标</w:t>
      </w:r>
    </w:p>
    <w:p>
      <w:pPr>
        <w:keepNext/>
        <w:keepLines/>
        <w:ind w:firstLine="420"/>
        <w:rPr>
          <w:color w:val="auto"/>
          <w:highlight w:val="none"/>
        </w:rPr>
      </w:pPr>
      <w:r>
        <w:rPr>
          <w:color w:val="auto"/>
          <w:highlight w:val="none"/>
        </w:rPr>
        <w:t>根据项目《新疆维吾尔自治区建设工程质量监督报告》，结合绩效评价小组现场勘查并与项目参建单位等进行沟通了解，项目建设过程中未对学校的师生带来重大安全隐患，未发生重大事故，根据评分标准，得满分。</w:t>
      </w:r>
    </w:p>
    <w:p>
      <w:pPr>
        <w:keepNext/>
        <w:keepLines/>
        <w:ind w:firstLine="420"/>
        <w:rPr>
          <w:color w:val="auto"/>
          <w:highlight w:val="none"/>
        </w:rPr>
      </w:pPr>
      <w:r>
        <w:rPr>
          <w:color w:val="auto"/>
          <w:highlight w:val="none"/>
        </w:rPr>
        <w:t>该指标满分为5分，根据评分标准得5分。</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（3）D</w:t>
      </w:r>
      <w:r>
        <w:rPr>
          <w:rFonts w:hint="eastAsia"/>
          <w:b/>
          <w:bCs/>
          <w:color w:val="auto"/>
          <w:sz w:val="24"/>
          <w:szCs w:val="28"/>
          <w:highlight w:val="none"/>
        </w:rPr>
        <w:t>13</w:t>
      </w:r>
      <w:r>
        <w:rPr>
          <w:b/>
          <w:bCs/>
          <w:color w:val="auto"/>
          <w:sz w:val="24"/>
          <w:szCs w:val="28"/>
          <w:highlight w:val="none"/>
        </w:rPr>
        <w:t>提升学校基础设施水平指标</w:t>
      </w:r>
    </w:p>
    <w:p>
      <w:pPr>
        <w:keepNext/>
        <w:keepLines/>
        <w:ind w:firstLine="420"/>
        <w:rPr>
          <w:color w:val="auto"/>
          <w:highlight w:val="none"/>
        </w:rPr>
      </w:pPr>
      <w:r>
        <w:rPr>
          <w:color w:val="auto"/>
          <w:highlight w:val="none"/>
        </w:rPr>
        <w:t>根据《喀什地区巴楚县2023年城乡义务教育农村校舍安全保障长效机制项目（第一批）调研问卷》统计结果，满意度调研问卷对象为受益学生和老师，共发放</w:t>
      </w:r>
      <w:r>
        <w:rPr>
          <w:rFonts w:hint="eastAsia"/>
          <w:color w:val="auto"/>
          <w:highlight w:val="none"/>
        </w:rPr>
        <w:t>问卷</w:t>
      </w:r>
      <w:r>
        <w:rPr>
          <w:rFonts w:hint="eastAsia"/>
          <w:color w:val="auto"/>
          <w:highlight w:val="none"/>
          <w:lang w:eastAsia="zh-CN"/>
        </w:rPr>
        <w:t>1320份</w:t>
      </w:r>
      <w:r>
        <w:rPr>
          <w:color w:val="auto"/>
          <w:highlight w:val="none"/>
        </w:rPr>
        <w:t>，收回有效问卷</w:t>
      </w:r>
      <w:r>
        <w:rPr>
          <w:rFonts w:hint="eastAsia"/>
          <w:color w:val="auto"/>
          <w:highlight w:val="none"/>
          <w:lang w:eastAsia="zh-CN"/>
        </w:rPr>
        <w:t>1320</w:t>
      </w:r>
      <w:r>
        <w:rPr>
          <w:color w:val="auto"/>
          <w:highlight w:val="none"/>
        </w:rPr>
        <w:t>份，问卷共设计8个问题，其中问题2至问题5从校园改造情况、住宿改善情况、校园安全状况、设施维修状况四个方面进行关于项目提升学校基础设施水平的调研，根据问卷统计结果，取综合满意度为85.22%，根据评分标准，指标完成率在</w:t>
      </w:r>
      <w:r>
        <w:rPr>
          <w:rFonts w:hint="eastAsia"/>
          <w:color w:val="auto"/>
          <w:highlight w:val="none"/>
          <w:lang w:eastAsia="zh-CN"/>
        </w:rPr>
        <w:t>100%~80%</w:t>
      </w:r>
      <w:r>
        <w:rPr>
          <w:color w:val="auto"/>
          <w:highlight w:val="none"/>
        </w:rPr>
        <w:t>之间，得满分。</w:t>
      </w:r>
    </w:p>
    <w:p>
      <w:pPr>
        <w:keepNext/>
        <w:keepLines/>
        <w:ind w:firstLine="420"/>
        <w:rPr>
          <w:color w:val="auto"/>
          <w:highlight w:val="none"/>
        </w:rPr>
      </w:pPr>
      <w:r>
        <w:rPr>
          <w:color w:val="auto"/>
          <w:highlight w:val="none"/>
        </w:rPr>
        <w:t>该指标满分为10分，根据评分标准得10分。</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（4）D</w:t>
      </w:r>
      <w:r>
        <w:rPr>
          <w:rFonts w:hint="eastAsia"/>
          <w:b/>
          <w:bCs/>
          <w:color w:val="auto"/>
          <w:sz w:val="24"/>
          <w:szCs w:val="28"/>
          <w:highlight w:val="none"/>
        </w:rPr>
        <w:t>21</w:t>
      </w:r>
      <w:r>
        <w:rPr>
          <w:b/>
          <w:bCs/>
          <w:color w:val="auto"/>
          <w:sz w:val="24"/>
          <w:szCs w:val="28"/>
          <w:highlight w:val="none"/>
        </w:rPr>
        <w:t>受益教师及学生满意度指标</w:t>
      </w:r>
    </w:p>
    <w:p>
      <w:pPr>
        <w:keepNext/>
        <w:keepLines/>
        <w:ind w:firstLine="420"/>
        <w:rPr>
          <w:rFonts w:hint="eastAsia"/>
          <w:b w:val="0"/>
          <w:bCs w:val="0"/>
          <w:color w:val="auto"/>
          <w:highlight w:val="none"/>
        </w:rPr>
      </w:pPr>
      <w:r>
        <w:rPr>
          <w:color w:val="auto"/>
          <w:highlight w:val="none"/>
        </w:rPr>
        <w:t>根据《喀什地区巴楚县2023年城乡义务教育农村校舍安全保障长效机制项目（第一批）调研问卷》统计结果，满意度调研问卷对象为受益学生和老师，共发放</w:t>
      </w:r>
      <w:r>
        <w:rPr>
          <w:rFonts w:hint="eastAsia"/>
          <w:color w:val="auto"/>
          <w:highlight w:val="none"/>
        </w:rPr>
        <w:t>问卷</w:t>
      </w:r>
      <w:r>
        <w:rPr>
          <w:rFonts w:hint="eastAsia"/>
          <w:color w:val="auto"/>
          <w:highlight w:val="none"/>
          <w:lang w:eastAsia="zh-CN"/>
        </w:rPr>
        <w:t>1320</w:t>
      </w:r>
      <w:r>
        <w:rPr>
          <w:color w:val="auto"/>
          <w:highlight w:val="none"/>
        </w:rPr>
        <w:t>份，收回有效问卷</w:t>
      </w:r>
      <w:r>
        <w:rPr>
          <w:rFonts w:hint="eastAsia"/>
          <w:color w:val="auto"/>
          <w:highlight w:val="none"/>
          <w:lang w:eastAsia="zh-CN"/>
        </w:rPr>
        <w:t>1320</w:t>
      </w:r>
      <w:r>
        <w:rPr>
          <w:color w:val="auto"/>
          <w:highlight w:val="none"/>
        </w:rPr>
        <w:t>份，问卷共设计8个问题，其中问题2至问题7从校园改造情况、安全状况</w:t>
      </w:r>
      <w:r>
        <w:rPr>
          <w:rFonts w:hint="eastAsia"/>
          <w:color w:val="auto"/>
          <w:highlight w:val="none"/>
          <w:lang w:eastAsia="zh-CN"/>
        </w:rPr>
        <w:t>、</w:t>
      </w:r>
    </w:p>
    <w:p>
      <w:pPr>
        <w:keepNext/>
        <w:keepLines/>
        <w:ind w:firstLine="0" w:firstLineChars="0"/>
        <w:rPr>
          <w:color w:val="auto"/>
          <w:highlight w:val="none"/>
        </w:rPr>
      </w:pPr>
      <w:r>
        <w:rPr>
          <w:color w:val="auto"/>
          <w:highlight w:val="none"/>
        </w:rPr>
        <w:t>设施维修、安全教育等方面进行满意度调研，根据问卷统计结果，取综合满意度为87.69%，得分=（实际完成率-60%）/（</w:t>
      </w:r>
      <w:r>
        <w:rPr>
          <w:rFonts w:hint="eastAsia"/>
          <w:color w:val="auto"/>
          <w:highlight w:val="none"/>
          <w:lang w:eastAsia="zh-CN"/>
        </w:rPr>
        <w:t>90%~60%</w:t>
      </w:r>
      <w:r>
        <w:rPr>
          <w:color w:val="auto"/>
          <w:highlight w:val="none"/>
        </w:rPr>
        <w:t>）×指标分值=（</w:t>
      </w:r>
      <w:r>
        <w:rPr>
          <w:rFonts w:hint="eastAsia"/>
          <w:color w:val="auto"/>
          <w:highlight w:val="none"/>
          <w:lang w:eastAsia="zh-CN"/>
        </w:rPr>
        <w:t>87.69%~60%</w:t>
      </w:r>
      <w:r>
        <w:rPr>
          <w:color w:val="auto"/>
          <w:highlight w:val="none"/>
        </w:rPr>
        <w:t>）/（</w:t>
      </w:r>
      <w:r>
        <w:rPr>
          <w:rFonts w:hint="eastAsia"/>
          <w:color w:val="auto"/>
          <w:highlight w:val="none"/>
          <w:lang w:eastAsia="zh-CN"/>
        </w:rPr>
        <w:t>90%~60%</w:t>
      </w:r>
      <w:r>
        <w:rPr>
          <w:color w:val="auto"/>
          <w:highlight w:val="none"/>
        </w:rPr>
        <w:t>）×10=9.23分。</w:t>
      </w:r>
    </w:p>
    <w:p>
      <w:pPr>
        <w:keepNext/>
        <w:keepLines/>
        <w:ind w:firstLine="420"/>
        <w:rPr>
          <w:color w:val="auto"/>
          <w:highlight w:val="none"/>
        </w:rPr>
      </w:pPr>
      <w:r>
        <w:rPr>
          <w:color w:val="auto"/>
          <w:highlight w:val="none"/>
        </w:rPr>
        <w:t>该指标满分为10分，根据评分标准得9.23分。</w:t>
      </w:r>
    </w:p>
    <w:bookmarkEnd w:id="217"/>
    <w:bookmarkEnd w:id="218"/>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bookmarkStart w:id="246" w:name="_Toc24862"/>
      <w:bookmarkStart w:id="247" w:name="_Toc27676"/>
      <w:bookmarkStart w:id="248" w:name="_Toc30458"/>
      <w:bookmarkStart w:id="249" w:name="_Toc31760"/>
      <w:bookmarkStart w:id="250" w:name="_Toc2421"/>
      <w:bookmarkStart w:id="251" w:name="_Toc31781"/>
      <w:bookmarkStart w:id="252" w:name="_Toc13686"/>
      <w:bookmarkStart w:id="253" w:name="_Toc27252"/>
      <w:bookmarkStart w:id="254" w:name="_Toc3964"/>
      <w:r>
        <w:rPr>
          <w:b/>
          <w:bCs/>
          <w:color w:val="auto"/>
          <w:sz w:val="24"/>
          <w:szCs w:val="28"/>
          <w:highlight w:val="none"/>
        </w:rPr>
        <w:t>六、主要经验及做法、存在的问题及原因分析</w:t>
      </w:r>
      <w:bookmarkEnd w:id="246"/>
      <w:bookmarkEnd w:id="247"/>
      <w:bookmarkEnd w:id="248"/>
      <w:bookmarkEnd w:id="249"/>
      <w:bookmarkEnd w:id="250"/>
      <w:bookmarkEnd w:id="251"/>
      <w:bookmarkEnd w:id="252"/>
      <w:bookmarkEnd w:id="253"/>
      <w:bookmarkEnd w:id="254"/>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bookmarkStart w:id="255" w:name="_Toc29893"/>
      <w:bookmarkStart w:id="256" w:name="_Toc811"/>
      <w:bookmarkStart w:id="257" w:name="_Toc32474"/>
      <w:bookmarkStart w:id="258" w:name="_Toc2597"/>
      <w:bookmarkStart w:id="259" w:name="_Toc579"/>
      <w:bookmarkStart w:id="260" w:name="_Toc5663"/>
      <w:bookmarkStart w:id="261" w:name="_Toc11503"/>
      <w:bookmarkStart w:id="262" w:name="_Toc14662"/>
      <w:bookmarkStart w:id="263" w:name="_Toc18194"/>
      <w:bookmarkStart w:id="264" w:name="_Toc15518"/>
      <w:bookmarkStart w:id="265" w:name="_Toc16974"/>
      <w:bookmarkStart w:id="266" w:name="_Toc13947"/>
      <w:bookmarkStart w:id="267" w:name="_Toc8112"/>
      <w:bookmarkStart w:id="268" w:name="_Toc15177"/>
      <w:r>
        <w:rPr>
          <w:b/>
          <w:bCs/>
          <w:color w:val="auto"/>
          <w:sz w:val="24"/>
          <w:szCs w:val="28"/>
          <w:highlight w:val="none"/>
        </w:rPr>
        <w:t>（一）主要经验及做法</w:t>
      </w:r>
      <w:bookmarkEnd w:id="255"/>
      <w:bookmarkEnd w:id="256"/>
      <w:bookmarkEnd w:id="257"/>
      <w:bookmarkEnd w:id="258"/>
      <w:bookmarkEnd w:id="259"/>
      <w:bookmarkEnd w:id="260"/>
      <w:bookmarkEnd w:id="261"/>
    </w:p>
    <w:p>
      <w:pPr>
        <w:keepNext/>
        <w:keepLines/>
        <w:ind w:firstLine="420"/>
        <w:rPr>
          <w:color w:val="auto"/>
          <w:highlight w:val="none"/>
        </w:rPr>
      </w:pPr>
      <w:r>
        <w:rPr>
          <w:color w:val="auto"/>
          <w:highlight w:val="none"/>
        </w:rPr>
        <w:t>项目实施单位内控制度健全，制定了《巴楚县教育局内部控制手册》，从预算管理、政府采购、资金使用、建设项目管理、合同管理、资产管理等各</w:t>
      </w:r>
      <w:r>
        <w:rPr>
          <w:rFonts w:hint="eastAsia"/>
          <w:color w:val="auto"/>
          <w:highlight w:val="none"/>
        </w:rPr>
        <w:t>业务活动</w:t>
      </w:r>
      <w:r>
        <w:rPr>
          <w:color w:val="auto"/>
          <w:highlight w:val="none"/>
        </w:rPr>
        <w:t>方面</w:t>
      </w:r>
      <w:r>
        <w:rPr>
          <w:rFonts w:hint="eastAsia"/>
          <w:color w:val="auto"/>
          <w:highlight w:val="none"/>
        </w:rPr>
        <w:t>形成内控机制</w:t>
      </w:r>
      <w:r>
        <w:rPr>
          <w:color w:val="auto"/>
          <w:highlight w:val="none"/>
        </w:rPr>
        <w:t>，为规范管理工程建设提供制度保障，项目基本建设程序规范，资金使用合规。</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bookmarkStart w:id="269" w:name="_Toc20932"/>
      <w:bookmarkStart w:id="270" w:name="_Toc26298"/>
      <w:bookmarkStart w:id="271" w:name="_Toc14532"/>
      <w:bookmarkStart w:id="272" w:name="_Toc27374"/>
      <w:bookmarkStart w:id="273" w:name="_Toc12598"/>
      <w:bookmarkStart w:id="274" w:name="_Toc14670"/>
      <w:bookmarkStart w:id="275" w:name="_Toc15698"/>
      <w:r>
        <w:rPr>
          <w:b/>
          <w:bCs/>
          <w:color w:val="auto"/>
          <w:sz w:val="24"/>
          <w:szCs w:val="28"/>
          <w:highlight w:val="none"/>
        </w:rPr>
        <w:t>（二）存在的问题</w:t>
      </w:r>
      <w:bookmarkEnd w:id="269"/>
      <w:bookmarkEnd w:id="270"/>
      <w:bookmarkEnd w:id="271"/>
      <w:bookmarkEnd w:id="272"/>
      <w:bookmarkEnd w:id="273"/>
      <w:bookmarkEnd w:id="274"/>
      <w:bookmarkEnd w:id="275"/>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1.预算执行率低，资金使用效率不高</w:t>
      </w:r>
    </w:p>
    <w:p>
      <w:pPr>
        <w:keepNext/>
        <w:keepLines/>
        <w:ind w:firstLine="420"/>
        <w:rPr>
          <w:color w:val="auto"/>
          <w:highlight w:val="none"/>
        </w:rPr>
      </w:pPr>
      <w:r>
        <w:rPr>
          <w:color w:val="auto"/>
          <w:highlight w:val="none"/>
        </w:rPr>
        <w:t>经查阅项目资金文件及支付材料，</w:t>
      </w:r>
      <w:r>
        <w:rPr>
          <w:rFonts w:hint="eastAsia"/>
          <w:color w:val="auto"/>
          <w:highlight w:val="none"/>
        </w:rPr>
        <w:t>项目投资概算总额</w:t>
      </w:r>
      <w:r>
        <w:rPr>
          <w:color w:val="auto"/>
          <w:highlight w:val="none"/>
        </w:rPr>
        <w:t>1</w:t>
      </w:r>
      <w:r>
        <w:rPr>
          <w:rFonts w:hint="eastAsia"/>
          <w:color w:val="auto"/>
          <w:highlight w:val="none"/>
          <w:lang w:eastAsia="zh-CN"/>
        </w:rPr>
        <w:t>，</w:t>
      </w:r>
      <w:r>
        <w:rPr>
          <w:color w:val="auto"/>
          <w:highlight w:val="none"/>
        </w:rPr>
        <w:t>800万元</w:t>
      </w:r>
      <w:r>
        <w:rPr>
          <w:rFonts w:hint="eastAsia"/>
          <w:color w:val="auto"/>
          <w:highlight w:val="none"/>
        </w:rPr>
        <w:t>，项目已签订施工、设计、监理等建设服务</w:t>
      </w:r>
      <w:r>
        <w:rPr>
          <w:color w:val="auto"/>
          <w:highlight w:val="none"/>
        </w:rPr>
        <w:t>合同</w:t>
      </w:r>
      <w:r>
        <w:rPr>
          <w:rFonts w:hint="eastAsia"/>
          <w:color w:val="auto"/>
          <w:highlight w:val="none"/>
          <w:lang w:eastAsia="zh-CN"/>
        </w:rPr>
        <w:t>，</w:t>
      </w:r>
      <w:r>
        <w:rPr>
          <w:rFonts w:hint="eastAsia"/>
          <w:color w:val="auto"/>
          <w:highlight w:val="none"/>
        </w:rPr>
        <w:t>合同价</w:t>
      </w:r>
      <w:r>
        <w:rPr>
          <w:color w:val="auto"/>
          <w:highlight w:val="none"/>
        </w:rPr>
        <w:t>总额为1</w:t>
      </w:r>
      <w:r>
        <w:rPr>
          <w:rFonts w:hint="eastAsia"/>
          <w:color w:val="auto"/>
          <w:highlight w:val="none"/>
          <w:lang w:eastAsia="zh-CN"/>
        </w:rPr>
        <w:t>，</w:t>
      </w:r>
      <w:r>
        <w:rPr>
          <w:color w:val="auto"/>
          <w:highlight w:val="none"/>
        </w:rPr>
        <w:t>567.09万元，</w:t>
      </w:r>
      <w:r>
        <w:rPr>
          <w:rFonts w:hint="eastAsia"/>
          <w:color w:val="auto"/>
          <w:highlight w:val="none"/>
        </w:rPr>
        <w:t>低于投资概算金额232.91万元</w:t>
      </w:r>
      <w:r>
        <w:rPr>
          <w:color w:val="auto"/>
          <w:highlight w:val="none"/>
        </w:rPr>
        <w:t>，</w:t>
      </w:r>
      <w:r>
        <w:rPr>
          <w:rFonts w:hint="eastAsia"/>
          <w:color w:val="auto"/>
          <w:highlight w:val="none"/>
        </w:rPr>
        <w:t>因</w:t>
      </w:r>
      <w:r>
        <w:rPr>
          <w:color w:val="auto"/>
          <w:highlight w:val="none"/>
        </w:rPr>
        <w:t>项目尚未开展工程结算审计及竣工财务决算，</w:t>
      </w:r>
      <w:r>
        <w:rPr>
          <w:rFonts w:hint="eastAsia"/>
          <w:color w:val="auto"/>
          <w:highlight w:val="none"/>
        </w:rPr>
        <w:t>项目实际投资尚不确定。截至</w:t>
      </w:r>
      <w:r>
        <w:rPr>
          <w:color w:val="auto"/>
          <w:highlight w:val="none"/>
        </w:rPr>
        <w:t>2023年12月31日，项目到位资金1</w:t>
      </w:r>
      <w:r>
        <w:rPr>
          <w:rFonts w:hint="eastAsia"/>
          <w:color w:val="auto"/>
          <w:highlight w:val="none"/>
          <w:lang w:eastAsia="zh-CN"/>
        </w:rPr>
        <w:t>，</w:t>
      </w:r>
      <w:r>
        <w:rPr>
          <w:color w:val="auto"/>
          <w:highlight w:val="none"/>
        </w:rPr>
        <w:t>800万元，</w:t>
      </w:r>
      <w:r>
        <w:rPr>
          <w:rFonts w:hint="eastAsia"/>
          <w:color w:val="auto"/>
          <w:highlight w:val="none"/>
        </w:rPr>
        <w:t>项目</w:t>
      </w:r>
      <w:r>
        <w:rPr>
          <w:color w:val="auto"/>
          <w:highlight w:val="none"/>
        </w:rPr>
        <w:t>实际支出资金1</w:t>
      </w:r>
      <w:r>
        <w:rPr>
          <w:rFonts w:hint="eastAsia"/>
          <w:color w:val="auto"/>
          <w:highlight w:val="none"/>
          <w:lang w:eastAsia="zh-CN"/>
        </w:rPr>
        <w:t>，</w:t>
      </w:r>
      <w:r>
        <w:rPr>
          <w:color w:val="auto"/>
          <w:highlight w:val="none"/>
        </w:rPr>
        <w:t>261.99万元，预算执行率70.11%</w:t>
      </w:r>
      <w:r>
        <w:rPr>
          <w:rFonts w:hint="eastAsia"/>
          <w:color w:val="auto"/>
          <w:highlight w:val="none"/>
        </w:rPr>
        <w:t>，其中</w:t>
      </w:r>
      <w:r>
        <w:rPr>
          <w:color w:val="auto"/>
          <w:highlight w:val="none"/>
        </w:rPr>
        <w:t>工程款</w:t>
      </w:r>
      <w:r>
        <w:rPr>
          <w:rFonts w:hint="eastAsia"/>
          <w:color w:val="auto"/>
          <w:highlight w:val="none"/>
        </w:rPr>
        <w:t>因项目未结算审核尚</w:t>
      </w:r>
      <w:r>
        <w:rPr>
          <w:color w:val="auto"/>
          <w:highlight w:val="none"/>
        </w:rPr>
        <w:t>未完成</w:t>
      </w:r>
      <w:r>
        <w:rPr>
          <w:rFonts w:hint="eastAsia"/>
          <w:color w:val="auto"/>
          <w:highlight w:val="none"/>
          <w:lang w:val="en-US" w:eastAsia="zh-CN"/>
        </w:rPr>
        <w:t>全部</w:t>
      </w:r>
      <w:r>
        <w:rPr>
          <w:color w:val="auto"/>
          <w:highlight w:val="none"/>
        </w:rPr>
        <w:t>支付</w:t>
      </w:r>
      <w:r>
        <w:rPr>
          <w:rFonts w:hint="eastAsia"/>
          <w:color w:val="auto"/>
          <w:highlight w:val="none"/>
        </w:rPr>
        <w:t>。项目资金整体</w:t>
      </w:r>
      <w:r>
        <w:rPr>
          <w:color w:val="auto"/>
          <w:highlight w:val="none"/>
        </w:rPr>
        <w:t>预算执行率较低，资金使用效率不高。</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2.项目基本建设制度执行不到位</w:t>
      </w:r>
    </w:p>
    <w:p>
      <w:pPr>
        <w:keepNext/>
        <w:keepLines/>
        <w:ind w:firstLine="420"/>
        <w:rPr>
          <w:color w:val="auto"/>
          <w:highlight w:val="none"/>
        </w:rPr>
      </w:pPr>
      <w:r>
        <w:rPr>
          <w:color w:val="auto"/>
          <w:highlight w:val="none"/>
        </w:rPr>
        <w:t>项目未及时开展工程结算和竣工财务决算审计。根据项目竣工验收报告，该项目于2023年10月12日完成竣工验收，但截至评价日，尚未项按照《关于印发</w:t>
      </w:r>
      <w:r>
        <w:rPr>
          <w:rFonts w:hint="eastAsia"/>
          <w:color w:val="auto"/>
          <w:highlight w:val="none"/>
          <w:lang w:eastAsia="zh-CN"/>
        </w:rPr>
        <w:t>＜</w:t>
      </w:r>
      <w:r>
        <w:rPr>
          <w:color w:val="auto"/>
          <w:highlight w:val="none"/>
        </w:rPr>
        <w:t>基本建设项目竣工财务决算管理暂行办法&gt;的通知》等相关法律法规要求开展工程结算及项目竣工决算审计。</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bookmarkStart w:id="276" w:name="_Toc5149"/>
      <w:bookmarkStart w:id="277" w:name="_Toc23364"/>
      <w:bookmarkStart w:id="278" w:name="_Toc4702"/>
      <w:bookmarkStart w:id="279" w:name="_Toc13586"/>
      <w:bookmarkStart w:id="280" w:name="_Toc24045"/>
      <w:bookmarkStart w:id="281" w:name="_Toc28592"/>
      <w:bookmarkStart w:id="282" w:name="_Toc32390"/>
      <w:r>
        <w:rPr>
          <w:b/>
          <w:bCs/>
          <w:color w:val="auto"/>
          <w:sz w:val="24"/>
          <w:szCs w:val="28"/>
          <w:highlight w:val="none"/>
        </w:rPr>
        <w:t>七、有关建议</w:t>
      </w:r>
      <w:bookmarkEnd w:id="276"/>
      <w:bookmarkEnd w:id="277"/>
      <w:bookmarkEnd w:id="278"/>
      <w:bookmarkEnd w:id="279"/>
      <w:bookmarkEnd w:id="280"/>
      <w:bookmarkEnd w:id="281"/>
      <w:bookmarkEnd w:id="282"/>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1.压实预算执行主体责任，提高资金使用效率</w:t>
      </w:r>
    </w:p>
    <w:p>
      <w:pPr>
        <w:keepNext/>
        <w:keepLines/>
        <w:ind w:firstLine="420"/>
        <w:rPr>
          <w:b w:val="0"/>
          <w:bCs w:val="0"/>
          <w:color w:val="auto"/>
          <w:highlight w:val="none"/>
        </w:rPr>
      </w:pPr>
      <w:r>
        <w:rPr>
          <w:rFonts w:hint="eastAsia"/>
          <w:color w:val="auto"/>
          <w:highlight w:val="none"/>
        </w:rPr>
        <w:t>建议财政部门及预算单位按照相关规定确定的预算管理职权，压实预算执行主体责任，尽快组织开展项目工程结算，加快项目资金执行进度；若项目专项资金存在结转结余，按照</w:t>
      </w:r>
    </w:p>
    <w:p>
      <w:pPr>
        <w:keepNext/>
        <w:keepLines/>
        <w:ind w:firstLine="0" w:firstLineChars="0"/>
        <w:rPr>
          <w:color w:val="auto"/>
          <w:highlight w:val="none"/>
        </w:rPr>
      </w:pPr>
      <w:r>
        <w:rPr>
          <w:color w:val="auto"/>
          <w:highlight w:val="none"/>
        </w:rPr>
        <w:t>《城乡义务教育补助经费管理办法》有关资金管理规定统筹安排管理并确保切实用在落实城乡义务教育经费保障机制方面，提高资金使用效率。</w:t>
      </w:r>
    </w:p>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r>
        <w:rPr>
          <w:b/>
          <w:bCs/>
          <w:color w:val="auto"/>
          <w:sz w:val="24"/>
          <w:szCs w:val="28"/>
          <w:highlight w:val="none"/>
        </w:rPr>
        <w:t>2.规范项目建设程序，贯彻执行项目管理机制</w:t>
      </w:r>
    </w:p>
    <w:p>
      <w:pPr>
        <w:keepNext/>
        <w:keepLines/>
        <w:ind w:firstLine="420"/>
        <w:rPr>
          <w:color w:val="auto"/>
          <w:highlight w:val="none"/>
        </w:rPr>
      </w:pPr>
      <w:r>
        <w:rPr>
          <w:color w:val="auto"/>
          <w:highlight w:val="none"/>
        </w:rPr>
        <w:t>建议项目实施单位加强项目合规性审查，规范工程建设项目审批程序，加强对基本建设程序的常规性监督检查力度，确保项目合规建设</w:t>
      </w:r>
      <w:r>
        <w:rPr>
          <w:rFonts w:hint="eastAsia"/>
          <w:color w:val="auto"/>
          <w:highlight w:val="none"/>
        </w:rPr>
        <w:t>；加强</w:t>
      </w:r>
      <w:r>
        <w:rPr>
          <w:color w:val="auto"/>
          <w:highlight w:val="none"/>
        </w:rPr>
        <w:t>对项目相关方文件资料的审核、签发、整理、归档工作</w:t>
      </w:r>
      <w:r>
        <w:rPr>
          <w:rFonts w:hint="eastAsia"/>
          <w:color w:val="auto"/>
          <w:highlight w:val="none"/>
        </w:rPr>
        <w:t>管理</w:t>
      </w:r>
      <w:r>
        <w:rPr>
          <w:color w:val="auto"/>
          <w:highlight w:val="none"/>
        </w:rPr>
        <w:t>，保证项目资料的要素完整性、归档及时性。</w:t>
      </w:r>
    </w:p>
    <w:p>
      <w:pPr>
        <w:keepNext/>
        <w:keepLines/>
        <w:ind w:firstLine="420"/>
        <w:rPr>
          <w:color w:val="auto"/>
          <w:highlight w:val="none"/>
        </w:rPr>
      </w:pPr>
      <w:r>
        <w:rPr>
          <w:color w:val="auto"/>
          <w:highlight w:val="none"/>
        </w:rPr>
        <w:t>建议项目实施单位加强项目计划管理，结合工程项目的特点，充分考虑项目实施条件及各方面条件，确定施工阶段进度控制的原则，充分注重与项目施工、监理等单位的沟通，制</w:t>
      </w:r>
    </w:p>
    <w:p>
      <w:pPr>
        <w:keepNext/>
        <w:keepLines/>
        <w:ind w:firstLine="0" w:firstLineChars="0"/>
        <w:rPr>
          <w:color w:val="auto"/>
          <w:highlight w:val="none"/>
        </w:rPr>
      </w:pPr>
      <w:r>
        <w:rPr>
          <w:color w:val="auto"/>
          <w:highlight w:val="none"/>
        </w:rPr>
        <w:t>定并执行合理实用的进度计划，保证项目按期开展；按照《关于印发</w:t>
      </w:r>
      <w:r>
        <w:rPr>
          <w:rFonts w:hint="eastAsia"/>
          <w:color w:val="auto"/>
          <w:highlight w:val="none"/>
          <w:lang w:eastAsia="zh-CN"/>
        </w:rPr>
        <w:t>＜</w:t>
      </w:r>
      <w:r>
        <w:rPr>
          <w:color w:val="auto"/>
          <w:highlight w:val="none"/>
        </w:rPr>
        <w:t>基本建设项目竣工财务决算管理暂行办法&gt;的通知》（财建〔2016〕503号）等规范要求，及时组织开展项目的工程结算及竣工决算审计工作，保障建设工程质量，促进工程及时发挥效益</w:t>
      </w:r>
      <w:bookmarkEnd w:id="262"/>
      <w:bookmarkEnd w:id="263"/>
      <w:bookmarkEnd w:id="264"/>
      <w:bookmarkEnd w:id="265"/>
      <w:r>
        <w:rPr>
          <w:color w:val="auto"/>
          <w:highlight w:val="none"/>
        </w:rPr>
        <w:t>。</w:t>
      </w:r>
    </w:p>
    <w:bookmarkEnd w:id="266"/>
    <w:bookmarkEnd w:id="267"/>
    <w:bookmarkEnd w:id="268"/>
    <w:p>
      <w:pPr>
        <w:keepNext/>
        <w:keepLines/>
        <w:pageBreakBefore w:val="0"/>
        <w:widowControl w:val="0"/>
        <w:kinsoku/>
        <w:wordWrap/>
        <w:overflowPunct/>
        <w:topLinePunct w:val="0"/>
        <w:autoSpaceDE/>
        <w:autoSpaceDN/>
        <w:bidi w:val="0"/>
        <w:spacing w:line="360" w:lineRule="exact"/>
        <w:ind w:firstLine="482"/>
        <w:textAlignment w:val="auto"/>
        <w:rPr>
          <w:b/>
          <w:bCs/>
          <w:color w:val="auto"/>
          <w:sz w:val="24"/>
          <w:szCs w:val="28"/>
          <w:highlight w:val="none"/>
        </w:rPr>
      </w:pPr>
      <w:bookmarkStart w:id="283" w:name="_Toc11853"/>
      <w:bookmarkStart w:id="284" w:name="_Toc9267"/>
      <w:bookmarkStart w:id="285" w:name="_Toc29422"/>
      <w:bookmarkStart w:id="286" w:name="_Toc18227"/>
      <w:bookmarkStart w:id="287" w:name="_Toc27317"/>
      <w:bookmarkStart w:id="288" w:name="_Toc23813"/>
      <w:bookmarkStart w:id="289" w:name="_Toc32445"/>
      <w:bookmarkStart w:id="290" w:name="_Toc21654"/>
      <w:bookmarkStart w:id="291" w:name="_Toc24004"/>
      <w:r>
        <w:rPr>
          <w:b/>
          <w:bCs/>
          <w:color w:val="auto"/>
          <w:sz w:val="24"/>
          <w:szCs w:val="28"/>
          <w:highlight w:val="none"/>
        </w:rPr>
        <w:t>八、其他需要说明的问题</w:t>
      </w:r>
      <w:bookmarkEnd w:id="283"/>
      <w:bookmarkEnd w:id="284"/>
      <w:bookmarkEnd w:id="285"/>
      <w:bookmarkEnd w:id="286"/>
      <w:bookmarkEnd w:id="287"/>
      <w:bookmarkEnd w:id="288"/>
      <w:bookmarkEnd w:id="289"/>
      <w:bookmarkEnd w:id="290"/>
      <w:bookmarkEnd w:id="291"/>
    </w:p>
    <w:p>
      <w:pPr>
        <w:keepNext/>
        <w:keepLines/>
        <w:ind w:firstLine="420"/>
        <w:rPr>
          <w:color w:val="auto"/>
          <w:highlight w:val="none"/>
        </w:rPr>
      </w:pPr>
      <w:r>
        <w:rPr>
          <w:color w:val="auto"/>
          <w:highlight w:val="none"/>
        </w:rPr>
        <w:t>该项目的绩效评价结论可靠性基于相关部门和项目单位提供项目资料的全面性、真实性和准确性，绩效评价组尽可能地收集更为全面、有效、准确的文件和数据，但由于受客观因素的限制，只能在相关部门和单位提供的现有资料的基础上核实、分析，作出绩效评价结论。绩效评价人员在评价过程中遵循独立、客观、公正原则，恪守职业道德规范，尽可能地确保数据与结论的真实性与可靠性。</w:t>
      </w:r>
    </w:p>
    <w:p>
      <w:pPr>
        <w:keepNext/>
        <w:keepLines/>
        <w:pageBreakBefore w:val="0"/>
        <w:widowControl w:val="0"/>
        <w:kinsoku/>
        <w:wordWrap/>
        <w:overflowPunct/>
        <w:topLinePunct w:val="0"/>
        <w:autoSpaceDE/>
        <w:autoSpaceDN/>
        <w:bidi w:val="0"/>
        <w:spacing w:line="360" w:lineRule="exact"/>
        <w:ind w:firstLine="482"/>
        <w:textAlignment w:val="auto"/>
        <w:rPr>
          <w:rFonts w:hint="default"/>
          <w:b/>
          <w:bCs/>
          <w:color w:val="auto"/>
          <w:sz w:val="24"/>
          <w:szCs w:val="28"/>
          <w:highlight w:val="none"/>
        </w:rPr>
      </w:pPr>
      <w:bookmarkStart w:id="292" w:name="_Toc30969"/>
      <w:bookmarkStart w:id="293" w:name="_Toc9248"/>
      <w:bookmarkStart w:id="294" w:name="_Toc1737"/>
      <w:bookmarkStart w:id="295" w:name="_Toc21982"/>
      <w:bookmarkStart w:id="296" w:name="_Toc27632"/>
      <w:bookmarkStart w:id="297" w:name="_Toc18656"/>
      <w:r>
        <w:rPr>
          <w:rFonts w:hint="eastAsia"/>
          <w:b/>
          <w:bCs/>
          <w:color w:val="auto"/>
          <w:sz w:val="24"/>
          <w:szCs w:val="28"/>
          <w:highlight w:val="none"/>
        </w:rPr>
        <w:t>九、绩效评价结果应用建议</w:t>
      </w:r>
      <w:bookmarkEnd w:id="292"/>
      <w:bookmarkEnd w:id="293"/>
      <w:bookmarkEnd w:id="294"/>
      <w:bookmarkEnd w:id="295"/>
      <w:bookmarkEnd w:id="296"/>
      <w:bookmarkEnd w:id="297"/>
    </w:p>
    <w:p>
      <w:pPr>
        <w:keepNext/>
        <w:keepLines/>
        <w:pageBreakBefore w:val="0"/>
        <w:widowControl w:val="0"/>
        <w:kinsoku/>
        <w:wordWrap/>
        <w:overflowPunct/>
        <w:topLinePunct w:val="0"/>
        <w:autoSpaceDE/>
        <w:autoSpaceDN/>
        <w:bidi w:val="0"/>
        <w:spacing w:line="360" w:lineRule="exact"/>
        <w:ind w:firstLine="482"/>
        <w:textAlignment w:val="auto"/>
        <w:rPr>
          <w:rFonts w:hint="default"/>
          <w:b/>
          <w:bCs/>
          <w:color w:val="auto"/>
          <w:sz w:val="24"/>
          <w:szCs w:val="28"/>
          <w:highlight w:val="none"/>
        </w:rPr>
      </w:pPr>
      <w:bookmarkStart w:id="298" w:name="_Toc10750"/>
      <w:bookmarkStart w:id="299" w:name="_Toc29512"/>
      <w:bookmarkStart w:id="300" w:name="_Toc7767"/>
      <w:bookmarkStart w:id="301" w:name="_Toc601"/>
      <w:bookmarkStart w:id="302" w:name="_Toc28317"/>
      <w:bookmarkStart w:id="303" w:name="_Toc24397"/>
      <w:bookmarkStart w:id="304" w:name="_Toc13336"/>
      <w:bookmarkStart w:id="305" w:name="_Toc18100"/>
      <w:bookmarkStart w:id="306" w:name="_Toc5743"/>
      <w:bookmarkStart w:id="307" w:name="_Toc11775"/>
      <w:bookmarkStart w:id="308" w:name="_Toc330"/>
      <w:r>
        <w:rPr>
          <w:rFonts w:hint="default"/>
          <w:b/>
          <w:bCs/>
          <w:color w:val="auto"/>
          <w:sz w:val="24"/>
          <w:szCs w:val="28"/>
          <w:highlight w:val="none"/>
        </w:rPr>
        <w:t>（一）绩效结果挂钩次年预算资金安排</w:t>
      </w:r>
      <w:bookmarkEnd w:id="298"/>
      <w:bookmarkEnd w:id="299"/>
      <w:bookmarkEnd w:id="300"/>
      <w:bookmarkEnd w:id="301"/>
      <w:bookmarkEnd w:id="302"/>
      <w:bookmarkEnd w:id="303"/>
      <w:bookmarkEnd w:id="304"/>
      <w:bookmarkEnd w:id="305"/>
      <w:bookmarkEnd w:id="306"/>
    </w:p>
    <w:p>
      <w:pPr>
        <w:keepNext/>
        <w:keepLines/>
        <w:adjustRightInd w:val="0"/>
        <w:snapToGrid w:val="0"/>
        <w:spacing w:beforeLines="0" w:afterLines="0"/>
        <w:ind w:firstLine="420"/>
        <w:rPr>
          <w:rFonts w:hint="default" w:ascii="Times New Roman" w:hAnsi="Times New Roman"/>
          <w:color w:val="auto"/>
          <w:sz w:val="21"/>
          <w:szCs w:val="24"/>
          <w:highlight w:val="none"/>
        </w:rPr>
      </w:pPr>
      <w:r>
        <w:rPr>
          <w:rFonts w:hint="eastAsia" w:ascii="Times New Roman" w:hAnsi="Times New Roman"/>
          <w:color w:val="auto"/>
          <w:sz w:val="21"/>
          <w:szCs w:val="24"/>
          <w:highlight w:val="none"/>
        </w:rPr>
        <w:t>为有效提高财政预算资金的经济性、效率性、效益性和公平性，建议将本次绩效评价结果作为预算单位次年预算编制的重要依据，并优化支出结构、完善相关办法、改进预算管理。对绩效评价结果为“优”和“良”的项目，建议根据政策制度，结合</w:t>
      </w:r>
      <w:r>
        <w:rPr>
          <w:rFonts w:hint="eastAsia"/>
          <w:color w:val="auto"/>
          <w:sz w:val="21"/>
          <w:szCs w:val="24"/>
          <w:highlight w:val="none"/>
          <w:lang w:val="en-US" w:eastAsia="zh-CN"/>
        </w:rPr>
        <w:t>巴楚县</w:t>
      </w:r>
      <w:r>
        <w:rPr>
          <w:rFonts w:hint="eastAsia" w:ascii="Times New Roman" w:hAnsi="Times New Roman"/>
          <w:color w:val="auto"/>
          <w:sz w:val="21"/>
          <w:szCs w:val="24"/>
          <w:highlight w:val="none"/>
        </w:rPr>
        <w:t>委、</w:t>
      </w:r>
      <w:r>
        <w:rPr>
          <w:rFonts w:hint="eastAsia"/>
          <w:color w:val="auto"/>
          <w:sz w:val="21"/>
          <w:szCs w:val="24"/>
          <w:highlight w:val="none"/>
          <w:lang w:val="en-US" w:eastAsia="zh-CN"/>
        </w:rPr>
        <w:t>巴楚县</w:t>
      </w:r>
      <w:r>
        <w:rPr>
          <w:rFonts w:hint="eastAsia" w:ascii="Times New Roman" w:hAnsi="Times New Roman"/>
          <w:color w:val="auto"/>
          <w:sz w:val="21"/>
          <w:szCs w:val="24"/>
          <w:highlight w:val="none"/>
        </w:rPr>
        <w:t>人民政府工作安排以及本级财力情况等因素，原则上优先予以保障。</w:t>
      </w:r>
    </w:p>
    <w:p>
      <w:pPr>
        <w:keepNext/>
        <w:keepLines/>
        <w:pageBreakBefore w:val="0"/>
        <w:widowControl w:val="0"/>
        <w:kinsoku/>
        <w:wordWrap/>
        <w:overflowPunct/>
        <w:topLinePunct w:val="0"/>
        <w:autoSpaceDE/>
        <w:autoSpaceDN/>
        <w:bidi w:val="0"/>
        <w:spacing w:line="360" w:lineRule="exact"/>
        <w:ind w:firstLine="482"/>
        <w:textAlignment w:val="auto"/>
        <w:rPr>
          <w:rFonts w:hint="default"/>
          <w:b/>
          <w:bCs/>
          <w:color w:val="auto"/>
          <w:sz w:val="24"/>
          <w:szCs w:val="28"/>
          <w:highlight w:val="none"/>
        </w:rPr>
      </w:pPr>
      <w:bookmarkStart w:id="309" w:name="_Toc26104"/>
      <w:bookmarkStart w:id="310" w:name="_Toc5163"/>
      <w:bookmarkStart w:id="311" w:name="_Toc24137"/>
      <w:bookmarkStart w:id="312" w:name="_Toc32515"/>
      <w:bookmarkStart w:id="313" w:name="_Toc2799"/>
      <w:bookmarkStart w:id="314" w:name="_Toc4137"/>
      <w:bookmarkStart w:id="315" w:name="_Toc26610"/>
      <w:bookmarkStart w:id="316" w:name="_Toc20304"/>
      <w:bookmarkStart w:id="317" w:name="_Toc15865"/>
      <w:r>
        <w:rPr>
          <w:rFonts w:hint="default"/>
          <w:b/>
          <w:bCs/>
          <w:color w:val="auto"/>
          <w:sz w:val="24"/>
          <w:szCs w:val="28"/>
          <w:highlight w:val="none"/>
        </w:rPr>
        <w:t>（二）绩效结果挂钩整改措施</w:t>
      </w:r>
      <w:bookmarkEnd w:id="307"/>
      <w:bookmarkEnd w:id="308"/>
      <w:bookmarkEnd w:id="309"/>
      <w:bookmarkEnd w:id="310"/>
      <w:bookmarkEnd w:id="311"/>
      <w:bookmarkEnd w:id="312"/>
      <w:bookmarkEnd w:id="313"/>
      <w:bookmarkEnd w:id="314"/>
      <w:bookmarkEnd w:id="315"/>
      <w:bookmarkEnd w:id="316"/>
      <w:bookmarkEnd w:id="317"/>
    </w:p>
    <w:p>
      <w:pPr>
        <w:keepNext/>
        <w:keepLines/>
        <w:adjustRightInd w:val="0"/>
        <w:snapToGrid w:val="0"/>
        <w:spacing w:beforeLines="0" w:afterLines="0"/>
        <w:ind w:firstLine="420"/>
        <w:rPr>
          <w:rFonts w:hint="default" w:ascii="Times New Roman" w:hAnsi="Times New Roman"/>
          <w:color w:val="auto"/>
          <w:sz w:val="21"/>
          <w:szCs w:val="24"/>
          <w:highlight w:val="none"/>
        </w:rPr>
      </w:pPr>
      <w:r>
        <w:rPr>
          <w:rFonts w:hint="eastAsia" w:ascii="Times New Roman" w:hAnsi="Times New Roman"/>
          <w:color w:val="auto"/>
          <w:sz w:val="21"/>
          <w:szCs w:val="24"/>
          <w:highlight w:val="none"/>
        </w:rPr>
        <w:t>根据本次绩效评价报告中所反馈的问题和建议，由项目实施单位及时研究制定整改措施，积极落实整改要求，切实改进资金管理和项目管理，并在规定的时间内，将整改情况向</w:t>
      </w:r>
      <w:r>
        <w:rPr>
          <w:rFonts w:hint="eastAsia"/>
          <w:color w:val="auto"/>
          <w:sz w:val="21"/>
          <w:szCs w:val="24"/>
          <w:highlight w:val="none"/>
          <w:lang w:val="en-US" w:eastAsia="zh-CN"/>
        </w:rPr>
        <w:t>巴楚县</w:t>
      </w:r>
      <w:r>
        <w:rPr>
          <w:rFonts w:hint="eastAsia" w:ascii="Times New Roman" w:hAnsi="Times New Roman"/>
          <w:color w:val="auto"/>
          <w:sz w:val="21"/>
          <w:szCs w:val="24"/>
          <w:highlight w:val="none"/>
        </w:rPr>
        <w:t>财政局行文报告，并附《绩效评价结果整改报告》。</w:t>
      </w:r>
    </w:p>
    <w:p>
      <w:pPr>
        <w:keepNext/>
        <w:keepLines/>
        <w:pageBreakBefore w:val="0"/>
        <w:widowControl w:val="0"/>
        <w:kinsoku/>
        <w:wordWrap/>
        <w:overflowPunct/>
        <w:topLinePunct w:val="0"/>
        <w:autoSpaceDE/>
        <w:autoSpaceDN/>
        <w:bidi w:val="0"/>
        <w:spacing w:line="360" w:lineRule="exact"/>
        <w:ind w:firstLine="482"/>
        <w:textAlignment w:val="auto"/>
        <w:rPr>
          <w:rFonts w:hint="default"/>
          <w:b/>
          <w:bCs/>
          <w:color w:val="auto"/>
          <w:sz w:val="24"/>
          <w:szCs w:val="28"/>
          <w:highlight w:val="none"/>
        </w:rPr>
      </w:pPr>
      <w:bookmarkStart w:id="318" w:name="_Toc25946"/>
      <w:bookmarkStart w:id="319" w:name="_Toc30884"/>
      <w:bookmarkStart w:id="320" w:name="_Toc1536"/>
      <w:bookmarkStart w:id="321" w:name="_Toc1799"/>
      <w:bookmarkStart w:id="322" w:name="_Toc22561"/>
      <w:bookmarkStart w:id="323" w:name="_Toc5593"/>
      <w:bookmarkStart w:id="324" w:name="_Toc801"/>
      <w:bookmarkStart w:id="325" w:name="_Toc20009"/>
      <w:bookmarkStart w:id="326" w:name="_Toc15775"/>
      <w:bookmarkStart w:id="327" w:name="_Toc31609"/>
      <w:bookmarkStart w:id="328" w:name="_Toc29363"/>
      <w:r>
        <w:rPr>
          <w:rFonts w:hint="default"/>
          <w:b/>
          <w:bCs/>
          <w:color w:val="auto"/>
          <w:sz w:val="24"/>
          <w:szCs w:val="28"/>
          <w:highlight w:val="none"/>
        </w:rPr>
        <w:t>（三）绩效结果挂钩报告公开</w:t>
      </w:r>
      <w:bookmarkEnd w:id="318"/>
      <w:bookmarkEnd w:id="319"/>
      <w:bookmarkEnd w:id="320"/>
      <w:bookmarkEnd w:id="321"/>
      <w:bookmarkEnd w:id="322"/>
      <w:bookmarkEnd w:id="323"/>
      <w:bookmarkEnd w:id="324"/>
      <w:bookmarkEnd w:id="325"/>
      <w:bookmarkEnd w:id="326"/>
      <w:bookmarkEnd w:id="327"/>
      <w:bookmarkEnd w:id="328"/>
    </w:p>
    <w:p>
      <w:pPr>
        <w:keepNext/>
        <w:keepLines/>
        <w:spacing w:beforeLines="0" w:afterLines="0"/>
        <w:ind w:firstLine="420"/>
        <w:rPr>
          <w:rFonts w:hint="eastAsia" w:ascii="Times New Roman" w:hAnsi="Times New Roman"/>
          <w:color w:val="auto"/>
          <w:sz w:val="21"/>
          <w:szCs w:val="24"/>
          <w:highlight w:val="none"/>
        </w:rPr>
      </w:pPr>
      <w:r>
        <w:rPr>
          <w:rFonts w:hint="eastAsia"/>
          <w:color w:val="auto"/>
          <w:szCs w:val="24"/>
          <w:highlight w:val="none"/>
        </w:rPr>
        <w:t>积极推进评价结果和评价报告等绩效信息的公开。按照政府信息公开有关规定，由</w:t>
      </w:r>
      <w:r>
        <w:rPr>
          <w:rFonts w:hint="eastAsia"/>
          <w:color w:val="auto"/>
          <w:sz w:val="21"/>
          <w:szCs w:val="24"/>
          <w:highlight w:val="none"/>
          <w:lang w:val="en-US" w:eastAsia="zh-CN"/>
        </w:rPr>
        <w:t>巴楚县</w:t>
      </w:r>
      <w:r>
        <w:rPr>
          <w:rFonts w:hint="eastAsia"/>
          <w:color w:val="auto"/>
          <w:szCs w:val="24"/>
          <w:highlight w:val="none"/>
        </w:rPr>
        <w:t>财政局将本次绩效评价的结果信息进行公开，加强社会和舆论监督，提高财政资金使用</w:t>
      </w:r>
      <w:r>
        <w:rPr>
          <w:rFonts w:hint="eastAsia" w:ascii="Times New Roman" w:hAnsi="Times New Roman"/>
          <w:color w:val="auto"/>
          <w:sz w:val="21"/>
          <w:szCs w:val="24"/>
          <w:highlight w:val="none"/>
        </w:rPr>
        <w:t>透明度。</w:t>
      </w:r>
    </w:p>
    <w:p>
      <w:pPr>
        <w:keepNext/>
        <w:keepLines/>
        <w:ind w:firstLine="420"/>
        <w:rPr>
          <w:color w:val="auto"/>
          <w:highlight w:val="none"/>
        </w:rPr>
      </w:pPr>
    </w:p>
    <w:p>
      <w:pPr>
        <w:keepNext/>
        <w:keepLines/>
        <w:ind w:firstLine="420"/>
        <w:rPr>
          <w:rFonts w:hint="eastAsia" w:eastAsiaTheme="minorEastAsia"/>
          <w:color w:val="auto"/>
          <w:highlight w:val="none"/>
          <w:lang w:eastAsia="zh-CN"/>
        </w:rPr>
      </w:pPr>
    </w:p>
    <w:p>
      <w:pPr>
        <w:keepNext/>
        <w:keepLines/>
        <w:ind w:firstLine="420"/>
        <w:rPr>
          <w:rFonts w:hint="eastAsia" w:eastAsiaTheme="minorEastAsia"/>
          <w:color w:val="auto"/>
          <w:highlight w:val="none"/>
          <w:lang w:eastAsia="zh-CN"/>
        </w:rPr>
      </w:pPr>
    </w:p>
    <w:p>
      <w:pPr>
        <w:keepNext/>
        <w:keepLines/>
        <w:ind w:firstLine="420"/>
        <w:rPr>
          <w:color w:val="auto"/>
          <w:highlight w:val="none"/>
        </w:rPr>
      </w:pPr>
    </w:p>
    <w:tbl>
      <w:tblPr>
        <w:tblStyle w:val="2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24"/>
        <w:gridCol w:w="4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724" w:type="dxa"/>
            <w:tcBorders>
              <w:top w:val="nil"/>
              <w:left w:val="nil"/>
              <w:bottom w:val="nil"/>
              <w:right w:val="nil"/>
            </w:tcBorders>
          </w:tcPr>
          <w:p>
            <w:pPr>
              <w:keepNext/>
              <w:keepLines/>
              <w:ind w:firstLine="420"/>
              <w:rPr>
                <w:rFonts w:ascii="Times New Roman" w:hAnsi="Times New Roman" w:cs="Times New Roman"/>
                <w:color w:val="auto"/>
                <w:highlight w:val="none"/>
              </w:rPr>
            </w:pPr>
          </w:p>
        </w:tc>
        <w:tc>
          <w:tcPr>
            <w:tcW w:w="4798" w:type="dxa"/>
            <w:tcBorders>
              <w:top w:val="nil"/>
              <w:left w:val="nil"/>
              <w:bottom w:val="nil"/>
              <w:right w:val="nil"/>
            </w:tcBorders>
            <w:vAlign w:val="center"/>
          </w:tcPr>
          <w:p>
            <w:pPr>
              <w:keepNext/>
              <w:keepLines/>
              <w:spacing w:line="240" w:lineRule="auto"/>
              <w:ind w:firstLine="0" w:firstLineChars="0"/>
              <w:rPr>
                <w:rFonts w:hint="default" w:ascii="Times New Roman" w:hAnsi="Times New Roman" w:eastAsia="黑体" w:cs="Times New Roman"/>
                <w:b w:val="0"/>
                <w:bCs w:val="0"/>
                <w:color w:val="auto"/>
                <w:highlight w:val="none"/>
              </w:rPr>
            </w:pPr>
            <w:r>
              <w:rPr>
                <w:rFonts w:hint="default" w:ascii="Times New Roman" w:hAnsi="Times New Roman" w:eastAsia="黑体" w:cs="Times New Roman"/>
                <w:b w:val="0"/>
                <w:bCs w:val="0"/>
                <w:color w:val="auto"/>
                <w:highlight w:val="none"/>
              </w:rPr>
              <w:t>评价机构：新疆驰远天合有限责任会计师事务所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724" w:type="dxa"/>
            <w:tcBorders>
              <w:top w:val="nil"/>
              <w:left w:val="nil"/>
              <w:bottom w:val="nil"/>
              <w:right w:val="nil"/>
            </w:tcBorders>
          </w:tcPr>
          <w:p>
            <w:pPr>
              <w:keepNext/>
              <w:keepLines/>
              <w:ind w:firstLine="420"/>
              <w:rPr>
                <w:rFonts w:ascii="Times New Roman" w:hAnsi="Times New Roman" w:cs="Times New Roman"/>
                <w:color w:val="auto"/>
                <w:highlight w:val="none"/>
              </w:rPr>
            </w:pPr>
          </w:p>
        </w:tc>
        <w:tc>
          <w:tcPr>
            <w:tcW w:w="4798" w:type="dxa"/>
            <w:tcBorders>
              <w:top w:val="nil"/>
              <w:left w:val="nil"/>
              <w:bottom w:val="nil"/>
              <w:right w:val="nil"/>
            </w:tcBorders>
            <w:vAlign w:val="center"/>
          </w:tcPr>
          <w:p>
            <w:pPr>
              <w:keepNext/>
              <w:keepLines/>
              <w:spacing w:line="240" w:lineRule="auto"/>
              <w:ind w:firstLine="0" w:firstLineChars="0"/>
              <w:rPr>
                <w:rFonts w:hint="default" w:ascii="Times New Roman" w:hAnsi="Times New Roman" w:eastAsia="黑体" w:cs="Times New Roman"/>
                <w:b w:val="0"/>
                <w:bCs w:val="0"/>
                <w:color w:val="auto"/>
                <w:highlight w:val="none"/>
              </w:rPr>
            </w:pPr>
            <w:r>
              <w:rPr>
                <w:rFonts w:hint="default" w:ascii="Times New Roman" w:hAnsi="Times New Roman" w:eastAsia="黑体" w:cs="Times New Roman"/>
                <w:b w:val="0"/>
                <w:bCs w:val="0"/>
                <w:color w:val="auto"/>
                <w:highlight w:val="none"/>
              </w:rPr>
              <w:t>评价时间：2024年7月</w:t>
            </w:r>
          </w:p>
        </w:tc>
      </w:tr>
    </w:tbl>
    <w:p>
      <w:pPr>
        <w:keepNext/>
        <w:keepLines/>
        <w:ind w:firstLine="3150" w:firstLineChars="1500"/>
        <w:rPr>
          <w:color w:val="auto"/>
          <w:highlight w:val="none"/>
        </w:rPr>
        <w:sectPr>
          <w:headerReference r:id="rId11" w:type="default"/>
          <w:footerReference r:id="rId12" w:type="default"/>
          <w:pgSz w:w="11906" w:h="16838"/>
          <w:pgMar w:top="1440" w:right="1800" w:bottom="1440" w:left="1800" w:header="851" w:footer="907" w:gutter="0"/>
          <w:pgBorders>
            <w:top w:val="none" w:sz="0" w:space="0"/>
            <w:left w:val="none" w:sz="0" w:space="0"/>
            <w:bottom w:val="none" w:sz="0" w:space="0"/>
            <w:right w:val="none" w:sz="0" w:space="0"/>
          </w:pgBorders>
          <w:pgNumType w:start="1"/>
          <w:cols w:space="425" w:num="1"/>
          <w:docGrid w:type="lines" w:linePitch="312" w:charSpace="0"/>
        </w:sectPr>
      </w:pPr>
    </w:p>
    <w:p>
      <w:pPr>
        <w:pStyle w:val="2"/>
        <w:ind w:firstLine="0" w:firstLineChars="0"/>
        <w:rPr>
          <w:color w:val="auto"/>
          <w:highlight w:val="none"/>
        </w:rPr>
      </w:pPr>
      <w:bookmarkStart w:id="329" w:name="_Toc22547"/>
      <w:bookmarkStart w:id="330" w:name="_Toc29895"/>
      <w:bookmarkStart w:id="331" w:name="_Toc4812"/>
      <w:bookmarkStart w:id="332" w:name="_Toc16591"/>
      <w:bookmarkStart w:id="333" w:name="_Toc26420"/>
      <w:bookmarkStart w:id="334" w:name="_Toc20039"/>
      <w:bookmarkStart w:id="335" w:name="_Toc22121"/>
      <w:bookmarkStart w:id="336" w:name="_Toc29991"/>
      <w:r>
        <w:rPr>
          <w:color w:val="auto"/>
          <w:highlight w:val="none"/>
        </w:rPr>
        <w:t>附件1：</w:t>
      </w:r>
      <w:bookmarkEnd w:id="329"/>
      <w:bookmarkEnd w:id="330"/>
      <w:bookmarkEnd w:id="331"/>
      <w:bookmarkEnd w:id="332"/>
      <w:bookmarkEnd w:id="333"/>
      <w:bookmarkEnd w:id="334"/>
      <w:bookmarkEnd w:id="335"/>
      <w:bookmarkEnd w:id="336"/>
    </w:p>
    <w:p>
      <w:pPr>
        <w:keepNext/>
        <w:keepLines/>
        <w:ind w:firstLine="422"/>
        <w:jc w:val="center"/>
        <w:rPr>
          <w:rFonts w:ascii="宋体" w:hAnsi="宋体" w:eastAsia="宋体" w:cs="宋体"/>
          <w:b/>
          <w:bCs/>
          <w:color w:val="auto"/>
          <w:highlight w:val="none"/>
        </w:rPr>
      </w:pPr>
      <w:r>
        <w:rPr>
          <w:rFonts w:hint="eastAsia" w:ascii="宋体" w:hAnsi="宋体" w:eastAsia="宋体" w:cs="宋体"/>
          <w:b/>
          <w:bCs/>
          <w:color w:val="auto"/>
          <w:highlight w:val="none"/>
        </w:rPr>
        <w:t>喀什地区巴楚县2023年城乡义务教育农村校舍安全保障长效机制项目（第一批）绩效评价指标体系及综合评分表</w:t>
      </w:r>
    </w:p>
    <w:tbl>
      <w:tblPr>
        <w:tblStyle w:val="19"/>
        <w:tblW w:w="14052" w:type="dxa"/>
        <w:tblInd w:w="0" w:type="dxa"/>
        <w:tblLayout w:type="fixed"/>
        <w:tblCellMar>
          <w:top w:w="0" w:type="dxa"/>
          <w:left w:w="51" w:type="dxa"/>
          <w:bottom w:w="0" w:type="dxa"/>
          <w:right w:w="51" w:type="dxa"/>
        </w:tblCellMar>
      </w:tblPr>
      <w:tblGrid>
        <w:gridCol w:w="644"/>
        <w:gridCol w:w="745"/>
        <w:gridCol w:w="998"/>
        <w:gridCol w:w="1473"/>
        <w:gridCol w:w="2710"/>
        <w:gridCol w:w="3734"/>
        <w:gridCol w:w="624"/>
        <w:gridCol w:w="914"/>
        <w:gridCol w:w="765"/>
        <w:gridCol w:w="672"/>
        <w:gridCol w:w="773"/>
      </w:tblGrid>
      <w:tr>
        <w:tblPrEx>
          <w:tblCellMar>
            <w:top w:w="0" w:type="dxa"/>
            <w:left w:w="51" w:type="dxa"/>
            <w:bottom w:w="0" w:type="dxa"/>
            <w:right w:w="51" w:type="dxa"/>
          </w:tblCellMar>
        </w:tblPrEx>
        <w:trPr>
          <w:trHeight w:val="261" w:hRule="atLeast"/>
          <w:tblHeader/>
        </w:trPr>
        <w:tc>
          <w:tcPr>
            <w:tcW w:w="6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b/>
                <w:bCs/>
                <w:color w:val="auto"/>
                <w:kern w:val="0"/>
                <w:sz w:val="13"/>
                <w:szCs w:val="13"/>
                <w:highlight w:val="none"/>
                <w:lang w:bidi="ar"/>
              </w:rPr>
            </w:pPr>
            <w:r>
              <w:rPr>
                <w:rFonts w:hint="eastAsia" w:ascii="宋体" w:hAnsi="宋体" w:eastAsia="宋体" w:cs="宋体"/>
                <w:b/>
                <w:bCs/>
                <w:color w:val="auto"/>
                <w:kern w:val="0"/>
                <w:sz w:val="13"/>
                <w:szCs w:val="13"/>
                <w:highlight w:val="none"/>
                <w:lang w:bidi="ar"/>
              </w:rPr>
              <w:t>一级指标</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b/>
                <w:bCs/>
                <w:color w:val="auto"/>
                <w:sz w:val="13"/>
                <w:szCs w:val="13"/>
                <w:highlight w:val="none"/>
              </w:rPr>
            </w:pPr>
            <w:r>
              <w:rPr>
                <w:rFonts w:hint="eastAsia" w:ascii="宋体" w:hAnsi="宋体" w:eastAsia="宋体" w:cs="宋体"/>
                <w:b/>
                <w:bCs/>
                <w:color w:val="auto"/>
                <w:kern w:val="0"/>
                <w:sz w:val="13"/>
                <w:szCs w:val="13"/>
                <w:highlight w:val="none"/>
                <w:lang w:bidi="ar"/>
              </w:rPr>
              <w:t>二级指标</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b/>
                <w:bCs/>
                <w:color w:val="auto"/>
                <w:sz w:val="13"/>
                <w:szCs w:val="13"/>
                <w:highlight w:val="none"/>
              </w:rPr>
            </w:pPr>
            <w:r>
              <w:rPr>
                <w:rFonts w:hint="eastAsia" w:ascii="宋体" w:hAnsi="宋体" w:eastAsia="宋体" w:cs="宋体"/>
                <w:b/>
                <w:bCs/>
                <w:color w:val="auto"/>
                <w:kern w:val="0"/>
                <w:sz w:val="13"/>
                <w:szCs w:val="13"/>
                <w:highlight w:val="none"/>
                <w:lang w:bidi="ar"/>
              </w:rPr>
              <w:t>三级指标</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b/>
                <w:bCs/>
                <w:color w:val="auto"/>
                <w:sz w:val="13"/>
                <w:szCs w:val="13"/>
                <w:highlight w:val="none"/>
              </w:rPr>
            </w:pPr>
            <w:r>
              <w:rPr>
                <w:rFonts w:hint="eastAsia" w:ascii="宋体" w:hAnsi="宋体" w:eastAsia="宋体" w:cs="宋体"/>
                <w:b/>
                <w:bCs/>
                <w:color w:val="auto"/>
                <w:kern w:val="0"/>
                <w:sz w:val="13"/>
                <w:szCs w:val="13"/>
                <w:highlight w:val="none"/>
                <w:lang w:bidi="ar"/>
              </w:rPr>
              <w:t>指标解释</w:t>
            </w:r>
          </w:p>
        </w:tc>
        <w:tc>
          <w:tcPr>
            <w:tcW w:w="2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b/>
                <w:bCs/>
                <w:color w:val="auto"/>
                <w:sz w:val="13"/>
                <w:szCs w:val="13"/>
                <w:highlight w:val="none"/>
              </w:rPr>
            </w:pPr>
            <w:r>
              <w:rPr>
                <w:rFonts w:hint="eastAsia" w:ascii="宋体" w:hAnsi="宋体" w:eastAsia="宋体" w:cs="宋体"/>
                <w:b/>
                <w:bCs/>
                <w:color w:val="auto"/>
                <w:kern w:val="0"/>
                <w:sz w:val="13"/>
                <w:szCs w:val="13"/>
                <w:highlight w:val="none"/>
                <w:lang w:bidi="ar"/>
              </w:rPr>
              <w:t>评价标准</w:t>
            </w:r>
          </w:p>
        </w:tc>
        <w:tc>
          <w:tcPr>
            <w:tcW w:w="3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default" w:ascii="宋体" w:hAnsi="宋体" w:eastAsia="宋体" w:cs="宋体"/>
                <w:b/>
                <w:bCs/>
                <w:color w:val="auto"/>
                <w:kern w:val="0"/>
                <w:sz w:val="13"/>
                <w:szCs w:val="13"/>
                <w:highlight w:val="none"/>
                <w:lang w:val="en-US" w:eastAsia="zh-CN" w:bidi="ar"/>
              </w:rPr>
            </w:pPr>
            <w:r>
              <w:rPr>
                <w:rFonts w:hint="eastAsia" w:ascii="宋体" w:hAnsi="宋体" w:eastAsia="宋体" w:cs="宋体"/>
                <w:b/>
                <w:bCs/>
                <w:color w:val="auto"/>
                <w:kern w:val="0"/>
                <w:sz w:val="13"/>
                <w:szCs w:val="13"/>
                <w:highlight w:val="none"/>
                <w:lang w:val="en-US" w:eastAsia="zh-CN" w:bidi="ar"/>
              </w:rPr>
              <w:t>评价过程</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b/>
                <w:bCs/>
                <w:color w:val="auto"/>
                <w:sz w:val="13"/>
                <w:szCs w:val="13"/>
                <w:highlight w:val="none"/>
              </w:rPr>
            </w:pPr>
            <w:r>
              <w:rPr>
                <w:rFonts w:hint="eastAsia" w:ascii="宋体" w:hAnsi="宋体" w:eastAsia="宋体" w:cs="宋体"/>
                <w:b/>
                <w:bCs/>
                <w:color w:val="auto"/>
                <w:kern w:val="0"/>
                <w:sz w:val="13"/>
                <w:szCs w:val="13"/>
                <w:highlight w:val="none"/>
                <w:lang w:bidi="ar"/>
              </w:rPr>
              <w:t>目标值</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b/>
                <w:bCs/>
                <w:color w:val="auto"/>
                <w:sz w:val="13"/>
                <w:szCs w:val="13"/>
                <w:highlight w:val="none"/>
              </w:rPr>
            </w:pPr>
            <w:r>
              <w:rPr>
                <w:rFonts w:hint="eastAsia" w:ascii="宋体" w:hAnsi="宋体" w:eastAsia="宋体" w:cs="宋体"/>
                <w:b/>
                <w:bCs/>
                <w:color w:val="auto"/>
                <w:kern w:val="0"/>
                <w:sz w:val="13"/>
                <w:szCs w:val="13"/>
                <w:highlight w:val="none"/>
                <w:lang w:bidi="ar"/>
              </w:rPr>
              <w:t>实际完成值</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b/>
                <w:bCs/>
                <w:color w:val="auto"/>
                <w:sz w:val="13"/>
                <w:szCs w:val="13"/>
                <w:highlight w:val="none"/>
                <w:lang w:eastAsia="zh-CN"/>
              </w:rPr>
            </w:pPr>
            <w:r>
              <w:rPr>
                <w:rFonts w:hint="eastAsia" w:ascii="宋体" w:hAnsi="宋体" w:eastAsia="宋体" w:cs="宋体"/>
                <w:b/>
                <w:bCs/>
                <w:color w:val="auto"/>
                <w:kern w:val="0"/>
                <w:sz w:val="13"/>
                <w:szCs w:val="13"/>
                <w:highlight w:val="none"/>
                <w:lang w:val="en-US" w:eastAsia="zh-CN" w:bidi="ar"/>
              </w:rPr>
              <w:t>权重</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b/>
                <w:bCs/>
                <w:color w:val="auto"/>
                <w:sz w:val="13"/>
                <w:szCs w:val="13"/>
                <w:highlight w:val="none"/>
              </w:rPr>
            </w:pPr>
            <w:r>
              <w:rPr>
                <w:rFonts w:hint="eastAsia" w:ascii="宋体" w:hAnsi="宋体" w:eastAsia="宋体" w:cs="宋体"/>
                <w:b/>
                <w:bCs/>
                <w:color w:val="auto"/>
                <w:kern w:val="0"/>
                <w:sz w:val="13"/>
                <w:szCs w:val="13"/>
                <w:highlight w:val="none"/>
                <w:lang w:bidi="ar"/>
              </w:rPr>
              <w:t>指标得分</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b/>
                <w:bCs/>
                <w:color w:val="auto"/>
                <w:sz w:val="13"/>
                <w:szCs w:val="13"/>
                <w:highlight w:val="none"/>
              </w:rPr>
            </w:pPr>
            <w:r>
              <w:rPr>
                <w:rFonts w:hint="eastAsia" w:ascii="宋体" w:hAnsi="宋体" w:eastAsia="宋体" w:cs="宋体"/>
                <w:b/>
                <w:bCs/>
                <w:color w:val="auto"/>
                <w:kern w:val="0"/>
                <w:sz w:val="13"/>
                <w:szCs w:val="13"/>
                <w:highlight w:val="none"/>
                <w:lang w:bidi="ar"/>
              </w:rPr>
              <w:t>得分率</w:t>
            </w:r>
          </w:p>
        </w:tc>
      </w:tr>
      <w:tr>
        <w:tblPrEx>
          <w:tblCellMar>
            <w:top w:w="0" w:type="dxa"/>
            <w:left w:w="51" w:type="dxa"/>
            <w:bottom w:w="0" w:type="dxa"/>
            <w:right w:w="51" w:type="dxa"/>
          </w:tblCellMar>
        </w:tblPrEx>
        <w:trPr>
          <w:trHeight w:val="261" w:hRule="atLeast"/>
        </w:trPr>
        <w:tc>
          <w:tcPr>
            <w:tcW w:w="6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A决策（10分）　</w:t>
            </w:r>
          </w:p>
        </w:tc>
        <w:tc>
          <w:tcPr>
            <w:tcW w:w="7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A1 项目立项（3分）　</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A11立项依据充分性</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项目立项是否符合法律法规、相关政策、发展规划以及部门职责，用以反映和考核项目立项依据情况。</w:t>
            </w:r>
          </w:p>
        </w:tc>
        <w:tc>
          <w:tcPr>
            <w:tcW w:w="2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评价要点：</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①项目立项是否符合国家法律法规、国民经济发展规划和相关政策；</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②项目立项是否与部门职责范围相符，属于部门履职所需；</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③项目是否符合财政资金支持领域和方向；</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④项目提供的产品和服务符合针对当前国家、行业的现实需求；</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⑤项目提供的产品和服务针对所在区域经济发展的实际问题和需求。</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以上五项中，若存在任意不符合情况，每发现一处不符扣0.5分，扣完为止。</w:t>
            </w:r>
          </w:p>
        </w:tc>
        <w:tc>
          <w:tcPr>
            <w:tcW w:w="3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①该项目立项符合《中华人民共和国防震减灾法》和《国家中长期教育改革和发展规划纲要（2010—2020年）》，进一步提高全国中小学校舍防震减灾能力，实现城乡中小学校舍安全达标的文件精神；符合教育部、</w:t>
            </w:r>
            <w:r>
              <w:rPr>
                <w:rFonts w:hint="eastAsia" w:ascii="宋体" w:hAnsi="宋体" w:eastAsia="宋体" w:cs="宋体"/>
                <w:color w:val="auto"/>
                <w:kern w:val="0"/>
                <w:sz w:val="13"/>
                <w:szCs w:val="13"/>
                <w:highlight w:val="none"/>
                <w:lang w:eastAsia="zh-CN" w:bidi="ar"/>
              </w:rPr>
              <w:t>发展和改革委员会</w:t>
            </w:r>
            <w:r>
              <w:rPr>
                <w:rFonts w:hint="eastAsia" w:ascii="宋体" w:hAnsi="宋体" w:eastAsia="宋体" w:cs="宋体"/>
                <w:color w:val="auto"/>
                <w:kern w:val="0"/>
                <w:sz w:val="13"/>
                <w:szCs w:val="13"/>
                <w:highlight w:val="none"/>
                <w:lang w:bidi="ar"/>
              </w:rPr>
              <w:t>等联合提出《关于建立中小学校舍安全保障长效机制的意见》提出的加强对校舍的日常管理和定期维护要求；符合《喀什地区国民经济和社会发展第十四个五年规划和2035年远景目标纲要》关于加大对教育事业的投入、改善办学条件的需要。故项目立项符合国家法律法规、国民经济发展规划、行业发展规划和相关政策。</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②该项目立项与《关于印发</w:t>
            </w:r>
            <w:r>
              <w:rPr>
                <w:rFonts w:hint="eastAsia" w:ascii="宋体" w:hAnsi="宋体" w:eastAsia="宋体" w:cs="宋体"/>
                <w:color w:val="auto"/>
                <w:kern w:val="0"/>
                <w:sz w:val="13"/>
                <w:szCs w:val="13"/>
                <w:highlight w:val="none"/>
                <w:lang w:eastAsia="zh-CN" w:bidi="ar"/>
              </w:rPr>
              <w:t>＜</w:t>
            </w:r>
            <w:r>
              <w:rPr>
                <w:rFonts w:hint="eastAsia" w:ascii="宋体" w:hAnsi="宋体" w:eastAsia="宋体" w:cs="宋体"/>
                <w:color w:val="auto"/>
                <w:kern w:val="0"/>
                <w:sz w:val="13"/>
                <w:szCs w:val="13"/>
                <w:highlight w:val="none"/>
                <w:lang w:bidi="ar"/>
              </w:rPr>
              <w:t>巴楚县教育局职能配置、内设机构和人员编制规定&gt;的通知》（巴党办〔2019〕47号）中“全面贯彻执行党和国家有关教育工作的方针政策、法律法</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规，拟订巴楚县落实自治区、地区教育改革与发展政策和规划的措施、方案，并组织实施”部门职责范围相符，属于部门履职所需。</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③本项目预算资金来源于2023年城乡义务教育补助经费（中央直达资金），专用于校舍安全保障，该项目资金性质为“一般公共预算资金”，功能分类为“2050299其他普通教育支出”，属于公共财政支持范围，项目符合中央、地方事权支出责任划分原则。</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④根据《喀什地区国民经济和社会发展第十四个五年规划和2035年远景目标纲要》，要加大对教育事业的投入，改善办学条件。巴楚县各学校基础设施由于建设时间较长，维修不及时，存在大量基础设施损坏问题，无法满足师生正常学习及生活，巴楚县乡村中小学等学校申请对校区基础设施进行维修改造，提升学校配套设施条件。故项目提供的产品和服务符合针对当前国家及行业的现实需求，符合巴楚县乡村小学的实际问题和需求。</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该指标满分为1</w:t>
            </w:r>
            <w:r>
              <w:rPr>
                <w:rFonts w:hint="eastAsia" w:ascii="宋体" w:hAnsi="宋体" w:eastAsia="宋体" w:cs="宋体"/>
                <w:color w:val="auto"/>
                <w:kern w:val="0"/>
                <w:sz w:val="13"/>
                <w:szCs w:val="13"/>
                <w:highlight w:val="none"/>
                <w:lang w:eastAsia="zh-CN" w:bidi="ar"/>
              </w:rPr>
              <w:t>.5</w:t>
            </w:r>
            <w:r>
              <w:rPr>
                <w:rFonts w:hint="eastAsia" w:ascii="宋体" w:hAnsi="宋体" w:eastAsia="宋体" w:cs="宋体"/>
                <w:color w:val="auto"/>
                <w:kern w:val="0"/>
                <w:sz w:val="13"/>
                <w:szCs w:val="13"/>
                <w:highlight w:val="none"/>
                <w:lang w:bidi="ar"/>
              </w:rPr>
              <w:t>分，根据评分标准得1</w:t>
            </w:r>
            <w:r>
              <w:rPr>
                <w:rFonts w:hint="eastAsia" w:ascii="宋体" w:hAnsi="宋体" w:eastAsia="宋体" w:cs="宋体"/>
                <w:color w:val="auto"/>
                <w:kern w:val="0"/>
                <w:sz w:val="13"/>
                <w:szCs w:val="13"/>
                <w:highlight w:val="none"/>
                <w:lang w:eastAsia="zh-CN" w:bidi="ar"/>
              </w:rPr>
              <w:t>.5</w:t>
            </w:r>
            <w:r>
              <w:rPr>
                <w:rFonts w:hint="eastAsia" w:ascii="宋体" w:hAnsi="宋体" w:eastAsia="宋体" w:cs="宋体"/>
                <w:color w:val="auto"/>
                <w:kern w:val="0"/>
                <w:sz w:val="13"/>
                <w:szCs w:val="13"/>
                <w:highlight w:val="none"/>
                <w:lang w:bidi="ar"/>
              </w:rPr>
              <w:t>分。</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充分</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充分</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1</w:t>
            </w:r>
            <w:r>
              <w:rPr>
                <w:rFonts w:hint="eastAsia" w:ascii="宋体" w:hAnsi="宋体" w:eastAsia="宋体" w:cs="宋体"/>
                <w:color w:val="auto"/>
                <w:kern w:val="0"/>
                <w:sz w:val="13"/>
                <w:szCs w:val="13"/>
                <w:highlight w:val="none"/>
                <w:lang w:eastAsia="zh-CN" w:bidi="ar"/>
              </w:rPr>
              <w:t>.5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1</w:t>
            </w:r>
            <w:r>
              <w:rPr>
                <w:rFonts w:hint="eastAsia" w:ascii="宋体" w:hAnsi="宋体" w:eastAsia="宋体" w:cs="宋体"/>
                <w:color w:val="auto"/>
                <w:kern w:val="0"/>
                <w:sz w:val="13"/>
                <w:szCs w:val="13"/>
                <w:highlight w:val="none"/>
                <w:lang w:eastAsia="zh-CN" w:bidi="ar"/>
              </w:rPr>
              <w:t>.5</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p>
        </w:tc>
        <w:tc>
          <w:tcPr>
            <w:tcW w:w="7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A12立项程序规范性</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项目申请、设立过程是否符合相关要求，用以反映和考核项目立项的规范情况。</w:t>
            </w:r>
          </w:p>
        </w:tc>
        <w:tc>
          <w:tcPr>
            <w:tcW w:w="2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评价要点：</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①按要求完成可研及立项批复（包括项目建议书、可研、资金申请报告）；</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②按要求取得勘察、设计、用地、环评、开工许可等行业主管部门审批文件的，取得四证一书；</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③事前是否已经过必要的可行性研究、专家论证、风险评估、绩效评估、集体决策；</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④审批文件、材料符合相关要求，项目申报和审批流程规范。</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以上四项中，每发现一处不符扣0.5分，扣完为止。</w:t>
            </w:r>
          </w:p>
        </w:tc>
        <w:tc>
          <w:tcPr>
            <w:tcW w:w="3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①巴楚县教育局委托中晏建设集团有限公司编制《喀什地区巴楚县2023年城乡义务教育农村校舍安全保障长效机制项目（第一批）可行性研究报告（代项目建议书）》，并向巴楚县发展和改革委员会提交《关于喀什地区巴楚县2023年城乡义务教育农村校舍安全保障长效机制项目（第一批）可行性研究报告（代项目建议书）的请示》及相关材料。2023年4月24日，巴楚县发展和改革委员会下发《关于喀什地区巴楚县2023年城乡义务教育农村校舍安全保障长效机制项目（第一批）可行性研究报告（代项目建议书）的批复》（巴发改项目〔2023〕95号），同意项目实施。项目按照规定的程序申请设立，按要求完成可研及立项批复，事前已经过必要的可行性研究、专家论证及集体决策等。</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②巴楚县教育局积极开展项目前期准备工作，严格按照项目基本建设程序，办理相关手续，组织项目实施。巴楚县教育局于2023年5月17日取得巴楚县自然资源局颁发的乡村建设规划许可证；2023年5月17日取得巴楚县自然资源局颁发的建设工程规划许可证；2023年5月取得77份施工图设计文件审查合格证书（喀什地区建筑工程施工图审查中心）；项目前期手续齐全，符合相关要求。</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该指标满分为1</w:t>
            </w:r>
            <w:r>
              <w:rPr>
                <w:rFonts w:hint="eastAsia" w:ascii="宋体" w:hAnsi="宋体" w:eastAsia="宋体" w:cs="宋体"/>
                <w:color w:val="auto"/>
                <w:kern w:val="0"/>
                <w:sz w:val="13"/>
                <w:szCs w:val="13"/>
                <w:highlight w:val="none"/>
                <w:lang w:eastAsia="zh-CN" w:bidi="ar"/>
              </w:rPr>
              <w:t>.5</w:t>
            </w:r>
            <w:r>
              <w:rPr>
                <w:rFonts w:hint="eastAsia" w:ascii="宋体" w:hAnsi="宋体" w:eastAsia="宋体" w:cs="宋体"/>
                <w:color w:val="auto"/>
                <w:kern w:val="0"/>
                <w:sz w:val="13"/>
                <w:szCs w:val="13"/>
                <w:highlight w:val="none"/>
                <w:lang w:bidi="ar"/>
              </w:rPr>
              <w:t>分，根据评分标准得1</w:t>
            </w:r>
            <w:r>
              <w:rPr>
                <w:rFonts w:hint="eastAsia" w:ascii="宋体" w:hAnsi="宋体" w:eastAsia="宋体" w:cs="宋体"/>
                <w:color w:val="auto"/>
                <w:kern w:val="0"/>
                <w:sz w:val="13"/>
                <w:szCs w:val="13"/>
                <w:highlight w:val="none"/>
                <w:lang w:eastAsia="zh-CN" w:bidi="ar"/>
              </w:rPr>
              <w:t>.5</w:t>
            </w:r>
            <w:r>
              <w:rPr>
                <w:rFonts w:hint="eastAsia" w:ascii="宋体" w:hAnsi="宋体" w:eastAsia="宋体" w:cs="宋体"/>
                <w:color w:val="auto"/>
                <w:kern w:val="0"/>
                <w:sz w:val="13"/>
                <w:szCs w:val="13"/>
                <w:highlight w:val="none"/>
                <w:lang w:bidi="ar"/>
              </w:rPr>
              <w:t>分。</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合规</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合规</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1</w:t>
            </w:r>
            <w:r>
              <w:rPr>
                <w:rFonts w:hint="eastAsia" w:ascii="宋体" w:hAnsi="宋体" w:eastAsia="宋体" w:cs="宋体"/>
                <w:color w:val="auto"/>
                <w:kern w:val="0"/>
                <w:sz w:val="13"/>
                <w:szCs w:val="13"/>
                <w:highlight w:val="none"/>
                <w:lang w:eastAsia="zh-CN" w:bidi="ar"/>
              </w:rPr>
              <w:t>.5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1</w:t>
            </w:r>
            <w:r>
              <w:rPr>
                <w:rFonts w:hint="eastAsia" w:ascii="宋体" w:hAnsi="宋体" w:eastAsia="宋体" w:cs="宋体"/>
                <w:color w:val="auto"/>
                <w:kern w:val="0"/>
                <w:sz w:val="13"/>
                <w:szCs w:val="13"/>
                <w:highlight w:val="none"/>
                <w:lang w:eastAsia="zh-CN" w:bidi="ar"/>
              </w:rPr>
              <w:t>.5</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p>
        </w:tc>
        <w:tc>
          <w:tcPr>
            <w:tcW w:w="7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A2 绩效目标（4分）　</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A21绩效目标合理性</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项目所设定的绩效目标是否依据充分，是否符合客观实际，用以反映和考核项目绩效目标与项目实施的相符情况。</w:t>
            </w:r>
          </w:p>
        </w:tc>
        <w:tc>
          <w:tcPr>
            <w:tcW w:w="2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评价要点：</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①项目是否有绩效目标；</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②项目绩效目标与实际工作内容是否具有相关性；</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③项目预期产出效益和效果是否符合正常的业绩水平；</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④是否与预算确定的项目投资额或资金量相匹配。</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若①不符合，则此指标不得分；若①符合，则每发现一处不符扣0.5分，扣完为止。</w:t>
            </w:r>
          </w:p>
        </w:tc>
        <w:tc>
          <w:tcPr>
            <w:tcW w:w="3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①根据项目实施单位</w:t>
            </w:r>
            <w:r>
              <w:rPr>
                <w:rFonts w:hint="eastAsia" w:ascii="宋体" w:hAnsi="宋体" w:eastAsia="宋体" w:cs="宋体"/>
                <w:color w:val="auto"/>
                <w:kern w:val="0"/>
                <w:sz w:val="13"/>
                <w:szCs w:val="13"/>
                <w:highlight w:val="none"/>
                <w:lang w:eastAsia="zh-CN" w:bidi="ar"/>
              </w:rPr>
              <w:t>项目支出绩效目标表</w:t>
            </w:r>
            <w:r>
              <w:rPr>
                <w:rFonts w:hint="eastAsia" w:ascii="宋体" w:hAnsi="宋体" w:eastAsia="宋体" w:cs="宋体"/>
                <w:color w:val="auto"/>
                <w:kern w:val="0"/>
                <w:sz w:val="13"/>
                <w:szCs w:val="13"/>
                <w:highlight w:val="none"/>
                <w:lang w:bidi="ar"/>
              </w:rPr>
              <w:t>，项目有绩效目标，具体目标内容是：“本项目主要实施内容为保障7个学校维修改造工程款的支付，项目总投资1800万元，平均每所学校改造工程款为257.14万元。通过本项目的设施，有效提升学校基础设施水平，使受益学生及老师满意度达到95%以上”。</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②经查阅项目资料，本项目资金均用于巴楚县乡村中小学维修改造的工程款和前期费，项目绩效目标与实际工作内容具有相关性。</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③该项目通过校舍维修改造，提升学校基础设施水平，使受益学生及老师满意度达到</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95%以上，项目预期产出效益和效果根据项目的实际用途设置，符合正常的业绩水平。</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④经查阅项目资金下达文件，该项目到位资金1</w:t>
            </w:r>
            <w:r>
              <w:rPr>
                <w:rFonts w:hint="eastAsia" w:ascii="宋体" w:hAnsi="宋体" w:eastAsia="宋体" w:cs="宋体"/>
                <w:color w:val="auto"/>
                <w:kern w:val="0"/>
                <w:sz w:val="13"/>
                <w:szCs w:val="13"/>
                <w:highlight w:val="none"/>
                <w:lang w:eastAsia="zh-CN" w:bidi="ar"/>
              </w:rPr>
              <w:t>，</w:t>
            </w:r>
            <w:r>
              <w:rPr>
                <w:rFonts w:hint="eastAsia" w:ascii="宋体" w:hAnsi="宋体" w:eastAsia="宋体" w:cs="宋体"/>
                <w:color w:val="auto"/>
                <w:kern w:val="0"/>
                <w:sz w:val="13"/>
                <w:szCs w:val="13"/>
                <w:highlight w:val="none"/>
                <w:lang w:bidi="ar"/>
              </w:rPr>
              <w:t>800万元。根据</w:t>
            </w:r>
            <w:r>
              <w:rPr>
                <w:rFonts w:hint="eastAsia" w:ascii="宋体" w:hAnsi="宋体" w:eastAsia="宋体" w:cs="宋体"/>
                <w:color w:val="auto"/>
                <w:kern w:val="0"/>
                <w:sz w:val="13"/>
                <w:szCs w:val="13"/>
                <w:highlight w:val="none"/>
                <w:lang w:eastAsia="zh-CN" w:bidi="ar"/>
              </w:rPr>
              <w:t>项目支出绩效目标表</w:t>
            </w:r>
            <w:r>
              <w:rPr>
                <w:rFonts w:hint="eastAsia" w:ascii="宋体" w:hAnsi="宋体" w:eastAsia="宋体" w:cs="宋体"/>
                <w:color w:val="auto"/>
                <w:kern w:val="0"/>
                <w:sz w:val="13"/>
                <w:szCs w:val="13"/>
                <w:highlight w:val="none"/>
                <w:lang w:bidi="ar"/>
              </w:rPr>
              <w:t>，绩效目标表填报的预算资金总额度与到位资金一致，故绩效目标确定的预算与预算确定的项目资金量匹配。</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该指标满分为2分，根据评分标准得2分。</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合理</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合理</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2</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p>
        </w:tc>
        <w:tc>
          <w:tcPr>
            <w:tcW w:w="7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A22绩效指标明确性</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依据绩效目标设定的绩效指标是否清晰、细化、可衡量等，用以反映和考核项目绩效目标的明细化情况。</w:t>
            </w:r>
          </w:p>
        </w:tc>
        <w:tc>
          <w:tcPr>
            <w:tcW w:w="2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评价要点：</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是否将项目绩效目标细化分解为具体的绩效指标，且绩效指标与项目目标任务数或计划数相对应；绩效指标指向明确，可通过清晰、可衡量的指标予以体现，指标设置清晰准确，且量化易评。每发现一处不符扣0.2分，扣完为止。</w:t>
            </w:r>
          </w:p>
        </w:tc>
        <w:tc>
          <w:tcPr>
            <w:tcW w:w="3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①根据</w:t>
            </w:r>
            <w:r>
              <w:rPr>
                <w:rFonts w:hint="eastAsia" w:ascii="宋体" w:hAnsi="宋体" w:eastAsia="宋体" w:cs="宋体"/>
                <w:color w:val="auto"/>
                <w:kern w:val="0"/>
                <w:sz w:val="13"/>
                <w:szCs w:val="13"/>
                <w:highlight w:val="none"/>
                <w:lang w:eastAsia="zh-CN" w:bidi="ar"/>
              </w:rPr>
              <w:t>项目支出绩效目标表</w:t>
            </w:r>
            <w:r>
              <w:rPr>
                <w:rFonts w:hint="eastAsia" w:ascii="宋体" w:hAnsi="宋体" w:eastAsia="宋体" w:cs="宋体"/>
                <w:color w:val="auto"/>
                <w:kern w:val="0"/>
                <w:sz w:val="13"/>
                <w:szCs w:val="13"/>
                <w:highlight w:val="none"/>
                <w:lang w:bidi="ar"/>
              </w:rPr>
              <w:t>分析可知，该项目共设立一级指标4个，二级指标6个，三级指标11个，项目实施单位已将绩效目标细化分解为具体的绩效指标。</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②该项目已设置三级指标11个，其中定量指标8个，定性指标3个，指标量化率为72.73％，指标量化率达到目标。经评价分析，项目实施后可产生预期的社会效益，项目指标设置有相应的时效指标，项目绩效目标设置与预算关联性紧密。</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但是，根据项目立项批复，项目计划完成14所学校的维修改造，绩效目标显示为完成7所学校维修改造，绩效指标与项目计划数不一致，导致成本指标平均维修改造工程款设置错误，根据评分标准，扣0</w:t>
            </w:r>
            <w:r>
              <w:rPr>
                <w:rFonts w:hint="eastAsia" w:ascii="宋体" w:hAnsi="宋体" w:eastAsia="宋体" w:cs="宋体"/>
                <w:color w:val="auto"/>
                <w:kern w:val="0"/>
                <w:sz w:val="13"/>
                <w:szCs w:val="13"/>
                <w:highlight w:val="none"/>
                <w:lang w:eastAsia="zh-CN" w:bidi="ar"/>
              </w:rPr>
              <w:t>.4</w:t>
            </w:r>
            <w:r>
              <w:rPr>
                <w:rFonts w:hint="eastAsia" w:ascii="宋体" w:hAnsi="宋体" w:eastAsia="宋体" w:cs="宋体"/>
                <w:color w:val="auto"/>
                <w:kern w:val="0"/>
                <w:sz w:val="13"/>
                <w:szCs w:val="13"/>
                <w:highlight w:val="none"/>
                <w:lang w:bidi="ar"/>
              </w:rPr>
              <w:t>分。</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该指标满分为2分，根据评分标准得1</w:t>
            </w:r>
            <w:r>
              <w:rPr>
                <w:rFonts w:hint="eastAsia" w:ascii="宋体" w:hAnsi="宋体" w:eastAsia="宋体" w:cs="宋体"/>
                <w:color w:val="auto"/>
                <w:kern w:val="0"/>
                <w:sz w:val="13"/>
                <w:szCs w:val="13"/>
                <w:highlight w:val="none"/>
                <w:lang w:eastAsia="zh-CN" w:bidi="ar"/>
              </w:rPr>
              <w:t>.6</w:t>
            </w:r>
            <w:r>
              <w:rPr>
                <w:rFonts w:hint="eastAsia" w:ascii="宋体" w:hAnsi="宋体" w:eastAsia="宋体" w:cs="宋体"/>
                <w:color w:val="auto"/>
                <w:kern w:val="0"/>
                <w:sz w:val="13"/>
                <w:szCs w:val="13"/>
                <w:highlight w:val="none"/>
                <w:lang w:bidi="ar"/>
              </w:rPr>
              <w:t>分。</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明确</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较明确</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2</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1</w:t>
            </w:r>
            <w:r>
              <w:rPr>
                <w:rFonts w:hint="eastAsia" w:ascii="宋体" w:hAnsi="宋体" w:eastAsia="宋体" w:cs="宋体"/>
                <w:color w:val="auto"/>
                <w:kern w:val="0"/>
                <w:sz w:val="13"/>
                <w:szCs w:val="13"/>
                <w:highlight w:val="none"/>
                <w:lang w:eastAsia="zh-CN" w:bidi="ar"/>
              </w:rPr>
              <w:t>.6</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80%</w:t>
            </w:r>
          </w:p>
        </w:tc>
      </w:tr>
      <w:tr>
        <w:tblPrEx>
          <w:tblCellMar>
            <w:top w:w="0" w:type="dxa"/>
            <w:left w:w="51" w:type="dxa"/>
            <w:bottom w:w="0" w:type="dxa"/>
            <w:right w:w="51" w:type="dxa"/>
          </w:tblCellMar>
        </w:tblPrEx>
        <w:trPr>
          <w:trHeight w:val="261" w:hRule="atLeast"/>
        </w:trPr>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p>
        </w:tc>
        <w:tc>
          <w:tcPr>
            <w:tcW w:w="7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A3 资金投入（3分）</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A31预算编制科学性</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项目预算编制是否经过科学论证、有明确标准，资金额度与年度目标是否相适应，用以反映和考核项目预算编制的科学性、合理性情况。</w:t>
            </w:r>
          </w:p>
        </w:tc>
        <w:tc>
          <w:tcPr>
            <w:tcW w:w="2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评价要点：</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①预算编制是否经过科学论证；</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②预算内容与项目内容是否匹配；</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③预算额度测算依据是否充分，是否按照标准编制；</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④预算确定的项目投资额或资金量是否与工作任务相匹配。</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每发现一处不符扣0.5分，扣完为止。</w:t>
            </w:r>
          </w:p>
        </w:tc>
        <w:tc>
          <w:tcPr>
            <w:tcW w:w="3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eastAsia="zh-CN" w:bidi="ar"/>
              </w:rPr>
              <w:t>根据喀什地区巴楚县2023年城乡义务教育农村校舍安全保障长效机制项目（第一批）可行性研究报告（代项目建议书）</w:t>
            </w:r>
            <w:r>
              <w:rPr>
                <w:rFonts w:hint="eastAsia" w:ascii="宋体" w:hAnsi="宋体" w:eastAsia="宋体" w:cs="宋体"/>
                <w:color w:val="auto"/>
                <w:kern w:val="0"/>
                <w:sz w:val="13"/>
                <w:szCs w:val="13"/>
                <w:highlight w:val="none"/>
                <w:lang w:bidi="ar"/>
              </w:rPr>
              <w:t>，该项目投资估算按照工程建设行业规定的估算方法和标准进行编制，估算内容较为全面，且项目建议书经巴楚县发展和改革委员会审核通过，经批复的项目投资额和项目建议书预算编制的投资额一致，项目预算编制经过科学论证，预算额度分配依据充分，按照标准编制。</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该指标满分为1</w:t>
            </w:r>
            <w:r>
              <w:rPr>
                <w:rFonts w:hint="eastAsia" w:ascii="宋体" w:hAnsi="宋体" w:eastAsia="宋体" w:cs="宋体"/>
                <w:color w:val="auto"/>
                <w:kern w:val="0"/>
                <w:sz w:val="13"/>
                <w:szCs w:val="13"/>
                <w:highlight w:val="none"/>
                <w:lang w:eastAsia="zh-CN" w:bidi="ar"/>
              </w:rPr>
              <w:t>.5</w:t>
            </w:r>
            <w:r>
              <w:rPr>
                <w:rFonts w:hint="eastAsia" w:ascii="宋体" w:hAnsi="宋体" w:eastAsia="宋体" w:cs="宋体"/>
                <w:color w:val="auto"/>
                <w:kern w:val="0"/>
                <w:sz w:val="13"/>
                <w:szCs w:val="13"/>
                <w:highlight w:val="none"/>
                <w:lang w:bidi="ar"/>
              </w:rPr>
              <w:t>分，根据评分标准得1</w:t>
            </w:r>
            <w:r>
              <w:rPr>
                <w:rFonts w:hint="eastAsia" w:ascii="宋体" w:hAnsi="宋体" w:eastAsia="宋体" w:cs="宋体"/>
                <w:color w:val="auto"/>
                <w:kern w:val="0"/>
                <w:sz w:val="13"/>
                <w:szCs w:val="13"/>
                <w:highlight w:val="none"/>
                <w:lang w:eastAsia="zh-CN" w:bidi="ar"/>
              </w:rPr>
              <w:t>.5</w:t>
            </w:r>
            <w:r>
              <w:rPr>
                <w:rFonts w:hint="eastAsia" w:ascii="宋体" w:hAnsi="宋体" w:eastAsia="宋体" w:cs="宋体"/>
                <w:color w:val="auto"/>
                <w:kern w:val="0"/>
                <w:sz w:val="13"/>
                <w:szCs w:val="13"/>
                <w:highlight w:val="none"/>
                <w:lang w:bidi="ar"/>
              </w:rPr>
              <w:t>分。</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科学</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科学</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1</w:t>
            </w:r>
            <w:r>
              <w:rPr>
                <w:rFonts w:hint="eastAsia" w:ascii="宋体" w:hAnsi="宋体" w:eastAsia="宋体" w:cs="宋体"/>
                <w:color w:val="auto"/>
                <w:kern w:val="0"/>
                <w:sz w:val="13"/>
                <w:szCs w:val="13"/>
                <w:highlight w:val="none"/>
                <w:lang w:eastAsia="zh-CN" w:bidi="ar"/>
              </w:rPr>
              <w:t>.5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1</w:t>
            </w:r>
            <w:r>
              <w:rPr>
                <w:rFonts w:hint="eastAsia" w:ascii="宋体" w:hAnsi="宋体" w:eastAsia="宋体" w:cs="宋体"/>
                <w:color w:val="auto"/>
                <w:kern w:val="0"/>
                <w:sz w:val="13"/>
                <w:szCs w:val="13"/>
                <w:highlight w:val="none"/>
                <w:lang w:eastAsia="zh-CN" w:bidi="ar"/>
              </w:rPr>
              <w:t>.5</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p>
        </w:tc>
        <w:tc>
          <w:tcPr>
            <w:tcW w:w="7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A32资金分配合理性</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项目预算资金分配是否有测算依据，与补助单位或地方实际是否相适应，用以反映和考核项目预算资金分配的科学性、合理性情况。</w:t>
            </w:r>
          </w:p>
        </w:tc>
        <w:tc>
          <w:tcPr>
            <w:tcW w:w="2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评价要点：</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①预算资金分配依据是否充分；</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②资金分配额度是否合理，与项目单位或地方实际是否相适应。</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以上每发现一处不符扣0.5分，扣完为止。</w:t>
            </w:r>
          </w:p>
        </w:tc>
        <w:tc>
          <w:tcPr>
            <w:tcW w:w="3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eastAsia="zh-CN" w:bidi="ar"/>
              </w:rPr>
              <w:t>根据喀什地区巴楚县2023年城乡义务教育农村校舍安全保障长效机制项目（第一批）可行性研究报告（代项目建议书）</w:t>
            </w:r>
            <w:r>
              <w:rPr>
                <w:rFonts w:hint="eastAsia" w:ascii="宋体" w:hAnsi="宋体" w:eastAsia="宋体" w:cs="宋体"/>
                <w:color w:val="auto"/>
                <w:kern w:val="0"/>
                <w:sz w:val="13"/>
                <w:szCs w:val="13"/>
                <w:highlight w:val="none"/>
                <w:lang w:bidi="ar"/>
              </w:rPr>
              <w:t>及立项批复，项目按照项目建议书结果及批复预算额度分配项目资金，预算资金分配依据较为充分。因项目尚未开展竣工决算审计，经查证项目采购合同和验收记录等实际工作情况，参照项目实际合同总额为1</w:t>
            </w:r>
            <w:r>
              <w:rPr>
                <w:rFonts w:hint="eastAsia" w:ascii="宋体" w:hAnsi="宋体" w:eastAsia="宋体" w:cs="宋体"/>
                <w:color w:val="auto"/>
                <w:kern w:val="0"/>
                <w:sz w:val="13"/>
                <w:szCs w:val="13"/>
                <w:highlight w:val="none"/>
                <w:lang w:eastAsia="zh-CN" w:bidi="ar"/>
              </w:rPr>
              <w:t>，</w:t>
            </w:r>
            <w:r>
              <w:rPr>
                <w:rFonts w:hint="eastAsia" w:ascii="宋体" w:hAnsi="宋体" w:eastAsia="宋体" w:cs="宋体"/>
                <w:color w:val="auto"/>
                <w:kern w:val="0"/>
                <w:sz w:val="13"/>
                <w:szCs w:val="13"/>
                <w:highlight w:val="none"/>
                <w:lang w:bidi="ar"/>
              </w:rPr>
              <w:t>567.09万元，在预算规模内完成维修改造工作，资金分配额度合理，与项目单位实际相适应。</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该指标满分为1</w:t>
            </w:r>
            <w:r>
              <w:rPr>
                <w:rFonts w:hint="eastAsia" w:ascii="宋体" w:hAnsi="宋体" w:eastAsia="宋体" w:cs="宋体"/>
                <w:color w:val="auto"/>
                <w:kern w:val="0"/>
                <w:sz w:val="13"/>
                <w:szCs w:val="13"/>
                <w:highlight w:val="none"/>
                <w:lang w:eastAsia="zh-CN" w:bidi="ar"/>
              </w:rPr>
              <w:t>.5</w:t>
            </w:r>
            <w:r>
              <w:rPr>
                <w:rFonts w:hint="eastAsia" w:ascii="宋体" w:hAnsi="宋体" w:eastAsia="宋体" w:cs="宋体"/>
                <w:color w:val="auto"/>
                <w:kern w:val="0"/>
                <w:sz w:val="13"/>
                <w:szCs w:val="13"/>
                <w:highlight w:val="none"/>
                <w:lang w:bidi="ar"/>
              </w:rPr>
              <w:t>分，根据评分标准得1</w:t>
            </w:r>
            <w:r>
              <w:rPr>
                <w:rFonts w:hint="eastAsia" w:ascii="宋体" w:hAnsi="宋体" w:eastAsia="宋体" w:cs="宋体"/>
                <w:color w:val="auto"/>
                <w:kern w:val="0"/>
                <w:sz w:val="13"/>
                <w:szCs w:val="13"/>
                <w:highlight w:val="none"/>
                <w:lang w:eastAsia="zh-CN" w:bidi="ar"/>
              </w:rPr>
              <w:t>.5</w:t>
            </w:r>
            <w:r>
              <w:rPr>
                <w:rFonts w:hint="eastAsia" w:ascii="宋体" w:hAnsi="宋体" w:eastAsia="宋体" w:cs="宋体"/>
                <w:color w:val="auto"/>
                <w:kern w:val="0"/>
                <w:sz w:val="13"/>
                <w:szCs w:val="13"/>
                <w:highlight w:val="none"/>
                <w:lang w:bidi="ar"/>
              </w:rPr>
              <w:t>分。</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合理</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合理</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1</w:t>
            </w:r>
            <w:r>
              <w:rPr>
                <w:rFonts w:hint="eastAsia" w:ascii="宋体" w:hAnsi="宋体" w:eastAsia="宋体" w:cs="宋体"/>
                <w:color w:val="auto"/>
                <w:kern w:val="0"/>
                <w:sz w:val="13"/>
                <w:szCs w:val="13"/>
                <w:highlight w:val="none"/>
                <w:lang w:eastAsia="zh-CN" w:bidi="ar"/>
              </w:rPr>
              <w:t>.5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1</w:t>
            </w:r>
            <w:r>
              <w:rPr>
                <w:rFonts w:hint="eastAsia" w:ascii="宋体" w:hAnsi="宋体" w:eastAsia="宋体" w:cs="宋体"/>
                <w:color w:val="auto"/>
                <w:kern w:val="0"/>
                <w:sz w:val="13"/>
                <w:szCs w:val="13"/>
                <w:highlight w:val="none"/>
                <w:lang w:eastAsia="zh-CN" w:bidi="ar"/>
              </w:rPr>
              <w:t>.5</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657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小计</w:t>
            </w:r>
          </w:p>
        </w:tc>
        <w:tc>
          <w:tcPr>
            <w:tcW w:w="3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10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9</w:t>
            </w:r>
            <w:r>
              <w:rPr>
                <w:rFonts w:hint="eastAsia" w:ascii="宋体" w:hAnsi="宋体" w:eastAsia="宋体" w:cs="宋体"/>
                <w:color w:val="auto"/>
                <w:kern w:val="0"/>
                <w:sz w:val="13"/>
                <w:szCs w:val="13"/>
                <w:highlight w:val="none"/>
                <w:lang w:eastAsia="zh-CN" w:bidi="ar"/>
              </w:rPr>
              <w:t>.6</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96%</w:t>
            </w:r>
          </w:p>
        </w:tc>
      </w:tr>
      <w:tr>
        <w:tblPrEx>
          <w:tblCellMar>
            <w:top w:w="0" w:type="dxa"/>
            <w:left w:w="51" w:type="dxa"/>
            <w:bottom w:w="0" w:type="dxa"/>
            <w:right w:w="51" w:type="dxa"/>
          </w:tblCellMar>
        </w:tblPrEx>
        <w:trPr>
          <w:trHeight w:val="261" w:hRule="atLeast"/>
        </w:trPr>
        <w:tc>
          <w:tcPr>
            <w:tcW w:w="6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B过程（25分）</w:t>
            </w:r>
          </w:p>
        </w:tc>
        <w:tc>
          <w:tcPr>
            <w:tcW w:w="7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B1 资金管理（13分）　</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B11资金到位率</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实际到位资金与预算资金的比率，用以反映和考核资金落实情况对项目实施的总体保障程度。</w:t>
            </w:r>
          </w:p>
        </w:tc>
        <w:tc>
          <w:tcPr>
            <w:tcW w:w="2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资金到位率=（实际到位资金/预算资金）×100%。</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项目完成且资金到位数满足年度预算规模需求，得3分；项目尚未完成，资金到位率小于100%且大于等于80%的得2分，资金到位率小于80%且大于等于60%的得1</w:t>
            </w:r>
            <w:r>
              <w:rPr>
                <w:rFonts w:hint="eastAsia" w:ascii="宋体" w:hAnsi="宋体" w:eastAsia="宋体" w:cs="宋体"/>
                <w:color w:val="auto"/>
                <w:kern w:val="0"/>
                <w:sz w:val="13"/>
                <w:szCs w:val="13"/>
                <w:highlight w:val="none"/>
                <w:lang w:eastAsia="zh-CN" w:bidi="ar"/>
              </w:rPr>
              <w:t>.5</w:t>
            </w:r>
            <w:r>
              <w:rPr>
                <w:rFonts w:hint="eastAsia" w:ascii="宋体" w:hAnsi="宋体" w:eastAsia="宋体" w:cs="宋体"/>
                <w:color w:val="auto"/>
                <w:kern w:val="0"/>
                <w:sz w:val="13"/>
                <w:szCs w:val="13"/>
                <w:highlight w:val="none"/>
                <w:lang w:bidi="ar"/>
              </w:rPr>
              <w:t>分，资金到位率小于60%的不得分。</w:t>
            </w:r>
          </w:p>
        </w:tc>
        <w:tc>
          <w:tcPr>
            <w:tcW w:w="3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经查阅项目立项批复文件以及《关于提前下达2023年城乡义务教育补助经费预算（中央直达资金）的通知》（喀地财教〔2022〕63号）资金拨付文件资料，项目预算资金总额为1</w:t>
            </w:r>
            <w:r>
              <w:rPr>
                <w:rFonts w:hint="eastAsia" w:ascii="宋体" w:hAnsi="宋体" w:eastAsia="宋体" w:cs="宋体"/>
                <w:color w:val="auto"/>
                <w:kern w:val="0"/>
                <w:sz w:val="13"/>
                <w:szCs w:val="13"/>
                <w:highlight w:val="none"/>
                <w:lang w:eastAsia="zh-CN" w:bidi="ar"/>
              </w:rPr>
              <w:t>，</w:t>
            </w:r>
            <w:r>
              <w:rPr>
                <w:rFonts w:hint="eastAsia" w:ascii="宋体" w:hAnsi="宋体" w:eastAsia="宋体" w:cs="宋体"/>
                <w:color w:val="auto"/>
                <w:kern w:val="0"/>
                <w:sz w:val="13"/>
                <w:szCs w:val="13"/>
                <w:highlight w:val="none"/>
                <w:lang w:bidi="ar"/>
              </w:rPr>
              <w:t>800万元，到位资金1</w:t>
            </w:r>
            <w:r>
              <w:rPr>
                <w:rFonts w:hint="eastAsia" w:ascii="宋体" w:hAnsi="宋体" w:eastAsia="宋体" w:cs="宋体"/>
                <w:color w:val="auto"/>
                <w:kern w:val="0"/>
                <w:sz w:val="13"/>
                <w:szCs w:val="13"/>
                <w:highlight w:val="none"/>
                <w:lang w:eastAsia="zh-CN" w:bidi="ar"/>
              </w:rPr>
              <w:t>，</w:t>
            </w:r>
            <w:r>
              <w:rPr>
                <w:rFonts w:hint="eastAsia" w:ascii="宋体" w:hAnsi="宋体" w:eastAsia="宋体" w:cs="宋体"/>
                <w:color w:val="auto"/>
                <w:kern w:val="0"/>
                <w:sz w:val="13"/>
                <w:szCs w:val="13"/>
                <w:highlight w:val="none"/>
                <w:lang w:bidi="ar"/>
              </w:rPr>
              <w:t>800万元。资金到位率100%，根据评价标准，项目完成且资金到位数满足年度预算规模需求，得3分。</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该指标满分为3分，根据评分标准得3分。</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100%</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100%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3</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3</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p>
        </w:tc>
        <w:tc>
          <w:tcPr>
            <w:tcW w:w="7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B12预算执行率</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项目预算资金是否按照计划执行，用以反映或考核项目预算执行情况。</w:t>
            </w:r>
          </w:p>
        </w:tc>
        <w:tc>
          <w:tcPr>
            <w:tcW w:w="2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预算执行率=（实际支出资金/实际到位资金）×100%。</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项目完成且执行数控制在年度预算规模之内的，得5分；项目尚未完成，预算执行率小于100%且大于等于80%的得3分，预算执行率小于80%且大于等于60%的得2分，预算执行率小于60%的不得分。</w:t>
            </w:r>
          </w:p>
        </w:tc>
        <w:tc>
          <w:tcPr>
            <w:tcW w:w="3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经查阅项目资金文件及支付材料，项目到位资金1</w:t>
            </w:r>
            <w:r>
              <w:rPr>
                <w:rFonts w:hint="eastAsia" w:ascii="宋体" w:hAnsi="宋体" w:eastAsia="宋体" w:cs="宋体"/>
                <w:color w:val="auto"/>
                <w:kern w:val="0"/>
                <w:sz w:val="13"/>
                <w:szCs w:val="13"/>
                <w:highlight w:val="none"/>
                <w:lang w:eastAsia="zh-CN" w:bidi="ar"/>
              </w:rPr>
              <w:t>，</w:t>
            </w:r>
            <w:r>
              <w:rPr>
                <w:rFonts w:hint="eastAsia" w:ascii="宋体" w:hAnsi="宋体" w:eastAsia="宋体" w:cs="宋体"/>
                <w:color w:val="auto"/>
                <w:kern w:val="0"/>
                <w:sz w:val="13"/>
                <w:szCs w:val="13"/>
                <w:highlight w:val="none"/>
                <w:lang w:bidi="ar"/>
              </w:rPr>
              <w:t>800万元，实际支出资金1</w:t>
            </w:r>
            <w:r>
              <w:rPr>
                <w:rFonts w:hint="eastAsia" w:ascii="宋体" w:hAnsi="宋体" w:eastAsia="宋体" w:cs="宋体"/>
                <w:color w:val="auto"/>
                <w:kern w:val="0"/>
                <w:sz w:val="13"/>
                <w:szCs w:val="13"/>
                <w:highlight w:val="none"/>
                <w:lang w:eastAsia="zh-CN" w:bidi="ar"/>
              </w:rPr>
              <w:t>，</w:t>
            </w:r>
            <w:r>
              <w:rPr>
                <w:rFonts w:hint="eastAsia" w:ascii="宋体" w:hAnsi="宋体" w:eastAsia="宋体" w:cs="宋体"/>
                <w:color w:val="auto"/>
                <w:kern w:val="0"/>
                <w:sz w:val="13"/>
                <w:szCs w:val="13"/>
                <w:highlight w:val="none"/>
                <w:lang w:bidi="ar"/>
              </w:rPr>
              <w:t>261.99万元，预算执行率=（实际支出资金/实际到位资金）×100%=（1</w:t>
            </w:r>
            <w:r>
              <w:rPr>
                <w:rFonts w:hint="eastAsia" w:ascii="宋体" w:hAnsi="宋体" w:eastAsia="宋体" w:cs="宋体"/>
                <w:color w:val="auto"/>
                <w:kern w:val="0"/>
                <w:sz w:val="13"/>
                <w:szCs w:val="13"/>
                <w:highlight w:val="none"/>
                <w:lang w:eastAsia="zh-CN" w:bidi="ar"/>
              </w:rPr>
              <w:t>，</w:t>
            </w:r>
            <w:r>
              <w:rPr>
                <w:rFonts w:hint="eastAsia" w:ascii="宋体" w:hAnsi="宋体" w:eastAsia="宋体" w:cs="宋体"/>
                <w:color w:val="auto"/>
                <w:kern w:val="0"/>
                <w:sz w:val="13"/>
                <w:szCs w:val="13"/>
                <w:highlight w:val="none"/>
                <w:lang w:bidi="ar"/>
              </w:rPr>
              <w:t>261.99/1</w:t>
            </w:r>
            <w:r>
              <w:rPr>
                <w:rFonts w:hint="eastAsia" w:ascii="宋体" w:hAnsi="宋体" w:eastAsia="宋体" w:cs="宋体"/>
                <w:color w:val="auto"/>
                <w:kern w:val="0"/>
                <w:sz w:val="13"/>
                <w:szCs w:val="13"/>
                <w:highlight w:val="none"/>
                <w:lang w:eastAsia="zh-CN" w:bidi="ar"/>
              </w:rPr>
              <w:t>，</w:t>
            </w:r>
            <w:r>
              <w:rPr>
                <w:rFonts w:hint="eastAsia" w:ascii="宋体" w:hAnsi="宋体" w:eastAsia="宋体" w:cs="宋体"/>
                <w:color w:val="auto"/>
                <w:kern w:val="0"/>
                <w:sz w:val="13"/>
                <w:szCs w:val="13"/>
                <w:highlight w:val="none"/>
                <w:lang w:bidi="ar"/>
              </w:rPr>
              <w:t>800）×100%=70.11%。该项目已完成建设内容，合同总额为1</w:t>
            </w:r>
            <w:r>
              <w:rPr>
                <w:rFonts w:hint="eastAsia" w:ascii="宋体" w:hAnsi="宋体" w:eastAsia="宋体" w:cs="宋体"/>
                <w:color w:val="auto"/>
                <w:kern w:val="0"/>
                <w:sz w:val="13"/>
                <w:szCs w:val="13"/>
                <w:highlight w:val="none"/>
                <w:lang w:eastAsia="zh-CN" w:bidi="ar"/>
              </w:rPr>
              <w:t>，</w:t>
            </w:r>
            <w:r>
              <w:rPr>
                <w:rFonts w:hint="eastAsia" w:ascii="宋体" w:hAnsi="宋体" w:eastAsia="宋体" w:cs="宋体"/>
                <w:color w:val="auto"/>
                <w:kern w:val="0"/>
                <w:sz w:val="13"/>
                <w:szCs w:val="13"/>
                <w:highlight w:val="none"/>
                <w:lang w:bidi="ar"/>
              </w:rPr>
              <w:t>567.09万元，尚未开展工程结算审计及竣工财务决算，项目尚未完成。根据评分标准，得2分。</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该指标满分为5分，根据评分标准得2分。</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100%</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70.11%</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2</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40%</w:t>
            </w:r>
          </w:p>
        </w:tc>
      </w:tr>
      <w:tr>
        <w:tblPrEx>
          <w:tblCellMar>
            <w:top w:w="0" w:type="dxa"/>
            <w:left w:w="51" w:type="dxa"/>
            <w:bottom w:w="0" w:type="dxa"/>
            <w:right w:w="51" w:type="dxa"/>
          </w:tblCellMar>
        </w:tblPrEx>
        <w:trPr>
          <w:trHeight w:val="261" w:hRule="atLeast"/>
        </w:trPr>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p>
        </w:tc>
        <w:tc>
          <w:tcPr>
            <w:tcW w:w="7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B13资金使用合规性</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考察项目单位资金的使用规范程度。项目资金使用是否符合相关法律法规、制度和规定，用以反映和考核项目资金使用的规范性和安全性。</w:t>
            </w:r>
          </w:p>
        </w:tc>
        <w:tc>
          <w:tcPr>
            <w:tcW w:w="2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评价要点：</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①是否符合国家财经法规和财务管理制度以及有关专项资金管理办法的规定；</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②是否符合项目预算批复或合同规定的用途；</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③是否存在截留、挤占、挪用、虚列支出等情况；</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④资金的拨付是否有完整的审批程序和手续。</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以上四项不满足①或②或③时属于严重违规事项，本项指标不得分，在符合①、②和③的条件下，其他各项符合则得分，否则，每发现一处不符扣0.5分，扣完为止。</w:t>
            </w:r>
          </w:p>
        </w:tc>
        <w:tc>
          <w:tcPr>
            <w:tcW w:w="3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经查阅项目资料，项目资金使用遵从《巴楚县教育局内部控制手册》中相关资金管理制度，严格执行资金使用流程，符合国家财经法规和财务管理制度以及有关专项资金管理办法的规定。项目施工单位根据项目进度、项目合同等付款依据提交资金申请报告以及巴楚县工程款拨付申请表，经项目施工、监理、项目单位项目办、项目单位核算中心审批提交至由巴楚县教育局党组会议审核通过。巴楚县教育局向巴楚县财政局提交资金支付申请，经国库支付中心审核审批后办理支付，资金的拨付有完整的审批程序和手续，均用于支付校园维修改造合同工程款与项目前期费用，符合项目预算批复和合同规定的用途，经核对项目进度审批</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及支付材料，未发现超进度支付情况以及截留、挤占、挪用、虚列支出等情况。</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该指标满分为5分，根据评分标准得5分。</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合规</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合规</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5</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p>
        </w:tc>
        <w:tc>
          <w:tcPr>
            <w:tcW w:w="7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B2 组织实施（12分）　</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B21管理制度健全性</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项目实施单位的财务和业务管理制度是否健全，用以反映和考核财务和业务管理制度对项目顺利实施的保障情况。</w:t>
            </w:r>
          </w:p>
        </w:tc>
        <w:tc>
          <w:tcPr>
            <w:tcW w:w="2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评价要点：</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①是否已制定或具有相应的财务和业务管理制度；</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②财务和业务管理制度是否合法、合规、完整。</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以上两项分别占50%的权重分，符合则得分；存在部分制度缺失、内容不完整或不满足管理要求的，每发现一处不符扣0.5分，各权重分扣完为止。</w:t>
            </w:r>
          </w:p>
        </w:tc>
        <w:tc>
          <w:tcPr>
            <w:tcW w:w="3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经查阅巴楚县教育局制定的《巴楚县教育局内部控制手册》，项目实施单位建立较为完整的内部控制体系，其中关于业务活动层面从预算管理、政府采购、资金使用、建设项目管理、合同管理等各个方面进行了制度规范，强化优化管理措施，已建立制度中各项规章制度内容详备明确，具备可操作性。</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该指标满分为4分，根据评分标准得4分。</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健全</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健全</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4</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4</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p>
        </w:tc>
        <w:tc>
          <w:tcPr>
            <w:tcW w:w="7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B22制度执行有效性</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项目实施是否符合相关管理规定，用以反映和考核相关管理制度的有效执行情况。</w:t>
            </w:r>
          </w:p>
        </w:tc>
        <w:tc>
          <w:tcPr>
            <w:tcW w:w="2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评价要点：</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所有项目组织机构健全，职责分工明确，监督机制有效，政府采购管理、合同管理、安全管理、质量管理等制度完备且有效执行的，得满分。发现项目存在以下问题的，按相应标准扣减分数，扣完为止。</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①项目组织实施机制不健全、责任分工不够明确；勘察设计、咨询、强审等建设参与方的引入方式及程序不规范；</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②工程、设备、原材料等的采购需求与项目实际需求不一致，存在重复采购或过量采购等浪费情形，未按照政府采购规定采程序执行等；</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③项目合同签订、变更、审批等管理不规范，合同要素不完整，合同履约不到位等；</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④项目管理与过程监督制度落实不到位；</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⑤项目建设程序不规范，缺少相应建设审批程序；</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⑥项目竣工验收程序不规范，未按要求开展四方验收，验收文件不完整、不规范等；</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⑦工程变更审核、批准批注不规范，变更手续不完整，工程变更的图纸设计要求和深度低于原设计文件等。</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以上问题发现一处扣0.5分。</w:t>
            </w:r>
          </w:p>
        </w:tc>
        <w:tc>
          <w:tcPr>
            <w:tcW w:w="3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经查阅项目实施前期及施工过程相关资料，项目组织机构健全，职责分工明确；项目实施前编制项目可行性研究报告（代项目建议书）、初步设计与施工图设计，完成项目投资立项及前期决策；依照《巴楚县政府采购工作实施管理办法（试行）》要求规范执行政府采购程序，通过询价的方式确定监理、设计、可研编制、地勘以及审计单位，通过公开招标确定项目施工单位；项目按要求及时办理并取得前期手续，组织施工、开展五方联合验收并编制竣工验收报告；项目施工合同管理到位，不存在大额资金项目未签订合同情况；该项目实施监理机制及巡查机制，项目实施期间未发现项目出现质量、安全事故等情况，管理与过程监督制度落实到位。但在调研了解项目实施情况过程中，项目实施单位在执行基本建设程序中存在以下情况：</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项目未及时开展工程结算和竣工财务决算审计。根据项目竣工验收报告，该项目于2023年10月12日竣工验收，但截至评价日尚未项按照《关于印发</w:t>
            </w:r>
            <w:r>
              <w:rPr>
                <w:rFonts w:hint="eastAsia" w:ascii="宋体" w:hAnsi="宋体" w:eastAsia="宋体" w:cs="宋体"/>
                <w:color w:val="auto"/>
                <w:kern w:val="0"/>
                <w:sz w:val="13"/>
                <w:szCs w:val="13"/>
                <w:highlight w:val="none"/>
                <w:lang w:eastAsia="zh-CN" w:bidi="ar"/>
              </w:rPr>
              <w:t>＜</w:t>
            </w:r>
            <w:r>
              <w:rPr>
                <w:rFonts w:hint="eastAsia" w:ascii="宋体" w:hAnsi="宋体" w:eastAsia="宋体" w:cs="宋体"/>
                <w:color w:val="auto"/>
                <w:kern w:val="0"/>
                <w:sz w:val="13"/>
                <w:szCs w:val="13"/>
                <w:highlight w:val="none"/>
                <w:lang w:bidi="ar"/>
              </w:rPr>
              <w:t>基本建设项目竣工财务决算管理暂行办法&gt;的通知》等相关法律法规要求开展工程结算及项目竣工决算审计。</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该指标满分为8分，根据评分标准得4分。</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有效</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较有效</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8</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4</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50%</w:t>
            </w:r>
          </w:p>
        </w:tc>
      </w:tr>
      <w:tr>
        <w:tblPrEx>
          <w:tblCellMar>
            <w:top w:w="0" w:type="dxa"/>
            <w:left w:w="51" w:type="dxa"/>
            <w:bottom w:w="0" w:type="dxa"/>
            <w:right w:w="51" w:type="dxa"/>
          </w:tblCellMar>
        </w:tblPrEx>
        <w:trPr>
          <w:trHeight w:val="261" w:hRule="atLeast"/>
        </w:trPr>
        <w:tc>
          <w:tcPr>
            <w:tcW w:w="657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小计</w:t>
            </w:r>
          </w:p>
        </w:tc>
        <w:tc>
          <w:tcPr>
            <w:tcW w:w="3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25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18</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72%</w:t>
            </w:r>
          </w:p>
        </w:tc>
      </w:tr>
      <w:tr>
        <w:tblPrEx>
          <w:tblCellMar>
            <w:top w:w="0" w:type="dxa"/>
            <w:left w:w="51" w:type="dxa"/>
            <w:bottom w:w="0" w:type="dxa"/>
            <w:right w:w="51" w:type="dxa"/>
          </w:tblCellMar>
        </w:tblPrEx>
        <w:trPr>
          <w:trHeight w:val="261" w:hRule="atLeast"/>
        </w:trPr>
        <w:tc>
          <w:tcPr>
            <w:tcW w:w="6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C产出（30分）</w:t>
            </w: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C1产出数量（10分）</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C11维修改造学校数量</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项目实施的实际产出数与计划产出数的比率，用以反映和考核项目产出数量目标的实现程度。</w:t>
            </w:r>
          </w:p>
        </w:tc>
        <w:tc>
          <w:tcPr>
            <w:tcW w:w="2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实际完成率=（实际产出数/计划产出数）×100</w:t>
            </w:r>
            <w:r>
              <w:rPr>
                <w:rFonts w:hint="eastAsia" w:ascii="宋体" w:hAnsi="宋体" w:eastAsia="宋体" w:cs="宋体"/>
                <w:color w:val="auto"/>
                <w:kern w:val="0"/>
                <w:sz w:val="13"/>
                <w:szCs w:val="13"/>
                <w:highlight w:val="none"/>
                <w:lang w:eastAsia="zh-CN" w:bidi="ar"/>
              </w:rPr>
              <w:t>%</w:t>
            </w:r>
            <w:r>
              <w:rPr>
                <w:rFonts w:hint="eastAsia" w:ascii="宋体" w:hAnsi="宋体" w:eastAsia="宋体" w:cs="宋体"/>
                <w:color w:val="auto"/>
                <w:kern w:val="0"/>
                <w:sz w:val="13"/>
                <w:szCs w:val="13"/>
                <w:highlight w:val="none"/>
                <w:lang w:bidi="ar"/>
              </w:rPr>
              <w:t>。</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①绩效目标超额完成，即实际完成率</w:t>
            </w:r>
            <w:r>
              <w:rPr>
                <w:rFonts w:hint="eastAsia" w:ascii="宋体" w:hAnsi="宋体" w:eastAsia="宋体" w:cs="宋体"/>
                <w:color w:val="auto"/>
                <w:kern w:val="0"/>
                <w:sz w:val="13"/>
                <w:szCs w:val="13"/>
                <w:highlight w:val="none"/>
                <w:lang w:eastAsia="zh-CN" w:bidi="ar"/>
              </w:rPr>
              <w:t>≥</w:t>
            </w:r>
            <w:r>
              <w:rPr>
                <w:rFonts w:hint="eastAsia" w:ascii="宋体" w:hAnsi="宋体" w:eastAsia="宋体" w:cs="宋体"/>
                <w:color w:val="auto"/>
                <w:kern w:val="0"/>
                <w:sz w:val="13"/>
                <w:szCs w:val="13"/>
                <w:highlight w:val="none"/>
                <w:lang w:bidi="ar"/>
              </w:rPr>
              <w:t>200%，得0分；</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②绩效目标超额完成，100%≤完成率</w:t>
            </w:r>
            <w:r>
              <w:rPr>
                <w:rFonts w:hint="eastAsia" w:ascii="宋体" w:hAnsi="宋体" w:eastAsia="宋体" w:cs="宋体"/>
                <w:color w:val="auto"/>
                <w:kern w:val="0"/>
                <w:sz w:val="13"/>
                <w:szCs w:val="13"/>
                <w:highlight w:val="none"/>
                <w:lang w:eastAsia="zh-CN" w:bidi="ar"/>
              </w:rPr>
              <w:t>＜</w:t>
            </w:r>
            <w:r>
              <w:rPr>
                <w:rFonts w:hint="eastAsia" w:ascii="宋体" w:hAnsi="宋体" w:eastAsia="宋体" w:cs="宋体"/>
                <w:color w:val="auto"/>
                <w:kern w:val="0"/>
                <w:sz w:val="13"/>
                <w:szCs w:val="13"/>
                <w:highlight w:val="none"/>
                <w:lang w:bidi="ar"/>
              </w:rPr>
              <w:t>200%，得分=（1-（实际完成率-100%））×权重分值；</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③绩效目标未完成，若60%≤完成率</w:t>
            </w:r>
            <w:r>
              <w:rPr>
                <w:rFonts w:hint="eastAsia" w:ascii="宋体" w:hAnsi="宋体" w:eastAsia="宋体" w:cs="宋体"/>
                <w:color w:val="auto"/>
                <w:kern w:val="0"/>
                <w:sz w:val="13"/>
                <w:szCs w:val="13"/>
                <w:highlight w:val="none"/>
                <w:lang w:eastAsia="zh-CN" w:bidi="ar"/>
              </w:rPr>
              <w:t>＜</w:t>
            </w:r>
            <w:r>
              <w:rPr>
                <w:rFonts w:hint="eastAsia" w:ascii="宋体" w:hAnsi="宋体" w:eastAsia="宋体" w:cs="宋体"/>
                <w:color w:val="auto"/>
                <w:kern w:val="0"/>
                <w:sz w:val="13"/>
                <w:szCs w:val="13"/>
                <w:highlight w:val="none"/>
                <w:lang w:bidi="ar"/>
              </w:rPr>
              <w:t>100%，得分=（实际完成率-60%）/（1-60%）×权重分值；若完成率</w:t>
            </w:r>
            <w:r>
              <w:rPr>
                <w:rFonts w:hint="eastAsia" w:ascii="宋体" w:hAnsi="宋体" w:eastAsia="宋体" w:cs="宋体"/>
                <w:color w:val="auto"/>
                <w:kern w:val="0"/>
                <w:sz w:val="13"/>
                <w:szCs w:val="13"/>
                <w:highlight w:val="none"/>
                <w:lang w:eastAsia="zh-CN" w:bidi="ar"/>
              </w:rPr>
              <w:t>＜</w:t>
            </w:r>
            <w:r>
              <w:rPr>
                <w:rFonts w:hint="eastAsia" w:ascii="宋体" w:hAnsi="宋体" w:eastAsia="宋体" w:cs="宋体"/>
                <w:color w:val="auto"/>
                <w:kern w:val="0"/>
                <w:sz w:val="13"/>
                <w:szCs w:val="13"/>
                <w:highlight w:val="none"/>
                <w:lang w:bidi="ar"/>
              </w:rPr>
              <w:t>60%，得0分。</w:t>
            </w:r>
          </w:p>
        </w:tc>
        <w:tc>
          <w:tcPr>
            <w:tcW w:w="3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经查阅项目立项批复以及竣工验收报告，该项目计划完成14个乡村中小学维修改造，实际完成14个乡村中小学维修改造，实际完成值达到预期目标，根据评分标准，得满分。</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该指标满分为10分，根据评分标准得10分。</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eastAsia="zh-CN" w:bidi="ar"/>
              </w:rPr>
              <w:t>≥</w:t>
            </w:r>
            <w:r>
              <w:rPr>
                <w:rFonts w:hint="eastAsia" w:ascii="宋体" w:hAnsi="宋体" w:eastAsia="宋体" w:cs="宋体"/>
                <w:color w:val="auto"/>
                <w:kern w:val="0"/>
                <w:sz w:val="13"/>
                <w:szCs w:val="13"/>
                <w:highlight w:val="none"/>
                <w:lang w:bidi="ar"/>
              </w:rPr>
              <w:t>14个</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14个</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10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10</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C2产出质量（8分）</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C21竣工验收合格率</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项目完成的质量达标产出数与实际产出数的比率，用以反映和考核项目产出质量目标的实现程度。</w:t>
            </w:r>
          </w:p>
        </w:tc>
        <w:tc>
          <w:tcPr>
            <w:tcW w:w="2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实际完成率=实际验收合格数/计划验收合格数×100%。</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实际完成率符合预期指标值得满分；预期指标未完成，且实际完成率大于60%的，按超过的比重赋分，计算公式为：得分=（实际完成率-60%）/（1-60%）×指标分值；完成率小于60%为不及格，不得分。</w:t>
            </w:r>
          </w:p>
        </w:tc>
        <w:tc>
          <w:tcPr>
            <w:tcW w:w="3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经查阅项目竣工验收报告、项目建设工程质量监督报告，项目于2023年10月12日通过施工、监理、勘察、设计以及建设单位五方联合工程验收，验收结果：工程质量符合国家标准，同意使用。项目竣工验收合格率为100%，根据评分标准，得满分。</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该指标满分为8分，根据评分标准得8分。</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100%</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100%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8</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8</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p>
        </w:tc>
        <w:tc>
          <w:tcPr>
            <w:tcW w:w="7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C3产出时效（6分）</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C31项目开工及时率</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项目实际完成时间与计划完成时间的比较，用以反映和考核项目产出时效目标的实现程度。</w:t>
            </w:r>
          </w:p>
        </w:tc>
        <w:tc>
          <w:tcPr>
            <w:tcW w:w="2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在实际核查过程中项目建设是否在2023年7月5日前完成的，符合则开工及时，得满分；否则，开工不及时，不得分。</w:t>
            </w:r>
          </w:p>
        </w:tc>
        <w:tc>
          <w:tcPr>
            <w:tcW w:w="3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经查阅项目施工合同、监理日志及施工日志，项目计划开工时间为2023年7月5日，实际开工时间为2023年7月27日，项目开工不及时，根据评分标准，不得分。</w:t>
            </w:r>
          </w:p>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该指标满分为3分，根据评分标准得0分。</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100%</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3</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0</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0%</w:t>
            </w:r>
          </w:p>
        </w:tc>
      </w:tr>
      <w:tr>
        <w:tblPrEx>
          <w:tblCellMar>
            <w:top w:w="0" w:type="dxa"/>
            <w:left w:w="51" w:type="dxa"/>
            <w:bottom w:w="0" w:type="dxa"/>
            <w:right w:w="51" w:type="dxa"/>
          </w:tblCellMar>
        </w:tblPrEx>
        <w:trPr>
          <w:trHeight w:val="261" w:hRule="atLeast"/>
        </w:trPr>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p>
        </w:tc>
        <w:tc>
          <w:tcPr>
            <w:tcW w:w="7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C32项目完工及时率</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项目实际完成时间与计划完成时间的比较，用以反映和考核项目产出时效目标的实现程度。</w:t>
            </w:r>
          </w:p>
        </w:tc>
        <w:tc>
          <w:tcPr>
            <w:tcW w:w="2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Theme="minorEastAsia" w:hAnsiTheme="minorEastAsia" w:eastAsiaTheme="minorEastAsia" w:cstheme="minorEastAsia"/>
                <w:color w:val="auto"/>
                <w:kern w:val="0"/>
                <w:sz w:val="13"/>
                <w:szCs w:val="13"/>
                <w:highlight w:val="none"/>
                <w:lang w:bidi="ar"/>
              </w:rPr>
            </w:pPr>
            <w:r>
              <w:rPr>
                <w:rFonts w:hint="eastAsia" w:asciiTheme="minorEastAsia" w:hAnsiTheme="minorEastAsia" w:eastAsiaTheme="minorEastAsia" w:cstheme="minorEastAsia"/>
                <w:color w:val="auto"/>
                <w:kern w:val="0"/>
                <w:sz w:val="13"/>
                <w:szCs w:val="13"/>
                <w:highlight w:val="none"/>
                <w:lang w:bidi="ar"/>
              </w:rPr>
              <w:t>①在实际核查过程中项目实际建设完成工期是否在100天，符合，得满分；</w:t>
            </w:r>
          </w:p>
          <w:p>
            <w:pPr>
              <w:keepNext/>
              <w:keepLines/>
              <w:widowControl w:val="0"/>
              <w:adjustRightInd w:val="0"/>
              <w:snapToGrid w:val="0"/>
              <w:spacing w:line="240" w:lineRule="auto"/>
              <w:ind w:firstLine="0" w:firstLineChars="0"/>
              <w:jc w:val="left"/>
              <w:textAlignment w:val="center"/>
              <w:rPr>
                <w:rFonts w:hint="eastAsia" w:asciiTheme="minorEastAsia" w:hAnsiTheme="minorEastAsia" w:eastAsiaTheme="minorEastAsia" w:cstheme="minorEastAsia"/>
                <w:color w:val="auto"/>
                <w:kern w:val="0"/>
                <w:sz w:val="13"/>
                <w:szCs w:val="13"/>
                <w:highlight w:val="none"/>
                <w:lang w:bidi="ar"/>
              </w:rPr>
            </w:pPr>
            <w:r>
              <w:rPr>
                <w:rFonts w:hint="eastAsia" w:asciiTheme="minorEastAsia" w:hAnsiTheme="minorEastAsia" w:eastAsiaTheme="minorEastAsia" w:cstheme="minorEastAsia"/>
                <w:color w:val="auto"/>
                <w:kern w:val="0"/>
                <w:sz w:val="13"/>
                <w:szCs w:val="13"/>
                <w:highlight w:val="none"/>
                <w:lang w:bidi="ar"/>
              </w:rPr>
              <w:t>②否则发现项目建设实际建设完成工期超过在100天，得分=（1-超出时间/合同工期）×分值。</w:t>
            </w:r>
          </w:p>
        </w:tc>
        <w:tc>
          <w:tcPr>
            <w:tcW w:w="3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经查阅施工单位工程竣工报告、项目建设工程质量监督报告，项目于2023年10月12日竣工，实际建设工期为78天，在约定工期内完成建设内容，根据评分标准，得满分。</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该指标满分为3分，根据评分标准得3分。</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100%</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100%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3</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3</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C4产出成本（6分）</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C41工程建设成本预算控制率</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完成项目计划工作目标的实际节约成本与计划成本的比率，用以反映和考核项目的成本节约程度。</w:t>
            </w:r>
          </w:p>
        </w:tc>
        <w:tc>
          <w:tcPr>
            <w:tcW w:w="27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eastAsia" w:asciiTheme="minorEastAsia" w:hAnsiTheme="minorEastAsia" w:eastAsiaTheme="minorEastAsia" w:cstheme="minorEastAsia"/>
                <w:color w:val="auto"/>
                <w:sz w:val="13"/>
                <w:szCs w:val="13"/>
                <w:highlight w:val="none"/>
              </w:rPr>
            </w:pPr>
            <w:r>
              <w:rPr>
                <w:rFonts w:hint="eastAsia" w:asciiTheme="minorEastAsia" w:hAnsiTheme="minorEastAsia" w:eastAsiaTheme="minorEastAsia" w:cstheme="minorEastAsia"/>
                <w:color w:val="auto"/>
                <w:sz w:val="13"/>
                <w:szCs w:val="13"/>
                <w:highlight w:val="none"/>
              </w:rPr>
              <w:t>工程建设成本预算控制率=（工程建设费用预算价-工程建设合同价）/工程建设费用预算价</w:t>
            </w:r>
          </w:p>
          <w:p>
            <w:pPr>
              <w:widowControl/>
              <w:spacing w:line="240" w:lineRule="auto"/>
              <w:ind w:firstLine="0" w:firstLineChars="0"/>
              <w:jc w:val="left"/>
              <w:textAlignment w:val="center"/>
              <w:rPr>
                <w:rFonts w:hint="eastAsia" w:asciiTheme="minorEastAsia" w:hAnsiTheme="minorEastAsia" w:eastAsiaTheme="minorEastAsia" w:cstheme="minorEastAsia"/>
                <w:color w:val="auto"/>
                <w:kern w:val="0"/>
                <w:sz w:val="13"/>
                <w:szCs w:val="13"/>
                <w:highlight w:val="none"/>
                <w:lang w:bidi="ar"/>
              </w:rPr>
            </w:pPr>
            <w:r>
              <w:rPr>
                <w:rFonts w:hint="eastAsia" w:asciiTheme="minorEastAsia" w:hAnsiTheme="minorEastAsia" w:eastAsiaTheme="minorEastAsia" w:cstheme="minorEastAsia"/>
                <w:color w:val="auto"/>
                <w:kern w:val="0"/>
                <w:sz w:val="13"/>
                <w:szCs w:val="13"/>
                <w:highlight w:val="none"/>
                <w:lang w:bidi="ar"/>
              </w:rPr>
              <w:t>若工程建设成本预算控制率</w:t>
            </w:r>
            <w:r>
              <w:rPr>
                <w:rFonts w:hint="eastAsia" w:asciiTheme="minorEastAsia" w:hAnsiTheme="minorEastAsia" w:eastAsiaTheme="minorEastAsia" w:cstheme="minorEastAsia"/>
                <w:color w:val="auto"/>
                <w:kern w:val="0"/>
                <w:sz w:val="13"/>
                <w:szCs w:val="13"/>
                <w:highlight w:val="none"/>
                <w:lang w:val="en-US" w:eastAsia="zh-CN" w:bidi="ar"/>
              </w:rPr>
              <w:t>&gt;15</w:t>
            </w:r>
            <w:r>
              <w:rPr>
                <w:rFonts w:hint="eastAsia" w:asciiTheme="minorEastAsia" w:hAnsiTheme="minorEastAsia" w:eastAsiaTheme="minorEastAsia" w:cstheme="minorEastAsia"/>
                <w:color w:val="auto"/>
                <w:kern w:val="0"/>
                <w:sz w:val="13"/>
                <w:szCs w:val="13"/>
                <w:highlight w:val="none"/>
                <w:lang w:bidi="ar"/>
              </w:rPr>
              <w:t>%</w:t>
            </w:r>
            <w:r>
              <w:rPr>
                <w:rFonts w:hint="eastAsia" w:asciiTheme="minorEastAsia" w:hAnsiTheme="minorEastAsia" w:eastAsiaTheme="minorEastAsia" w:cstheme="minorEastAsia"/>
                <w:color w:val="auto"/>
                <w:kern w:val="0"/>
                <w:sz w:val="13"/>
                <w:szCs w:val="13"/>
                <w:highlight w:val="none"/>
                <w:lang w:val="en-US" w:eastAsia="zh-CN" w:bidi="ar"/>
              </w:rPr>
              <w:t>或者</w:t>
            </w:r>
            <w:r>
              <w:rPr>
                <w:rFonts w:hint="eastAsia" w:asciiTheme="minorEastAsia" w:hAnsiTheme="minorEastAsia" w:cstheme="minorEastAsia"/>
                <w:color w:val="auto"/>
                <w:kern w:val="0"/>
                <w:sz w:val="13"/>
                <w:szCs w:val="13"/>
                <w:highlight w:val="none"/>
                <w:lang w:val="en-US" w:eastAsia="zh-CN" w:bidi="ar"/>
              </w:rPr>
              <w:t>＜</w:t>
            </w:r>
            <w:r>
              <w:rPr>
                <w:rFonts w:hint="eastAsia" w:asciiTheme="minorEastAsia" w:hAnsiTheme="minorEastAsia" w:eastAsiaTheme="minorEastAsia" w:cstheme="minorEastAsia"/>
                <w:color w:val="auto"/>
                <w:kern w:val="0"/>
                <w:sz w:val="13"/>
                <w:szCs w:val="13"/>
                <w:highlight w:val="none"/>
                <w:lang w:val="en-US" w:eastAsia="zh-CN" w:bidi="ar"/>
              </w:rPr>
              <w:t>0</w:t>
            </w:r>
            <w:r>
              <w:rPr>
                <w:rFonts w:hint="eastAsia" w:asciiTheme="minorEastAsia" w:hAnsiTheme="minorEastAsia" w:eastAsiaTheme="minorEastAsia" w:cstheme="minorEastAsia"/>
                <w:color w:val="auto"/>
                <w:kern w:val="0"/>
                <w:sz w:val="13"/>
                <w:szCs w:val="13"/>
                <w:highlight w:val="none"/>
                <w:lang w:bidi="ar"/>
              </w:rPr>
              <w:t>%，不得分；</w:t>
            </w:r>
          </w:p>
          <w:p>
            <w:pPr>
              <w:widowControl/>
              <w:spacing w:line="240" w:lineRule="auto"/>
              <w:ind w:firstLine="0" w:firstLineChars="0"/>
              <w:jc w:val="left"/>
              <w:textAlignment w:val="center"/>
              <w:rPr>
                <w:rFonts w:hint="eastAsia" w:asciiTheme="minorEastAsia" w:hAnsiTheme="minorEastAsia" w:eastAsiaTheme="minorEastAsia" w:cstheme="minorEastAsia"/>
                <w:color w:val="auto"/>
                <w:kern w:val="0"/>
                <w:sz w:val="13"/>
                <w:szCs w:val="13"/>
                <w:highlight w:val="none"/>
                <w:lang w:val="en-US" w:eastAsia="zh-CN" w:bidi="ar"/>
              </w:rPr>
            </w:pPr>
            <w:r>
              <w:rPr>
                <w:rFonts w:hint="eastAsia" w:asciiTheme="minorEastAsia" w:hAnsiTheme="minorEastAsia" w:eastAsiaTheme="minorEastAsia" w:cstheme="minorEastAsia"/>
                <w:color w:val="auto"/>
                <w:kern w:val="0"/>
                <w:sz w:val="13"/>
                <w:szCs w:val="13"/>
                <w:highlight w:val="none"/>
                <w:lang w:bidi="ar"/>
              </w:rPr>
              <w:t>若</w:t>
            </w:r>
            <w:r>
              <w:rPr>
                <w:rFonts w:hint="eastAsia" w:asciiTheme="minorEastAsia" w:hAnsiTheme="minorEastAsia" w:eastAsiaTheme="minorEastAsia" w:cstheme="minorEastAsia"/>
                <w:color w:val="auto"/>
                <w:kern w:val="0"/>
                <w:sz w:val="13"/>
                <w:szCs w:val="13"/>
                <w:highlight w:val="none"/>
                <w:lang w:val="en-US" w:eastAsia="zh-CN" w:bidi="ar"/>
              </w:rPr>
              <w:t>0%≤</w:t>
            </w:r>
            <w:r>
              <w:rPr>
                <w:rFonts w:hint="eastAsia" w:asciiTheme="minorEastAsia" w:hAnsiTheme="minorEastAsia" w:eastAsiaTheme="minorEastAsia" w:cstheme="minorEastAsia"/>
                <w:color w:val="auto"/>
                <w:kern w:val="0"/>
                <w:sz w:val="13"/>
                <w:szCs w:val="13"/>
                <w:highlight w:val="none"/>
                <w:lang w:bidi="ar"/>
              </w:rPr>
              <w:t>工程建设成本预算控制率</w:t>
            </w:r>
            <w:r>
              <w:rPr>
                <w:rFonts w:hint="eastAsia" w:asciiTheme="minorEastAsia" w:hAnsiTheme="minorEastAsia" w:eastAsiaTheme="minorEastAsia" w:cstheme="minorEastAsia"/>
                <w:color w:val="auto"/>
                <w:kern w:val="0"/>
                <w:sz w:val="13"/>
                <w:szCs w:val="13"/>
                <w:highlight w:val="none"/>
                <w:lang w:val="en-US" w:eastAsia="zh-CN" w:bidi="ar"/>
              </w:rPr>
              <w:t>≤15％时</w:t>
            </w:r>
            <w:r>
              <w:rPr>
                <w:rFonts w:hint="eastAsia" w:asciiTheme="minorEastAsia" w:hAnsiTheme="minorEastAsia" w:eastAsiaTheme="minorEastAsia" w:cstheme="minorEastAsia"/>
                <w:color w:val="auto"/>
                <w:kern w:val="0"/>
                <w:sz w:val="13"/>
                <w:szCs w:val="13"/>
                <w:highlight w:val="none"/>
                <w:lang w:bidi="ar"/>
              </w:rPr>
              <w:t>%，</w:t>
            </w:r>
            <w:r>
              <w:rPr>
                <w:rFonts w:hint="eastAsia" w:asciiTheme="minorEastAsia" w:hAnsiTheme="minorEastAsia" w:eastAsiaTheme="minorEastAsia" w:cstheme="minorEastAsia"/>
                <w:color w:val="auto"/>
                <w:kern w:val="0"/>
                <w:sz w:val="13"/>
                <w:szCs w:val="13"/>
                <w:highlight w:val="none"/>
                <w:lang w:val="en-US" w:eastAsia="zh-CN" w:bidi="ar"/>
              </w:rPr>
              <w:t>得满分</w:t>
            </w:r>
          </w:p>
          <w:p>
            <w:pPr>
              <w:keepNext/>
              <w:keepLines/>
              <w:widowControl w:val="0"/>
              <w:adjustRightInd w:val="0"/>
              <w:snapToGrid w:val="0"/>
              <w:spacing w:line="240" w:lineRule="auto"/>
              <w:ind w:firstLine="0" w:firstLineChars="0"/>
              <w:jc w:val="left"/>
              <w:textAlignment w:val="center"/>
              <w:rPr>
                <w:rFonts w:hint="eastAsia" w:asciiTheme="minorEastAsia" w:hAnsiTheme="minorEastAsia" w:eastAsiaTheme="minorEastAsia" w:cstheme="minorEastAsia"/>
                <w:color w:val="auto"/>
                <w:kern w:val="0"/>
                <w:sz w:val="13"/>
                <w:szCs w:val="13"/>
                <w:highlight w:val="none"/>
                <w:lang w:bidi="ar"/>
              </w:rPr>
            </w:pPr>
          </w:p>
        </w:tc>
        <w:tc>
          <w:tcPr>
            <w:tcW w:w="3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color w:val="auto"/>
                <w:sz w:val="13"/>
                <w:szCs w:val="13"/>
                <w:highlight w:val="none"/>
              </w:rPr>
              <w:t>根据项目可研及立项批复，项目总预算为1</w:t>
            </w:r>
            <w:r>
              <w:rPr>
                <w:rFonts w:hint="eastAsia"/>
                <w:color w:val="auto"/>
                <w:sz w:val="13"/>
                <w:szCs w:val="13"/>
                <w:highlight w:val="none"/>
                <w:lang w:eastAsia="zh-CN"/>
              </w:rPr>
              <w:t>，</w:t>
            </w:r>
            <w:r>
              <w:rPr>
                <w:rFonts w:hint="eastAsia"/>
                <w:color w:val="auto"/>
                <w:sz w:val="13"/>
                <w:szCs w:val="13"/>
                <w:highlight w:val="none"/>
              </w:rPr>
              <w:t>800万元，其中工程建设费用预算1</w:t>
            </w:r>
            <w:r>
              <w:rPr>
                <w:rFonts w:hint="eastAsia"/>
                <w:color w:val="auto"/>
                <w:sz w:val="13"/>
                <w:szCs w:val="13"/>
                <w:highlight w:val="none"/>
                <w:lang w:eastAsia="zh-CN"/>
              </w:rPr>
              <w:t>，</w:t>
            </w:r>
            <w:r>
              <w:rPr>
                <w:rFonts w:hint="eastAsia"/>
                <w:color w:val="auto"/>
                <w:sz w:val="13"/>
                <w:szCs w:val="13"/>
                <w:highlight w:val="none"/>
              </w:rPr>
              <w:t>665.57万元，根据《关于喀什地区巴楚县2023年城乡义务教育农村校舍安全保障长效机制项目（第一批） 投资评审的报告》（巴发改投评工字〔2023〕77号）</w:t>
            </w:r>
            <w:r>
              <w:rPr>
                <w:color w:val="auto"/>
                <w:sz w:val="13"/>
                <w:szCs w:val="13"/>
                <w:highlight w:val="none"/>
              </w:rPr>
              <w:t>、项目施工合同及中标通知书</w:t>
            </w:r>
            <w:r>
              <w:rPr>
                <w:rFonts w:hint="eastAsia"/>
                <w:color w:val="auto"/>
                <w:sz w:val="13"/>
                <w:szCs w:val="13"/>
                <w:highlight w:val="none"/>
              </w:rPr>
              <w:t>可知，项目工程建设造价经评审审定后为1</w:t>
            </w:r>
            <w:r>
              <w:rPr>
                <w:rFonts w:hint="eastAsia"/>
                <w:color w:val="auto"/>
                <w:sz w:val="13"/>
                <w:szCs w:val="13"/>
                <w:highlight w:val="none"/>
                <w:lang w:eastAsia="zh-CN"/>
              </w:rPr>
              <w:t>，</w:t>
            </w:r>
            <w:r>
              <w:rPr>
                <w:rFonts w:hint="eastAsia"/>
                <w:color w:val="auto"/>
                <w:sz w:val="13"/>
                <w:szCs w:val="13"/>
                <w:highlight w:val="none"/>
              </w:rPr>
              <w:t>567.45万元，并作为招标控制价，实际中标价</w:t>
            </w:r>
            <w:r>
              <w:rPr>
                <w:rFonts w:hint="eastAsia"/>
                <w:color w:val="auto"/>
                <w:sz w:val="13"/>
                <w:szCs w:val="13"/>
                <w:highlight w:val="none"/>
                <w:lang w:val="en-US" w:eastAsia="zh-CN"/>
              </w:rPr>
              <w:t>，</w:t>
            </w:r>
            <w:r>
              <w:rPr>
                <w:rFonts w:hint="eastAsia"/>
                <w:color w:val="auto"/>
                <w:sz w:val="13"/>
                <w:szCs w:val="13"/>
                <w:highlight w:val="none"/>
              </w:rPr>
              <w:t>1478.17万元，工程建设成本预算控制率=（工程建设费用预算价-工程建设合同价）/工程建设费用预算价×100%=</w:t>
            </w:r>
            <w:r>
              <w:rPr>
                <w:rFonts w:hint="eastAsia"/>
                <w:color w:val="auto"/>
                <w:sz w:val="13"/>
                <w:szCs w:val="13"/>
                <w:highlight w:val="none"/>
                <w:lang w:val="en-US" w:eastAsia="zh-CN"/>
              </w:rPr>
              <w:t>5.7</w:t>
            </w:r>
            <w:r>
              <w:rPr>
                <w:rFonts w:hint="eastAsia"/>
                <w:color w:val="auto"/>
                <w:sz w:val="13"/>
                <w:szCs w:val="13"/>
                <w:highlight w:val="none"/>
              </w:rPr>
              <w:t>%，根据评分标准，得满分</w:t>
            </w:r>
            <w:r>
              <w:rPr>
                <w:color w:val="auto"/>
                <w:sz w:val="13"/>
                <w:szCs w:val="13"/>
                <w:highlight w:val="none"/>
              </w:rPr>
              <w:t>。</w:t>
            </w:r>
            <w:r>
              <w:rPr>
                <w:rFonts w:hint="eastAsia" w:ascii="宋体" w:hAnsi="宋体" w:eastAsia="宋体" w:cs="宋体"/>
                <w:color w:val="auto"/>
                <w:kern w:val="0"/>
                <w:sz w:val="13"/>
                <w:szCs w:val="13"/>
                <w:highlight w:val="none"/>
                <w:lang w:bidi="ar"/>
              </w:rPr>
              <w:t>该指标满分为6分，根据评分标准得6分。</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val="en-US" w:eastAsia="zh-CN" w:bidi="ar"/>
              </w:rPr>
              <w:t>0%~15%</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val="en-US" w:eastAsia="zh-CN" w:bidi="ar"/>
              </w:rPr>
              <w:t>5.7</w:t>
            </w:r>
            <w:r>
              <w:rPr>
                <w:rFonts w:hint="eastAsia" w:ascii="宋体" w:hAnsi="宋体" w:eastAsia="宋体" w:cs="宋体"/>
                <w:color w:val="auto"/>
                <w:kern w:val="0"/>
                <w:sz w:val="13"/>
                <w:szCs w:val="13"/>
                <w:highlight w:val="none"/>
                <w:lang w:bidi="ar"/>
              </w:rPr>
              <w:t>%</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6</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6</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657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小计</w:t>
            </w:r>
          </w:p>
        </w:tc>
        <w:tc>
          <w:tcPr>
            <w:tcW w:w="3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30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27</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90%</w:t>
            </w:r>
          </w:p>
        </w:tc>
      </w:tr>
      <w:tr>
        <w:tblPrEx>
          <w:tblCellMar>
            <w:top w:w="0" w:type="dxa"/>
            <w:left w:w="51" w:type="dxa"/>
            <w:bottom w:w="0" w:type="dxa"/>
            <w:right w:w="51" w:type="dxa"/>
          </w:tblCellMar>
        </w:tblPrEx>
        <w:trPr>
          <w:trHeight w:val="261" w:hRule="atLeast"/>
        </w:trPr>
        <w:tc>
          <w:tcPr>
            <w:tcW w:w="6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D效益（35分）</w:t>
            </w:r>
          </w:p>
        </w:tc>
        <w:tc>
          <w:tcPr>
            <w:tcW w:w="7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D1社会效益指标（25分）</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D11维修改造正常运转率</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项目涉及维修改造实施后是否按计划投入使用，正常运转。</w:t>
            </w:r>
          </w:p>
        </w:tc>
        <w:tc>
          <w:tcPr>
            <w:tcW w:w="2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实际完成率=（实际正常使用数/计划使用数）×100</w:t>
            </w:r>
            <w:r>
              <w:rPr>
                <w:rFonts w:hint="eastAsia" w:ascii="宋体" w:hAnsi="宋体" w:eastAsia="宋体" w:cs="宋体"/>
                <w:color w:val="auto"/>
                <w:kern w:val="0"/>
                <w:sz w:val="13"/>
                <w:szCs w:val="13"/>
                <w:highlight w:val="none"/>
                <w:lang w:eastAsia="zh-CN" w:bidi="ar"/>
              </w:rPr>
              <w:t>%</w:t>
            </w:r>
            <w:r>
              <w:rPr>
                <w:rFonts w:hint="eastAsia" w:ascii="宋体" w:hAnsi="宋体" w:eastAsia="宋体" w:cs="宋体"/>
                <w:color w:val="auto"/>
                <w:kern w:val="0"/>
                <w:sz w:val="13"/>
                <w:szCs w:val="13"/>
                <w:highlight w:val="none"/>
                <w:lang w:bidi="ar"/>
              </w:rPr>
              <w:t>。</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实际完成率符合预期指标值得满分；预期指标未完成，且实际完成率大于60%的，按超过的比重赋分，计算公式为：得分=（实际完成率-60%）/（1-60%）×指标分值；完成率小于60%为不及格，不得分。</w:t>
            </w:r>
          </w:p>
        </w:tc>
        <w:tc>
          <w:tcPr>
            <w:tcW w:w="3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经查阅项目资料，结合现场调研情况，该项目完成对14个校园的校舍安全改造，其中巴楚县第八小学实施的附属用房配套、消防、给排水、电气、通风、火灾自动报警等工程为其他项目主体工程的配套工程，由于巴楚县第八小学食堂及宿舍等主体工程未完成竣工，该项目巴楚县第八小学实施的建设内容未投入使用。故维修改造正常运转率=（实际正常运转数量/实际正常运转数量）×100</w:t>
            </w:r>
            <w:r>
              <w:rPr>
                <w:rFonts w:hint="eastAsia" w:ascii="宋体" w:hAnsi="宋体" w:eastAsia="宋体" w:cs="宋体"/>
                <w:color w:val="auto"/>
                <w:kern w:val="0"/>
                <w:sz w:val="13"/>
                <w:szCs w:val="13"/>
                <w:highlight w:val="none"/>
                <w:lang w:eastAsia="zh-CN" w:bidi="ar"/>
              </w:rPr>
              <w:t>%</w:t>
            </w:r>
            <w:r>
              <w:rPr>
                <w:rFonts w:hint="eastAsia" w:ascii="宋体" w:hAnsi="宋体" w:eastAsia="宋体" w:cs="宋体"/>
                <w:color w:val="auto"/>
                <w:kern w:val="0"/>
                <w:sz w:val="13"/>
                <w:szCs w:val="13"/>
                <w:highlight w:val="none"/>
                <w:lang w:bidi="ar"/>
              </w:rPr>
              <w:t>=（13/14）×100</w:t>
            </w:r>
            <w:r>
              <w:rPr>
                <w:rFonts w:hint="eastAsia" w:ascii="宋体" w:hAnsi="宋体" w:eastAsia="宋体" w:cs="宋体"/>
                <w:color w:val="auto"/>
                <w:kern w:val="0"/>
                <w:sz w:val="13"/>
                <w:szCs w:val="13"/>
                <w:highlight w:val="none"/>
                <w:lang w:eastAsia="zh-CN" w:bidi="ar"/>
              </w:rPr>
              <w:t>%</w:t>
            </w:r>
            <w:r>
              <w:rPr>
                <w:rFonts w:hint="eastAsia" w:ascii="宋体" w:hAnsi="宋体" w:eastAsia="宋体" w:cs="宋体"/>
                <w:color w:val="auto"/>
                <w:kern w:val="0"/>
                <w:sz w:val="13"/>
                <w:szCs w:val="13"/>
                <w:highlight w:val="none"/>
                <w:lang w:bidi="ar"/>
              </w:rPr>
              <w:t>=92.86%，根据评分标准，得满分。</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该指标满分为10分，根据评分标准得10分。</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eastAsia="zh-CN" w:bidi="ar"/>
              </w:rPr>
              <w:t>≥</w:t>
            </w:r>
            <w:r>
              <w:rPr>
                <w:rFonts w:hint="eastAsia" w:ascii="宋体" w:hAnsi="宋体" w:eastAsia="宋体" w:cs="宋体"/>
                <w:color w:val="auto"/>
                <w:kern w:val="0"/>
                <w:sz w:val="13"/>
                <w:szCs w:val="13"/>
                <w:highlight w:val="none"/>
                <w:lang w:bidi="ar"/>
              </w:rPr>
              <w:t>90%</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92.86%</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10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10</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p>
        </w:tc>
        <w:tc>
          <w:tcPr>
            <w:tcW w:w="7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D12重大事故发生数</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项目建设过程中是否发生重大事故</w:t>
            </w:r>
          </w:p>
        </w:tc>
        <w:tc>
          <w:tcPr>
            <w:tcW w:w="2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重大事故指在工程建设过程中，由于责任过失造成工程倒塌或报废，机械设备毁坏和安全设施失当造成人身伤亡或者重大经济损失的事故。在实际核查过程中未出现重大安全事故的，得分为满分；否则，得0分。</w:t>
            </w:r>
          </w:p>
        </w:tc>
        <w:tc>
          <w:tcPr>
            <w:tcW w:w="3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根据项目《新疆维吾尔自治区建设工程质量监督报告》，结合绩效评价小组现场勘查并与项目参建单位等进行沟通了解，项目建设过程中未对学校的师生带来重大安全隐患，未发生重大事故，根据评分标准，得满分。</w:t>
            </w:r>
          </w:p>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该指标满分为5分，根据评分标准得5分。</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0件</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0件</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5</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p>
        </w:tc>
        <w:tc>
          <w:tcPr>
            <w:tcW w:w="7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D13提升学校基础设施水平</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社会公众或服务对象对项目实施效果的满意程度。</w:t>
            </w:r>
          </w:p>
        </w:tc>
        <w:tc>
          <w:tcPr>
            <w:tcW w:w="2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指标完成率=∑样本数（“显著”×1.0+“较大”×0.8+“一般”×0.6+“较差”×0.3+“无”×0）/总样本数×100%。</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实际完成值分为基本达成目标、部分实现目标、实现目标程度较低三个档次</w:t>
            </w:r>
            <w:r>
              <w:rPr>
                <w:rFonts w:hint="eastAsia" w:ascii="宋体" w:hAnsi="宋体" w:eastAsia="宋体" w:cs="宋体"/>
                <w:color w:val="auto"/>
                <w:kern w:val="0"/>
                <w:sz w:val="13"/>
                <w:szCs w:val="13"/>
                <w:highlight w:val="none"/>
                <w:lang w:eastAsia="zh-CN" w:bidi="ar"/>
              </w:rPr>
              <w:t>，</w:t>
            </w:r>
            <w:r>
              <w:rPr>
                <w:rFonts w:hint="eastAsia" w:ascii="宋体" w:hAnsi="宋体" w:eastAsia="宋体" w:cs="宋体"/>
                <w:color w:val="auto"/>
                <w:kern w:val="0"/>
                <w:sz w:val="13"/>
                <w:szCs w:val="13"/>
                <w:highlight w:val="none"/>
                <w:lang w:bidi="ar"/>
              </w:rPr>
              <w:t>并分别按照该指标对应分值区间</w:t>
            </w:r>
            <w:r>
              <w:rPr>
                <w:rFonts w:hint="eastAsia" w:ascii="宋体" w:hAnsi="宋体" w:eastAsia="宋体" w:cs="宋体"/>
                <w:color w:val="auto"/>
                <w:kern w:val="0"/>
                <w:sz w:val="13"/>
                <w:szCs w:val="13"/>
                <w:highlight w:val="none"/>
                <w:lang w:eastAsia="zh-CN" w:bidi="ar"/>
              </w:rPr>
              <w:t>100%</w:t>
            </w:r>
            <w:r>
              <w:rPr>
                <w:rFonts w:hint="default" w:ascii="Times New Roman" w:hAnsi="Times New Roman" w:eastAsia="宋体" w:cs="Times New Roman"/>
                <w:color w:val="auto"/>
                <w:kern w:val="0"/>
                <w:sz w:val="13"/>
                <w:szCs w:val="13"/>
                <w:highlight w:val="none"/>
                <w:lang w:eastAsia="zh-CN" w:bidi="ar"/>
              </w:rPr>
              <w:t>~</w:t>
            </w:r>
            <w:r>
              <w:rPr>
                <w:rFonts w:hint="eastAsia" w:ascii="宋体" w:hAnsi="宋体" w:eastAsia="宋体" w:cs="宋体"/>
                <w:color w:val="auto"/>
                <w:kern w:val="0"/>
                <w:sz w:val="13"/>
                <w:szCs w:val="13"/>
                <w:highlight w:val="none"/>
                <w:lang w:eastAsia="zh-CN" w:bidi="ar"/>
              </w:rPr>
              <w:t>80%（</w:t>
            </w:r>
            <w:r>
              <w:rPr>
                <w:rFonts w:hint="eastAsia" w:ascii="宋体" w:hAnsi="宋体" w:eastAsia="宋体" w:cs="宋体"/>
                <w:color w:val="auto"/>
                <w:kern w:val="0"/>
                <w:sz w:val="13"/>
                <w:szCs w:val="13"/>
                <w:highlight w:val="none"/>
                <w:lang w:bidi="ar"/>
              </w:rPr>
              <w:t>含</w:t>
            </w:r>
            <w:r>
              <w:rPr>
                <w:rFonts w:hint="eastAsia" w:ascii="宋体" w:hAnsi="宋体" w:eastAsia="宋体" w:cs="宋体"/>
                <w:color w:val="auto"/>
                <w:kern w:val="0"/>
                <w:sz w:val="13"/>
                <w:szCs w:val="13"/>
                <w:highlight w:val="none"/>
                <w:lang w:eastAsia="zh-CN" w:bidi="ar"/>
              </w:rPr>
              <w:t>）</w:t>
            </w:r>
            <w:r>
              <w:rPr>
                <w:rFonts w:hint="eastAsia" w:ascii="宋体" w:hAnsi="宋体" w:eastAsia="宋体" w:cs="宋体"/>
                <w:color w:val="auto"/>
                <w:kern w:val="0"/>
                <w:sz w:val="13"/>
                <w:szCs w:val="13"/>
                <w:highlight w:val="none"/>
                <w:lang w:bidi="ar"/>
              </w:rPr>
              <w:t>、80%</w:t>
            </w:r>
            <w:r>
              <w:rPr>
                <w:rFonts w:hint="default" w:ascii="Times New Roman" w:hAnsi="Times New Roman" w:eastAsia="宋体" w:cs="Times New Roman"/>
                <w:color w:val="auto"/>
                <w:kern w:val="0"/>
                <w:sz w:val="13"/>
                <w:szCs w:val="13"/>
                <w:highlight w:val="none"/>
                <w:lang w:val="en-US" w:eastAsia="zh-CN" w:bidi="ar"/>
              </w:rPr>
              <w:t>~</w:t>
            </w:r>
            <w:r>
              <w:rPr>
                <w:rFonts w:hint="eastAsia" w:ascii="宋体" w:hAnsi="宋体" w:eastAsia="宋体" w:cs="宋体"/>
                <w:color w:val="auto"/>
                <w:kern w:val="0"/>
                <w:sz w:val="13"/>
                <w:szCs w:val="13"/>
                <w:highlight w:val="none"/>
                <w:lang w:bidi="ar"/>
              </w:rPr>
              <w:t>60%（含</w:t>
            </w:r>
            <w:r>
              <w:rPr>
                <w:rFonts w:hint="eastAsia" w:ascii="宋体" w:hAnsi="宋体" w:eastAsia="宋体" w:cs="宋体"/>
                <w:color w:val="auto"/>
                <w:kern w:val="0"/>
                <w:sz w:val="13"/>
                <w:szCs w:val="13"/>
                <w:highlight w:val="none"/>
                <w:lang w:eastAsia="zh-CN" w:bidi="ar"/>
              </w:rPr>
              <w:t>）</w:t>
            </w:r>
            <w:r>
              <w:rPr>
                <w:rFonts w:hint="eastAsia" w:ascii="宋体" w:hAnsi="宋体" w:eastAsia="宋体" w:cs="宋体"/>
                <w:color w:val="auto"/>
                <w:kern w:val="0"/>
                <w:sz w:val="13"/>
                <w:szCs w:val="13"/>
                <w:highlight w:val="none"/>
                <w:lang w:bidi="ar"/>
              </w:rPr>
              <w:t>、60%</w:t>
            </w:r>
            <w:r>
              <w:rPr>
                <w:rFonts w:hint="default" w:ascii="Times New Roman" w:hAnsi="Times New Roman" w:eastAsia="宋体" w:cs="Times New Roman"/>
                <w:color w:val="auto"/>
                <w:kern w:val="0"/>
                <w:sz w:val="13"/>
                <w:szCs w:val="13"/>
                <w:highlight w:val="none"/>
                <w:lang w:val="en-US" w:eastAsia="zh-CN" w:bidi="ar"/>
              </w:rPr>
              <w:t>~</w:t>
            </w:r>
            <w:r>
              <w:rPr>
                <w:rFonts w:hint="eastAsia" w:ascii="宋体" w:hAnsi="宋体" w:eastAsia="宋体" w:cs="宋体"/>
                <w:color w:val="auto"/>
                <w:kern w:val="0"/>
                <w:sz w:val="13"/>
                <w:szCs w:val="13"/>
                <w:highlight w:val="none"/>
                <w:lang w:bidi="ar"/>
              </w:rPr>
              <w:t>0%合理确定分值。</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①指标完成率在</w:t>
            </w:r>
            <w:r>
              <w:rPr>
                <w:rFonts w:hint="eastAsia" w:ascii="宋体" w:hAnsi="宋体" w:eastAsia="宋体" w:cs="宋体"/>
                <w:color w:val="auto"/>
                <w:kern w:val="0"/>
                <w:sz w:val="13"/>
                <w:szCs w:val="13"/>
                <w:highlight w:val="none"/>
                <w:lang w:eastAsia="zh-CN" w:bidi="ar"/>
              </w:rPr>
              <w:t>100%</w:t>
            </w:r>
            <w:r>
              <w:rPr>
                <w:rFonts w:hint="default" w:ascii="Times New Roman" w:hAnsi="Times New Roman" w:eastAsia="宋体" w:cs="Times New Roman"/>
                <w:color w:val="auto"/>
                <w:kern w:val="0"/>
                <w:sz w:val="13"/>
                <w:szCs w:val="13"/>
                <w:highlight w:val="none"/>
                <w:lang w:val="en-US" w:eastAsia="zh-CN" w:bidi="ar"/>
              </w:rPr>
              <w:t>~</w:t>
            </w:r>
            <w:r>
              <w:rPr>
                <w:rFonts w:hint="eastAsia" w:ascii="宋体" w:hAnsi="宋体" w:eastAsia="宋体" w:cs="宋体"/>
                <w:color w:val="auto"/>
                <w:kern w:val="0"/>
                <w:sz w:val="13"/>
                <w:szCs w:val="13"/>
                <w:highlight w:val="none"/>
                <w:lang w:eastAsia="zh-CN" w:bidi="ar"/>
              </w:rPr>
              <w:t>80%</w:t>
            </w:r>
            <w:r>
              <w:rPr>
                <w:rFonts w:hint="eastAsia" w:ascii="宋体" w:hAnsi="宋体" w:eastAsia="宋体" w:cs="宋体"/>
                <w:color w:val="auto"/>
                <w:kern w:val="0"/>
                <w:sz w:val="13"/>
                <w:szCs w:val="13"/>
                <w:highlight w:val="none"/>
                <w:lang w:bidi="ar"/>
              </w:rPr>
              <w:t>之间，得满分；</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②指标完成率在80%</w:t>
            </w:r>
            <w:r>
              <w:rPr>
                <w:rFonts w:hint="default" w:ascii="Times New Roman" w:hAnsi="Times New Roman" w:eastAsia="宋体" w:cs="Times New Roman"/>
                <w:color w:val="auto"/>
                <w:kern w:val="0"/>
                <w:sz w:val="13"/>
                <w:szCs w:val="13"/>
                <w:highlight w:val="none"/>
                <w:lang w:val="en-US" w:eastAsia="zh-CN" w:bidi="ar"/>
              </w:rPr>
              <w:t>~</w:t>
            </w:r>
            <w:r>
              <w:rPr>
                <w:rFonts w:hint="eastAsia" w:ascii="宋体" w:hAnsi="宋体" w:eastAsia="宋体" w:cs="宋体"/>
                <w:color w:val="auto"/>
                <w:kern w:val="0"/>
                <w:sz w:val="13"/>
                <w:szCs w:val="13"/>
                <w:highlight w:val="none"/>
                <w:lang w:bidi="ar"/>
              </w:rPr>
              <w:t>60%之间，得分=指标完成率×标杆分值；</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③指标完成率小于60%为不及格，不得分。</w:t>
            </w:r>
          </w:p>
        </w:tc>
        <w:tc>
          <w:tcPr>
            <w:tcW w:w="3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根据《喀什地区巴楚县2023年城乡义务教育农村校舍安全保障长效机制项目（第一批）调研问卷》统计结果，满意度调研问卷对象为受益学生和老师，共发放问卷</w:t>
            </w:r>
            <w:r>
              <w:rPr>
                <w:rFonts w:hint="eastAsia" w:ascii="宋体" w:hAnsi="宋体" w:eastAsia="宋体" w:cs="宋体"/>
                <w:color w:val="auto"/>
                <w:kern w:val="0"/>
                <w:sz w:val="13"/>
                <w:szCs w:val="13"/>
                <w:highlight w:val="none"/>
                <w:lang w:eastAsia="zh-CN" w:bidi="ar"/>
              </w:rPr>
              <w:t>1320份</w:t>
            </w:r>
            <w:r>
              <w:rPr>
                <w:rFonts w:hint="eastAsia" w:ascii="宋体" w:hAnsi="宋体" w:eastAsia="宋体" w:cs="宋体"/>
                <w:color w:val="auto"/>
                <w:kern w:val="0"/>
                <w:sz w:val="13"/>
                <w:szCs w:val="13"/>
                <w:highlight w:val="none"/>
                <w:lang w:bidi="ar"/>
              </w:rPr>
              <w:t>，收回有效问卷</w:t>
            </w:r>
            <w:r>
              <w:rPr>
                <w:rFonts w:hint="eastAsia" w:ascii="宋体" w:hAnsi="宋体" w:eastAsia="宋体" w:cs="宋体"/>
                <w:color w:val="auto"/>
                <w:kern w:val="0"/>
                <w:sz w:val="13"/>
                <w:szCs w:val="13"/>
                <w:highlight w:val="none"/>
                <w:lang w:eastAsia="zh-CN" w:bidi="ar"/>
              </w:rPr>
              <w:t>1320</w:t>
            </w:r>
            <w:r>
              <w:rPr>
                <w:rFonts w:hint="eastAsia" w:ascii="宋体" w:hAnsi="宋体" w:eastAsia="宋体" w:cs="宋体"/>
                <w:color w:val="auto"/>
                <w:kern w:val="0"/>
                <w:sz w:val="13"/>
                <w:szCs w:val="13"/>
                <w:highlight w:val="none"/>
                <w:lang w:bidi="ar"/>
              </w:rPr>
              <w:t>份，问卷共设计8个问题，其中问题2至问题5从校园改造情况、住宿改善情况、校园安全状况、设施维修状况四个方面进行关于项目提升学校基础设施水平的调研，根据问卷统计结果，取综合满意度为85.22%，根据评分标准，指标完成率在</w:t>
            </w:r>
            <w:r>
              <w:rPr>
                <w:rFonts w:hint="eastAsia" w:ascii="宋体" w:hAnsi="宋体" w:eastAsia="宋体" w:cs="宋体"/>
                <w:color w:val="auto"/>
                <w:kern w:val="0"/>
                <w:sz w:val="13"/>
                <w:szCs w:val="13"/>
                <w:highlight w:val="none"/>
                <w:lang w:eastAsia="zh-CN" w:bidi="ar"/>
              </w:rPr>
              <w:t>100%~80%</w:t>
            </w:r>
            <w:r>
              <w:rPr>
                <w:rFonts w:hint="eastAsia" w:ascii="宋体" w:hAnsi="宋体" w:eastAsia="宋体" w:cs="宋体"/>
                <w:color w:val="auto"/>
                <w:kern w:val="0"/>
                <w:sz w:val="13"/>
                <w:szCs w:val="13"/>
                <w:highlight w:val="none"/>
                <w:lang w:bidi="ar"/>
              </w:rPr>
              <w:t>之间，得满分。</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该指标满分为10分，根据评分标准得10分。</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有效提高</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基本达成目标</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10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10</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100%</w:t>
            </w:r>
          </w:p>
        </w:tc>
      </w:tr>
      <w:tr>
        <w:tblPrEx>
          <w:tblCellMar>
            <w:top w:w="0" w:type="dxa"/>
            <w:left w:w="51" w:type="dxa"/>
            <w:bottom w:w="0" w:type="dxa"/>
            <w:right w:w="51" w:type="dxa"/>
          </w:tblCellMar>
        </w:tblPrEx>
        <w:trPr>
          <w:trHeight w:val="261" w:hRule="atLeast"/>
        </w:trPr>
        <w:tc>
          <w:tcPr>
            <w:tcW w:w="6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p>
        </w:tc>
        <w:tc>
          <w:tcPr>
            <w:tcW w:w="7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D2服务对象满意度指标（10分）</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D21受益教师及学生满意度</w:t>
            </w:r>
          </w:p>
        </w:tc>
        <w:tc>
          <w:tcPr>
            <w:tcW w:w="1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社会公众或服务对象对项目实施效果的满意程度。</w:t>
            </w:r>
          </w:p>
        </w:tc>
        <w:tc>
          <w:tcPr>
            <w:tcW w:w="2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指标完成率=∑样本数（“显著”×1.0+“较大”×0.8+“一般”×0.6+“较差”×0.3+“无”×0）/总样本数×100%。</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据满意度问卷统计情况计算满意度，满意度调查结果大于等于90%</w:t>
            </w:r>
            <w:r>
              <w:rPr>
                <w:rFonts w:hint="eastAsia" w:ascii="宋体" w:hAnsi="宋体" w:eastAsia="宋体" w:cs="宋体"/>
                <w:color w:val="auto"/>
                <w:kern w:val="0"/>
                <w:sz w:val="13"/>
                <w:szCs w:val="13"/>
                <w:highlight w:val="none"/>
                <w:lang w:eastAsia="zh-CN" w:bidi="ar"/>
              </w:rPr>
              <w:t>，</w:t>
            </w:r>
            <w:r>
              <w:rPr>
                <w:rFonts w:hint="eastAsia" w:ascii="宋体" w:hAnsi="宋体" w:eastAsia="宋体" w:cs="宋体"/>
                <w:color w:val="auto"/>
                <w:kern w:val="0"/>
                <w:sz w:val="13"/>
                <w:szCs w:val="13"/>
                <w:highlight w:val="none"/>
                <w:lang w:bidi="ar"/>
              </w:rPr>
              <w:t>得满分；满意度调查结果大于60%且小于90%的，按超过的比重赋分，计算公式为：得分=（实际完成率-60%）/（</w:t>
            </w:r>
            <w:r>
              <w:rPr>
                <w:rFonts w:hint="eastAsia" w:ascii="宋体" w:hAnsi="宋体" w:eastAsia="宋体" w:cs="宋体"/>
                <w:color w:val="auto"/>
                <w:kern w:val="0"/>
                <w:sz w:val="13"/>
                <w:szCs w:val="13"/>
                <w:highlight w:val="none"/>
                <w:lang w:eastAsia="zh-CN" w:bidi="ar"/>
              </w:rPr>
              <w:t>90%</w:t>
            </w:r>
            <w:r>
              <w:rPr>
                <w:rFonts w:hint="eastAsia" w:ascii="宋体" w:hAnsi="宋体" w:eastAsia="宋体" w:cs="宋体"/>
                <w:color w:val="auto"/>
                <w:kern w:val="0"/>
                <w:sz w:val="13"/>
                <w:szCs w:val="13"/>
                <w:highlight w:val="none"/>
                <w:lang w:val="en-US" w:eastAsia="zh-CN" w:bidi="ar"/>
              </w:rPr>
              <w:t>-</w:t>
            </w:r>
            <w:r>
              <w:rPr>
                <w:rFonts w:hint="eastAsia" w:ascii="宋体" w:hAnsi="宋体" w:eastAsia="宋体" w:cs="宋体"/>
                <w:color w:val="auto"/>
                <w:kern w:val="0"/>
                <w:sz w:val="13"/>
                <w:szCs w:val="13"/>
                <w:highlight w:val="none"/>
                <w:lang w:eastAsia="zh-CN" w:bidi="ar"/>
              </w:rPr>
              <w:t>60%</w:t>
            </w:r>
            <w:r>
              <w:rPr>
                <w:rFonts w:hint="eastAsia" w:ascii="宋体" w:hAnsi="宋体" w:eastAsia="宋体" w:cs="宋体"/>
                <w:color w:val="auto"/>
                <w:kern w:val="0"/>
                <w:sz w:val="13"/>
                <w:szCs w:val="13"/>
                <w:highlight w:val="none"/>
                <w:lang w:bidi="ar"/>
              </w:rPr>
              <w:t>）×指标分值；完成率小于60%为不及格，不得分。</w:t>
            </w:r>
          </w:p>
        </w:tc>
        <w:tc>
          <w:tcPr>
            <w:tcW w:w="3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根据《喀什地区巴楚县2023年城乡义务教育农村校舍安全保障长效机制项目（第一批）调研问卷》统计结果，满意度调研问卷对象为受益学生和老师，共发放问卷</w:t>
            </w:r>
            <w:r>
              <w:rPr>
                <w:rFonts w:hint="eastAsia" w:ascii="宋体" w:hAnsi="宋体" w:eastAsia="宋体" w:cs="宋体"/>
                <w:color w:val="auto"/>
                <w:kern w:val="0"/>
                <w:sz w:val="13"/>
                <w:szCs w:val="13"/>
                <w:highlight w:val="none"/>
                <w:lang w:eastAsia="zh-CN" w:bidi="ar"/>
              </w:rPr>
              <w:t>1320份</w:t>
            </w:r>
            <w:r>
              <w:rPr>
                <w:rFonts w:hint="eastAsia" w:ascii="宋体" w:hAnsi="宋体" w:eastAsia="宋体" w:cs="宋体"/>
                <w:color w:val="auto"/>
                <w:kern w:val="0"/>
                <w:sz w:val="13"/>
                <w:szCs w:val="13"/>
                <w:highlight w:val="none"/>
                <w:lang w:bidi="ar"/>
              </w:rPr>
              <w:t>，收回有效问卷</w:t>
            </w:r>
            <w:r>
              <w:rPr>
                <w:rFonts w:hint="eastAsia" w:ascii="宋体" w:hAnsi="宋体" w:eastAsia="宋体" w:cs="宋体"/>
                <w:color w:val="auto"/>
                <w:kern w:val="0"/>
                <w:sz w:val="13"/>
                <w:szCs w:val="13"/>
                <w:highlight w:val="none"/>
                <w:lang w:eastAsia="zh-CN" w:bidi="ar"/>
              </w:rPr>
              <w:t>1320</w:t>
            </w:r>
            <w:r>
              <w:rPr>
                <w:rFonts w:hint="eastAsia" w:ascii="宋体" w:hAnsi="宋体" w:eastAsia="宋体" w:cs="宋体"/>
                <w:color w:val="auto"/>
                <w:kern w:val="0"/>
                <w:sz w:val="13"/>
                <w:szCs w:val="13"/>
                <w:highlight w:val="none"/>
                <w:lang w:bidi="ar"/>
              </w:rPr>
              <w:t>份，问卷共设计8个问题，其中问题2至问题7从校园改造情况、安全状况、设施维修、安全教育等方面进行满意度调研，根据问卷统计结果，取综合满意度为87.69%，得分=（实际完成率-60%）/（</w:t>
            </w:r>
            <w:r>
              <w:rPr>
                <w:rFonts w:hint="eastAsia" w:ascii="宋体" w:hAnsi="宋体" w:eastAsia="宋体" w:cs="宋体"/>
                <w:color w:val="auto"/>
                <w:kern w:val="0"/>
                <w:sz w:val="13"/>
                <w:szCs w:val="13"/>
                <w:highlight w:val="none"/>
                <w:lang w:eastAsia="zh-CN" w:bidi="ar"/>
              </w:rPr>
              <w:t>90%~60%</w:t>
            </w:r>
            <w:r>
              <w:rPr>
                <w:rFonts w:hint="eastAsia" w:ascii="宋体" w:hAnsi="宋体" w:eastAsia="宋体" w:cs="宋体"/>
                <w:color w:val="auto"/>
                <w:kern w:val="0"/>
                <w:sz w:val="13"/>
                <w:szCs w:val="13"/>
                <w:highlight w:val="none"/>
                <w:lang w:bidi="ar"/>
              </w:rPr>
              <w:t>）×指标分值=（</w:t>
            </w:r>
            <w:r>
              <w:rPr>
                <w:rFonts w:hint="eastAsia" w:ascii="宋体" w:hAnsi="宋体" w:eastAsia="宋体" w:cs="宋体"/>
                <w:color w:val="auto"/>
                <w:kern w:val="0"/>
                <w:sz w:val="13"/>
                <w:szCs w:val="13"/>
                <w:highlight w:val="none"/>
                <w:lang w:eastAsia="zh-CN" w:bidi="ar"/>
              </w:rPr>
              <w:t>87.69%~60%</w:t>
            </w:r>
            <w:r>
              <w:rPr>
                <w:rFonts w:hint="eastAsia" w:ascii="宋体" w:hAnsi="宋体" w:eastAsia="宋体" w:cs="宋体"/>
                <w:color w:val="auto"/>
                <w:kern w:val="0"/>
                <w:sz w:val="13"/>
                <w:szCs w:val="13"/>
                <w:highlight w:val="none"/>
                <w:lang w:bidi="ar"/>
              </w:rPr>
              <w:t>）/（</w:t>
            </w:r>
            <w:r>
              <w:rPr>
                <w:rFonts w:hint="eastAsia" w:ascii="宋体" w:hAnsi="宋体" w:eastAsia="宋体" w:cs="宋体"/>
                <w:color w:val="auto"/>
                <w:kern w:val="0"/>
                <w:sz w:val="13"/>
                <w:szCs w:val="13"/>
                <w:highlight w:val="none"/>
                <w:lang w:eastAsia="zh-CN" w:bidi="ar"/>
              </w:rPr>
              <w:t>90%~60%</w:t>
            </w:r>
            <w:r>
              <w:rPr>
                <w:rFonts w:hint="eastAsia" w:ascii="宋体" w:hAnsi="宋体" w:eastAsia="宋体" w:cs="宋体"/>
                <w:color w:val="auto"/>
                <w:kern w:val="0"/>
                <w:sz w:val="13"/>
                <w:szCs w:val="13"/>
                <w:highlight w:val="none"/>
                <w:lang w:bidi="ar"/>
              </w:rPr>
              <w:t>）×10=9.23分。</w:t>
            </w:r>
          </w:p>
          <w:p>
            <w:pPr>
              <w:keepNext/>
              <w:keepLines/>
              <w:widowControl w:val="0"/>
              <w:adjustRightInd w:val="0"/>
              <w:snapToGrid w:val="0"/>
              <w:spacing w:line="240" w:lineRule="auto"/>
              <w:ind w:firstLine="0" w:firstLineChars="0"/>
              <w:jc w:val="left"/>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该指标满分为10分，根据评分标准得9.23分。</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eastAsia="zh-CN" w:bidi="ar"/>
              </w:rPr>
              <w:t>≥</w:t>
            </w:r>
            <w:r>
              <w:rPr>
                <w:rFonts w:hint="eastAsia" w:ascii="宋体" w:hAnsi="宋体" w:eastAsia="宋体" w:cs="宋体"/>
                <w:color w:val="auto"/>
                <w:kern w:val="0"/>
                <w:sz w:val="13"/>
                <w:szCs w:val="13"/>
                <w:highlight w:val="none"/>
                <w:lang w:bidi="ar"/>
              </w:rPr>
              <w:t>90%</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87.69%</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10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9.23</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92</w:t>
            </w:r>
            <w:r>
              <w:rPr>
                <w:rFonts w:hint="eastAsia" w:ascii="宋体" w:hAnsi="宋体" w:eastAsia="宋体" w:cs="宋体"/>
                <w:color w:val="auto"/>
                <w:kern w:val="0"/>
                <w:sz w:val="13"/>
                <w:szCs w:val="13"/>
                <w:highlight w:val="none"/>
                <w:lang w:eastAsia="zh-CN" w:bidi="ar"/>
              </w:rPr>
              <w:t>.3</w:t>
            </w:r>
            <w:r>
              <w:rPr>
                <w:rFonts w:hint="eastAsia" w:ascii="宋体" w:hAnsi="宋体" w:eastAsia="宋体" w:cs="宋体"/>
                <w:color w:val="auto"/>
                <w:kern w:val="0"/>
                <w:sz w:val="13"/>
                <w:szCs w:val="13"/>
                <w:highlight w:val="none"/>
                <w:lang w:bidi="ar"/>
              </w:rPr>
              <w:t>%</w:t>
            </w:r>
          </w:p>
        </w:tc>
      </w:tr>
      <w:tr>
        <w:tblPrEx>
          <w:tblCellMar>
            <w:top w:w="0" w:type="dxa"/>
            <w:left w:w="51" w:type="dxa"/>
            <w:bottom w:w="0" w:type="dxa"/>
            <w:right w:w="51" w:type="dxa"/>
          </w:tblCellMar>
        </w:tblPrEx>
        <w:trPr>
          <w:trHeight w:val="261" w:hRule="atLeast"/>
        </w:trPr>
        <w:tc>
          <w:tcPr>
            <w:tcW w:w="657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小计</w:t>
            </w:r>
          </w:p>
        </w:tc>
        <w:tc>
          <w:tcPr>
            <w:tcW w:w="3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35</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34.23</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97</w:t>
            </w:r>
            <w:r>
              <w:rPr>
                <w:rFonts w:hint="eastAsia" w:ascii="宋体" w:hAnsi="宋体" w:eastAsia="宋体" w:cs="宋体"/>
                <w:color w:val="auto"/>
                <w:kern w:val="0"/>
                <w:sz w:val="13"/>
                <w:szCs w:val="13"/>
                <w:highlight w:val="none"/>
                <w:lang w:eastAsia="zh-CN" w:bidi="ar"/>
              </w:rPr>
              <w:t>.8</w:t>
            </w:r>
            <w:r>
              <w:rPr>
                <w:rFonts w:hint="eastAsia" w:ascii="宋体" w:hAnsi="宋体" w:eastAsia="宋体" w:cs="宋体"/>
                <w:color w:val="auto"/>
                <w:kern w:val="0"/>
                <w:sz w:val="13"/>
                <w:szCs w:val="13"/>
                <w:highlight w:val="none"/>
                <w:lang w:bidi="ar"/>
              </w:rPr>
              <w:t>%</w:t>
            </w:r>
          </w:p>
        </w:tc>
      </w:tr>
      <w:tr>
        <w:tblPrEx>
          <w:tblCellMar>
            <w:top w:w="0" w:type="dxa"/>
            <w:left w:w="51" w:type="dxa"/>
            <w:bottom w:w="0" w:type="dxa"/>
            <w:right w:w="51" w:type="dxa"/>
          </w:tblCellMar>
        </w:tblPrEx>
        <w:trPr>
          <w:trHeight w:val="261" w:hRule="atLeast"/>
        </w:trPr>
        <w:tc>
          <w:tcPr>
            <w:tcW w:w="657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合计</w:t>
            </w:r>
          </w:p>
        </w:tc>
        <w:tc>
          <w:tcPr>
            <w:tcW w:w="3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eastAsia="zh-CN" w:bidi="ar"/>
              </w:rPr>
            </w:pPr>
            <w:r>
              <w:rPr>
                <w:rFonts w:hint="eastAsia" w:ascii="宋体" w:hAnsi="宋体" w:eastAsia="宋体" w:cs="宋体"/>
                <w:color w:val="auto"/>
                <w:kern w:val="0"/>
                <w:sz w:val="13"/>
                <w:szCs w:val="13"/>
                <w:highlight w:val="none"/>
                <w:lang w:bidi="ar"/>
              </w:rPr>
              <w:t>100</w:t>
            </w:r>
          </w:p>
        </w:tc>
        <w:tc>
          <w:tcPr>
            <w:tcW w:w="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88.83</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widowControl w:val="0"/>
              <w:spacing w:line="240" w:lineRule="auto"/>
              <w:ind w:firstLine="0" w:firstLineChars="0"/>
              <w:jc w:val="center"/>
              <w:textAlignment w:val="center"/>
              <w:rPr>
                <w:rFonts w:hint="eastAsia" w:ascii="宋体" w:hAnsi="宋体" w:eastAsia="宋体" w:cs="宋体"/>
                <w:color w:val="auto"/>
                <w:kern w:val="0"/>
                <w:sz w:val="13"/>
                <w:szCs w:val="13"/>
                <w:highlight w:val="none"/>
                <w:lang w:bidi="ar"/>
              </w:rPr>
            </w:pPr>
            <w:r>
              <w:rPr>
                <w:rFonts w:hint="eastAsia" w:ascii="宋体" w:hAnsi="宋体" w:eastAsia="宋体" w:cs="宋体"/>
                <w:color w:val="auto"/>
                <w:kern w:val="0"/>
                <w:sz w:val="13"/>
                <w:szCs w:val="13"/>
                <w:highlight w:val="none"/>
                <w:lang w:bidi="ar"/>
              </w:rPr>
              <w:t>88.83%</w:t>
            </w:r>
          </w:p>
        </w:tc>
      </w:tr>
    </w:tbl>
    <w:p>
      <w:pPr>
        <w:pStyle w:val="2"/>
        <w:ind w:firstLine="0" w:firstLineChars="0"/>
        <w:rPr>
          <w:color w:val="auto"/>
          <w:highlight w:val="none"/>
        </w:rPr>
      </w:pPr>
      <w:bookmarkStart w:id="337" w:name="_Toc16734"/>
      <w:bookmarkStart w:id="338" w:name="_Toc15711"/>
      <w:bookmarkStart w:id="339" w:name="_Toc20147"/>
      <w:bookmarkStart w:id="340" w:name="_Toc17136"/>
      <w:bookmarkStart w:id="341" w:name="_Toc16035"/>
      <w:r>
        <w:rPr>
          <w:color w:val="auto"/>
          <w:highlight w:val="none"/>
        </w:rPr>
        <w:t>附件2：</w:t>
      </w:r>
      <w:bookmarkEnd w:id="337"/>
      <w:bookmarkEnd w:id="338"/>
      <w:bookmarkEnd w:id="339"/>
      <w:bookmarkEnd w:id="340"/>
      <w:bookmarkEnd w:id="341"/>
    </w:p>
    <w:p>
      <w:pPr>
        <w:pStyle w:val="7"/>
        <w:keepNext/>
        <w:keepLines/>
        <w:ind w:firstLine="0" w:firstLineChars="0"/>
        <w:jc w:val="center"/>
        <w:rPr>
          <w:rFonts w:ascii="宋体" w:hAnsi="宋体" w:eastAsia="宋体" w:cs="宋体"/>
          <w:b/>
          <w:bCs/>
          <w:color w:val="auto"/>
          <w:sz w:val="22"/>
          <w:szCs w:val="24"/>
          <w:highlight w:val="none"/>
        </w:rPr>
      </w:pPr>
      <w:r>
        <w:rPr>
          <w:rFonts w:hint="eastAsia" w:ascii="宋体" w:hAnsi="宋体" w:eastAsia="宋体" w:cs="宋体"/>
          <w:b/>
          <w:bCs/>
          <w:color w:val="auto"/>
          <w:sz w:val="22"/>
          <w:szCs w:val="24"/>
          <w:highlight w:val="none"/>
        </w:rPr>
        <w:t>基础表：喀什地区巴楚县2023年城乡义务教育农村校舍安全保障长效机制项目（第一批）基本建设情况</w:t>
      </w:r>
    </w:p>
    <w:tbl>
      <w:tblPr>
        <w:tblStyle w:val="19"/>
        <w:tblW w:w="1417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01"/>
        <w:gridCol w:w="1022"/>
        <w:gridCol w:w="1250"/>
        <w:gridCol w:w="1417"/>
        <w:gridCol w:w="1300"/>
        <w:gridCol w:w="1716"/>
        <w:gridCol w:w="61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0" w:hRule="atLeast"/>
          <w:tblHeader/>
        </w:trPr>
        <w:tc>
          <w:tcPr>
            <w:tcW w:w="1301" w:type="dxa"/>
            <w:tcBorders>
              <w:tl2br w:val="nil"/>
              <w:tr2bl w:val="nil"/>
            </w:tcBorders>
            <w:shd w:val="clear" w:color="auto" w:fill="auto"/>
            <w:vAlign w:val="center"/>
          </w:tcPr>
          <w:p>
            <w:pPr>
              <w:keepNext/>
              <w:keepLines/>
              <w:spacing w:line="240" w:lineRule="auto"/>
              <w:ind w:firstLine="0" w:firstLineChars="0"/>
              <w:jc w:val="center"/>
              <w:textAlignment w:val="center"/>
              <w:rPr>
                <w:rFonts w:eastAsia="宋体"/>
                <w:b/>
                <w:bCs/>
                <w:color w:val="auto"/>
                <w:sz w:val="18"/>
                <w:szCs w:val="18"/>
                <w:highlight w:val="none"/>
              </w:rPr>
            </w:pPr>
            <w:r>
              <w:rPr>
                <w:rFonts w:eastAsia="宋体"/>
                <w:b/>
                <w:bCs/>
                <w:color w:val="auto"/>
                <w:kern w:val="0"/>
                <w:sz w:val="18"/>
                <w:szCs w:val="18"/>
                <w:highlight w:val="none"/>
                <w:lang w:bidi="ar"/>
              </w:rPr>
              <w:t>项目主管单位</w:t>
            </w:r>
          </w:p>
        </w:tc>
        <w:tc>
          <w:tcPr>
            <w:tcW w:w="1022" w:type="dxa"/>
            <w:tcBorders>
              <w:tl2br w:val="nil"/>
              <w:tr2bl w:val="nil"/>
            </w:tcBorders>
            <w:shd w:val="clear" w:color="auto" w:fill="auto"/>
            <w:vAlign w:val="center"/>
          </w:tcPr>
          <w:p>
            <w:pPr>
              <w:keepNext/>
              <w:keepLines/>
              <w:spacing w:line="240" w:lineRule="auto"/>
              <w:ind w:firstLine="0" w:firstLineChars="0"/>
              <w:jc w:val="center"/>
              <w:textAlignment w:val="center"/>
              <w:rPr>
                <w:rFonts w:eastAsia="宋体"/>
                <w:b/>
                <w:bCs/>
                <w:color w:val="auto"/>
                <w:sz w:val="18"/>
                <w:szCs w:val="18"/>
                <w:highlight w:val="none"/>
              </w:rPr>
            </w:pPr>
            <w:r>
              <w:rPr>
                <w:rFonts w:eastAsia="宋体"/>
                <w:b/>
                <w:bCs/>
                <w:color w:val="auto"/>
                <w:kern w:val="0"/>
                <w:sz w:val="18"/>
                <w:szCs w:val="18"/>
                <w:highlight w:val="none"/>
                <w:lang w:bidi="ar"/>
              </w:rPr>
              <w:t>施工单位</w:t>
            </w:r>
          </w:p>
        </w:tc>
        <w:tc>
          <w:tcPr>
            <w:tcW w:w="1250" w:type="dxa"/>
            <w:tcBorders>
              <w:tl2br w:val="nil"/>
              <w:tr2bl w:val="nil"/>
            </w:tcBorders>
            <w:shd w:val="clear" w:color="auto" w:fill="auto"/>
            <w:vAlign w:val="center"/>
          </w:tcPr>
          <w:p>
            <w:pPr>
              <w:keepNext/>
              <w:keepLines/>
              <w:spacing w:line="240" w:lineRule="auto"/>
              <w:ind w:firstLine="0" w:firstLineChars="0"/>
              <w:jc w:val="center"/>
              <w:textAlignment w:val="center"/>
              <w:rPr>
                <w:rFonts w:eastAsia="宋体"/>
                <w:b/>
                <w:bCs/>
                <w:color w:val="auto"/>
                <w:sz w:val="18"/>
                <w:szCs w:val="18"/>
                <w:highlight w:val="none"/>
              </w:rPr>
            </w:pPr>
            <w:r>
              <w:rPr>
                <w:rFonts w:eastAsia="宋体"/>
                <w:b/>
                <w:bCs/>
                <w:color w:val="auto"/>
                <w:kern w:val="0"/>
                <w:sz w:val="18"/>
                <w:szCs w:val="18"/>
                <w:highlight w:val="none"/>
                <w:lang w:bidi="ar"/>
              </w:rPr>
              <w:t>合同工期</w:t>
            </w:r>
          </w:p>
        </w:tc>
        <w:tc>
          <w:tcPr>
            <w:tcW w:w="1417" w:type="dxa"/>
            <w:tcBorders>
              <w:tl2br w:val="nil"/>
              <w:tr2bl w:val="nil"/>
            </w:tcBorders>
            <w:shd w:val="clear" w:color="auto" w:fill="auto"/>
            <w:vAlign w:val="center"/>
          </w:tcPr>
          <w:p>
            <w:pPr>
              <w:keepNext/>
              <w:keepLines/>
              <w:spacing w:line="240" w:lineRule="auto"/>
              <w:ind w:firstLine="0" w:firstLineChars="0"/>
              <w:jc w:val="center"/>
              <w:textAlignment w:val="center"/>
              <w:rPr>
                <w:rFonts w:eastAsia="宋体"/>
                <w:b/>
                <w:bCs/>
                <w:color w:val="auto"/>
                <w:sz w:val="18"/>
                <w:szCs w:val="18"/>
                <w:highlight w:val="none"/>
              </w:rPr>
            </w:pPr>
            <w:r>
              <w:rPr>
                <w:rFonts w:eastAsia="宋体"/>
                <w:b/>
                <w:bCs/>
                <w:color w:val="auto"/>
                <w:kern w:val="0"/>
                <w:sz w:val="18"/>
                <w:szCs w:val="18"/>
                <w:highlight w:val="none"/>
                <w:lang w:bidi="ar"/>
              </w:rPr>
              <w:t>实际建设时间</w:t>
            </w:r>
          </w:p>
        </w:tc>
        <w:tc>
          <w:tcPr>
            <w:tcW w:w="1300" w:type="dxa"/>
            <w:tcBorders>
              <w:tl2br w:val="nil"/>
              <w:tr2bl w:val="nil"/>
            </w:tcBorders>
            <w:shd w:val="clear" w:color="auto" w:fill="auto"/>
            <w:vAlign w:val="center"/>
          </w:tcPr>
          <w:p>
            <w:pPr>
              <w:keepNext/>
              <w:keepLines/>
              <w:spacing w:line="240" w:lineRule="auto"/>
              <w:ind w:firstLine="0" w:firstLineChars="0"/>
              <w:jc w:val="center"/>
              <w:textAlignment w:val="center"/>
              <w:rPr>
                <w:rFonts w:hint="eastAsia" w:eastAsia="宋体"/>
                <w:b/>
                <w:bCs/>
                <w:color w:val="auto"/>
                <w:sz w:val="18"/>
                <w:szCs w:val="18"/>
                <w:highlight w:val="none"/>
                <w:lang w:eastAsia="zh-CN"/>
              </w:rPr>
            </w:pPr>
            <w:r>
              <w:rPr>
                <w:rFonts w:hint="eastAsia" w:eastAsia="宋体"/>
                <w:b/>
                <w:bCs/>
                <w:color w:val="auto"/>
                <w:kern w:val="0"/>
                <w:sz w:val="18"/>
                <w:szCs w:val="18"/>
                <w:highlight w:val="none"/>
                <w:lang w:val="en-US" w:eastAsia="zh-CN" w:bidi="ar"/>
              </w:rPr>
              <w:t>完成情况</w:t>
            </w:r>
          </w:p>
        </w:tc>
        <w:tc>
          <w:tcPr>
            <w:tcW w:w="1716" w:type="dxa"/>
            <w:tcBorders>
              <w:tl2br w:val="nil"/>
              <w:tr2bl w:val="nil"/>
            </w:tcBorders>
            <w:shd w:val="clear" w:color="auto" w:fill="auto"/>
            <w:vAlign w:val="center"/>
          </w:tcPr>
          <w:p>
            <w:pPr>
              <w:keepNext/>
              <w:keepLines/>
              <w:spacing w:line="240" w:lineRule="auto"/>
              <w:ind w:firstLine="0" w:firstLineChars="0"/>
              <w:jc w:val="center"/>
              <w:textAlignment w:val="center"/>
              <w:rPr>
                <w:rFonts w:hint="default" w:eastAsia="宋体"/>
                <w:b/>
                <w:bCs/>
                <w:color w:val="auto"/>
                <w:kern w:val="0"/>
                <w:sz w:val="18"/>
                <w:szCs w:val="18"/>
                <w:highlight w:val="none"/>
                <w:lang w:val="en-US" w:eastAsia="zh-CN" w:bidi="ar"/>
              </w:rPr>
            </w:pPr>
            <w:r>
              <w:rPr>
                <w:rFonts w:hint="eastAsia" w:eastAsia="宋体"/>
                <w:b/>
                <w:bCs/>
                <w:color w:val="auto"/>
                <w:kern w:val="0"/>
                <w:sz w:val="18"/>
                <w:szCs w:val="18"/>
                <w:highlight w:val="none"/>
                <w:lang w:val="en-US" w:eastAsia="zh-CN" w:bidi="ar"/>
              </w:rPr>
              <w:t>使用状态</w:t>
            </w:r>
          </w:p>
        </w:tc>
        <w:tc>
          <w:tcPr>
            <w:tcW w:w="6168" w:type="dxa"/>
            <w:tcBorders>
              <w:tl2br w:val="nil"/>
              <w:tr2bl w:val="nil"/>
            </w:tcBorders>
            <w:shd w:val="clear" w:color="auto" w:fill="auto"/>
            <w:vAlign w:val="center"/>
          </w:tcPr>
          <w:p>
            <w:pPr>
              <w:keepNext/>
              <w:keepLines/>
              <w:spacing w:line="240" w:lineRule="auto"/>
              <w:ind w:firstLine="0" w:firstLineChars="0"/>
              <w:jc w:val="center"/>
              <w:textAlignment w:val="center"/>
              <w:rPr>
                <w:rFonts w:eastAsia="宋体"/>
                <w:b/>
                <w:bCs/>
                <w:color w:val="auto"/>
                <w:sz w:val="18"/>
                <w:szCs w:val="18"/>
                <w:highlight w:val="none"/>
              </w:rPr>
            </w:pPr>
            <w:r>
              <w:rPr>
                <w:rFonts w:eastAsia="宋体"/>
                <w:b/>
                <w:bCs/>
                <w:color w:val="auto"/>
                <w:kern w:val="0"/>
                <w:sz w:val="18"/>
                <w:szCs w:val="18"/>
                <w:highlight w:val="none"/>
                <w:lang w:bidi="ar"/>
              </w:rPr>
              <w:t>建设内容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98" w:hRule="atLeast"/>
        </w:trPr>
        <w:tc>
          <w:tcPr>
            <w:tcW w:w="1301" w:type="dxa"/>
            <w:vMerge w:val="restart"/>
            <w:tcBorders>
              <w:tl2br w:val="nil"/>
              <w:tr2bl w:val="nil"/>
            </w:tcBorders>
            <w:shd w:val="clear" w:color="auto" w:fill="auto"/>
            <w:vAlign w:val="center"/>
          </w:tcPr>
          <w:p>
            <w:pPr>
              <w:keepNext/>
              <w:keepLines/>
              <w:spacing w:line="240" w:lineRule="auto"/>
              <w:ind w:firstLine="0" w:firstLineChars="0"/>
              <w:jc w:val="center"/>
              <w:textAlignment w:val="center"/>
              <w:rPr>
                <w:rFonts w:eastAsia="宋体"/>
                <w:color w:val="auto"/>
                <w:sz w:val="18"/>
                <w:szCs w:val="18"/>
                <w:highlight w:val="none"/>
              </w:rPr>
            </w:pPr>
            <w:r>
              <w:rPr>
                <w:rFonts w:eastAsia="宋体"/>
                <w:color w:val="auto"/>
                <w:kern w:val="0"/>
                <w:sz w:val="18"/>
                <w:szCs w:val="18"/>
                <w:highlight w:val="none"/>
                <w:lang w:bidi="ar"/>
              </w:rPr>
              <w:t>巴楚县教育局</w:t>
            </w:r>
          </w:p>
        </w:tc>
        <w:tc>
          <w:tcPr>
            <w:tcW w:w="1022" w:type="dxa"/>
            <w:vMerge w:val="restart"/>
            <w:tcBorders>
              <w:tl2br w:val="nil"/>
              <w:tr2bl w:val="nil"/>
            </w:tcBorders>
            <w:shd w:val="clear" w:color="auto" w:fill="auto"/>
            <w:vAlign w:val="center"/>
          </w:tcPr>
          <w:p>
            <w:pPr>
              <w:keepNext/>
              <w:keepLines/>
              <w:spacing w:line="240" w:lineRule="auto"/>
              <w:ind w:firstLine="0" w:firstLineChars="0"/>
              <w:jc w:val="center"/>
              <w:textAlignment w:val="center"/>
              <w:rPr>
                <w:rFonts w:eastAsia="宋体"/>
                <w:color w:val="auto"/>
                <w:sz w:val="18"/>
                <w:szCs w:val="18"/>
                <w:highlight w:val="none"/>
              </w:rPr>
            </w:pPr>
            <w:r>
              <w:rPr>
                <w:rFonts w:eastAsia="宋体"/>
                <w:color w:val="auto"/>
                <w:kern w:val="0"/>
                <w:sz w:val="18"/>
                <w:szCs w:val="18"/>
                <w:highlight w:val="none"/>
                <w:lang w:bidi="ar"/>
              </w:rPr>
              <w:t>新疆水夫建筑工程有限公司</w:t>
            </w:r>
          </w:p>
        </w:tc>
        <w:tc>
          <w:tcPr>
            <w:tcW w:w="1250" w:type="dxa"/>
            <w:vMerge w:val="restart"/>
            <w:tcBorders>
              <w:tl2br w:val="nil"/>
              <w:tr2bl w:val="nil"/>
            </w:tcBorders>
            <w:shd w:val="clear" w:color="auto" w:fill="auto"/>
            <w:vAlign w:val="center"/>
          </w:tcPr>
          <w:p>
            <w:pPr>
              <w:keepNext/>
              <w:keepLines/>
              <w:spacing w:line="240" w:lineRule="auto"/>
              <w:ind w:firstLine="0" w:firstLineChars="0"/>
              <w:jc w:val="center"/>
              <w:textAlignment w:val="center"/>
              <w:rPr>
                <w:rFonts w:eastAsia="宋体"/>
                <w:color w:val="auto"/>
                <w:sz w:val="18"/>
                <w:szCs w:val="18"/>
                <w:highlight w:val="none"/>
              </w:rPr>
            </w:pPr>
            <w:r>
              <w:rPr>
                <w:rFonts w:eastAsia="宋体"/>
                <w:color w:val="auto"/>
                <w:kern w:val="0"/>
                <w:sz w:val="18"/>
                <w:szCs w:val="18"/>
                <w:highlight w:val="none"/>
                <w:lang w:bidi="ar"/>
              </w:rPr>
              <w:t>2023年7月5日-2023年10月12日</w:t>
            </w:r>
          </w:p>
        </w:tc>
        <w:tc>
          <w:tcPr>
            <w:tcW w:w="1417" w:type="dxa"/>
            <w:vMerge w:val="restart"/>
            <w:tcBorders>
              <w:tl2br w:val="nil"/>
              <w:tr2bl w:val="nil"/>
            </w:tcBorders>
            <w:shd w:val="clear" w:color="auto" w:fill="auto"/>
            <w:vAlign w:val="center"/>
          </w:tcPr>
          <w:p>
            <w:pPr>
              <w:keepNext/>
              <w:keepLines/>
              <w:spacing w:line="240" w:lineRule="auto"/>
              <w:ind w:firstLine="0" w:firstLineChars="0"/>
              <w:jc w:val="center"/>
              <w:textAlignment w:val="center"/>
              <w:rPr>
                <w:rFonts w:eastAsia="宋体"/>
                <w:color w:val="auto"/>
                <w:sz w:val="18"/>
                <w:szCs w:val="18"/>
                <w:highlight w:val="none"/>
              </w:rPr>
            </w:pPr>
            <w:r>
              <w:rPr>
                <w:rFonts w:eastAsia="宋体"/>
                <w:color w:val="auto"/>
                <w:kern w:val="0"/>
                <w:sz w:val="18"/>
                <w:szCs w:val="18"/>
                <w:highlight w:val="none"/>
                <w:lang w:bidi="ar"/>
              </w:rPr>
              <w:t>2023年</w:t>
            </w:r>
            <w:r>
              <w:rPr>
                <w:rFonts w:hint="eastAsia" w:eastAsia="宋体"/>
                <w:color w:val="auto"/>
                <w:kern w:val="0"/>
                <w:sz w:val="18"/>
                <w:szCs w:val="18"/>
                <w:highlight w:val="none"/>
                <w:lang w:val="en-US" w:eastAsia="zh-CN" w:bidi="ar"/>
              </w:rPr>
              <w:t>7</w:t>
            </w:r>
            <w:r>
              <w:rPr>
                <w:rFonts w:eastAsia="宋体"/>
                <w:color w:val="auto"/>
                <w:kern w:val="0"/>
                <w:sz w:val="18"/>
                <w:szCs w:val="18"/>
                <w:highlight w:val="none"/>
                <w:lang w:bidi="ar"/>
              </w:rPr>
              <w:t>月</w:t>
            </w:r>
            <w:r>
              <w:rPr>
                <w:rFonts w:hint="eastAsia" w:eastAsia="宋体"/>
                <w:color w:val="auto"/>
                <w:kern w:val="0"/>
                <w:sz w:val="18"/>
                <w:szCs w:val="18"/>
                <w:highlight w:val="none"/>
                <w:lang w:val="en-US" w:eastAsia="zh-CN" w:bidi="ar"/>
              </w:rPr>
              <w:t>27</w:t>
            </w:r>
            <w:r>
              <w:rPr>
                <w:rFonts w:eastAsia="宋体"/>
                <w:color w:val="auto"/>
                <w:kern w:val="0"/>
                <w:sz w:val="18"/>
                <w:szCs w:val="18"/>
                <w:highlight w:val="none"/>
                <w:lang w:bidi="ar"/>
              </w:rPr>
              <w:t>日-2023年10月12日</w:t>
            </w:r>
          </w:p>
        </w:tc>
        <w:tc>
          <w:tcPr>
            <w:tcW w:w="1300" w:type="dxa"/>
            <w:vMerge w:val="restart"/>
            <w:tcBorders>
              <w:tl2br w:val="nil"/>
              <w:tr2bl w:val="nil"/>
            </w:tcBorders>
            <w:shd w:val="clear" w:color="auto" w:fill="auto"/>
            <w:vAlign w:val="center"/>
          </w:tcPr>
          <w:p>
            <w:pPr>
              <w:keepNext/>
              <w:keepLines/>
              <w:spacing w:line="240" w:lineRule="auto"/>
              <w:ind w:firstLine="0" w:firstLineChars="0"/>
              <w:jc w:val="center"/>
              <w:textAlignment w:val="center"/>
              <w:rPr>
                <w:rFonts w:eastAsia="宋体"/>
                <w:color w:val="auto"/>
                <w:sz w:val="18"/>
                <w:szCs w:val="18"/>
                <w:highlight w:val="none"/>
              </w:rPr>
            </w:pPr>
            <w:r>
              <w:rPr>
                <w:rFonts w:eastAsia="宋体"/>
                <w:color w:val="auto"/>
                <w:kern w:val="0"/>
                <w:sz w:val="18"/>
                <w:szCs w:val="18"/>
                <w:highlight w:val="none"/>
                <w:lang w:bidi="ar"/>
              </w:rPr>
              <w:t>已完成竣工验收，但尚未开展工程结算审计、竣工财务决算。</w:t>
            </w:r>
          </w:p>
        </w:tc>
        <w:tc>
          <w:tcPr>
            <w:tcW w:w="1716" w:type="dxa"/>
            <w:tcBorders>
              <w:tl2br w:val="nil"/>
              <w:tr2bl w:val="nil"/>
            </w:tcBorders>
            <w:shd w:val="clear" w:color="auto" w:fill="auto"/>
            <w:vAlign w:val="center"/>
          </w:tcPr>
          <w:p>
            <w:pPr>
              <w:keepNext/>
              <w:keepLines/>
              <w:spacing w:line="240" w:lineRule="auto"/>
              <w:ind w:firstLine="0" w:firstLineChars="0"/>
              <w:jc w:val="center"/>
              <w:textAlignment w:val="center"/>
              <w:rPr>
                <w:rFonts w:eastAsia="宋体"/>
                <w:color w:val="auto"/>
                <w:kern w:val="0"/>
                <w:sz w:val="18"/>
                <w:szCs w:val="18"/>
                <w:highlight w:val="none"/>
                <w:lang w:bidi="ar"/>
              </w:rPr>
            </w:pPr>
            <w:r>
              <w:rPr>
                <w:rFonts w:hint="eastAsia" w:eastAsia="宋体"/>
                <w:color w:val="auto"/>
                <w:kern w:val="0"/>
                <w:sz w:val="18"/>
                <w:szCs w:val="18"/>
                <w:highlight w:val="none"/>
                <w:lang w:val="en-US" w:eastAsia="zh-CN" w:bidi="ar"/>
              </w:rPr>
              <w:t>验收合格</w:t>
            </w:r>
            <w:r>
              <w:rPr>
                <w:rFonts w:hint="eastAsia" w:eastAsia="宋体"/>
                <w:color w:val="auto"/>
                <w:kern w:val="0"/>
                <w:sz w:val="18"/>
                <w:szCs w:val="18"/>
                <w:highlight w:val="none"/>
                <w:lang w:bidi="ar"/>
              </w:rPr>
              <w:t>，由于宿舍及食堂的主体工程未验收运行，此配套设施未投入使用</w:t>
            </w:r>
          </w:p>
        </w:tc>
        <w:tc>
          <w:tcPr>
            <w:tcW w:w="6168" w:type="dxa"/>
            <w:tcBorders>
              <w:tl2br w:val="nil"/>
              <w:tr2bl w:val="nil"/>
            </w:tcBorders>
            <w:shd w:val="clear" w:color="auto" w:fill="auto"/>
            <w:vAlign w:val="center"/>
          </w:tcPr>
          <w:p>
            <w:pPr>
              <w:keepNext/>
              <w:keepLines/>
              <w:spacing w:line="240" w:lineRule="auto"/>
              <w:ind w:firstLine="0" w:firstLineChars="0"/>
              <w:jc w:val="left"/>
              <w:textAlignment w:val="center"/>
              <w:rPr>
                <w:rFonts w:eastAsia="宋体"/>
                <w:color w:val="auto"/>
                <w:sz w:val="18"/>
                <w:szCs w:val="18"/>
                <w:highlight w:val="none"/>
              </w:rPr>
            </w:pPr>
            <w:r>
              <w:rPr>
                <w:rFonts w:eastAsia="宋体"/>
                <w:color w:val="auto"/>
                <w:kern w:val="0"/>
                <w:sz w:val="18"/>
                <w:szCs w:val="18"/>
                <w:highlight w:val="none"/>
                <w:lang w:bidi="ar"/>
              </w:rPr>
              <w:t>1、巴楚县第八小学：实施604.28平方米附属用房配套消防、给排水、电气、通风、火灾自动报警等安装工程；室外砌筑井、消火栓井7座，电缆井28座，电气工程线缆</w:t>
            </w:r>
            <w:r>
              <w:rPr>
                <w:rFonts w:hint="eastAsia" w:eastAsia="宋体"/>
                <w:color w:val="auto"/>
                <w:kern w:val="0"/>
                <w:sz w:val="18"/>
                <w:szCs w:val="18"/>
                <w:highlight w:val="none"/>
                <w:lang w:bidi="ar"/>
              </w:rPr>
              <w:t>（</w:t>
            </w:r>
            <w:r>
              <w:rPr>
                <w:rFonts w:eastAsia="宋体"/>
                <w:color w:val="auto"/>
                <w:kern w:val="0"/>
                <w:sz w:val="18"/>
                <w:szCs w:val="18"/>
                <w:highlight w:val="none"/>
                <w:lang w:bidi="ar"/>
              </w:rPr>
              <w:t>强电</w:t>
            </w:r>
            <w:r>
              <w:rPr>
                <w:rFonts w:hint="eastAsia" w:eastAsia="宋体"/>
                <w:color w:val="auto"/>
                <w:kern w:val="0"/>
                <w:sz w:val="18"/>
                <w:szCs w:val="18"/>
                <w:highlight w:val="none"/>
                <w:lang w:bidi="ar"/>
              </w:rPr>
              <w:t>）</w:t>
            </w:r>
            <w:r>
              <w:rPr>
                <w:rFonts w:eastAsia="宋体"/>
                <w:color w:val="auto"/>
                <w:kern w:val="0"/>
                <w:sz w:val="18"/>
                <w:szCs w:val="18"/>
                <w:highlight w:val="none"/>
                <w:lang w:bidi="ar"/>
              </w:rPr>
              <w:t>264.66米，电气工程线缆</w:t>
            </w:r>
            <w:r>
              <w:rPr>
                <w:rFonts w:hint="eastAsia" w:eastAsia="宋体"/>
                <w:color w:val="auto"/>
                <w:kern w:val="0"/>
                <w:sz w:val="18"/>
                <w:szCs w:val="18"/>
                <w:highlight w:val="none"/>
                <w:lang w:bidi="ar"/>
              </w:rPr>
              <w:t>（</w:t>
            </w:r>
            <w:r>
              <w:rPr>
                <w:rFonts w:eastAsia="宋体"/>
                <w:color w:val="auto"/>
                <w:kern w:val="0"/>
                <w:sz w:val="18"/>
                <w:szCs w:val="18"/>
                <w:highlight w:val="none"/>
                <w:lang w:bidi="ar"/>
              </w:rPr>
              <w:t>弱电</w:t>
            </w:r>
            <w:r>
              <w:rPr>
                <w:rFonts w:hint="eastAsia" w:eastAsia="宋体"/>
                <w:color w:val="auto"/>
                <w:kern w:val="0"/>
                <w:sz w:val="18"/>
                <w:szCs w:val="18"/>
                <w:highlight w:val="none"/>
                <w:lang w:bidi="ar"/>
              </w:rPr>
              <w:t>）</w:t>
            </w:r>
            <w:r>
              <w:rPr>
                <w:rFonts w:eastAsia="宋体"/>
                <w:color w:val="auto"/>
                <w:kern w:val="0"/>
                <w:sz w:val="18"/>
                <w:szCs w:val="18"/>
                <w:highlight w:val="none"/>
                <w:lang w:bidi="ar"/>
              </w:rPr>
              <w:t>1176米，消防管道555米，铁艺围墙408米，电动伸缩门1樘等附属工程。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atLeast"/>
        </w:trPr>
        <w:tc>
          <w:tcPr>
            <w:tcW w:w="1301"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022"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250"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417"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300"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716" w:type="dxa"/>
            <w:tcBorders>
              <w:tl2br w:val="nil"/>
              <w:tr2bl w:val="nil"/>
            </w:tcBorders>
            <w:shd w:val="clear" w:color="auto" w:fill="auto"/>
            <w:vAlign w:val="center"/>
          </w:tcPr>
          <w:p>
            <w:pPr>
              <w:keepNext/>
              <w:keepLines/>
              <w:tabs>
                <w:tab w:val="left" w:pos="2496"/>
              </w:tabs>
              <w:spacing w:line="240" w:lineRule="auto"/>
              <w:ind w:firstLine="0" w:firstLineChars="0"/>
              <w:jc w:val="center"/>
              <w:textAlignment w:val="center"/>
              <w:rPr>
                <w:rFonts w:hint="eastAsia" w:eastAsia="宋体"/>
                <w:color w:val="auto"/>
                <w:kern w:val="0"/>
                <w:sz w:val="18"/>
                <w:szCs w:val="18"/>
                <w:highlight w:val="none"/>
                <w:lang w:eastAsia="zh-CN" w:bidi="ar"/>
              </w:rPr>
            </w:pPr>
            <w:r>
              <w:rPr>
                <w:rFonts w:hint="eastAsia" w:eastAsia="宋体"/>
                <w:color w:val="auto"/>
                <w:kern w:val="0"/>
                <w:sz w:val="18"/>
                <w:szCs w:val="18"/>
                <w:highlight w:val="none"/>
                <w:lang w:val="en-US" w:eastAsia="zh-CN" w:bidi="ar"/>
              </w:rPr>
              <w:t>验收合格</w:t>
            </w:r>
            <w:r>
              <w:rPr>
                <w:rFonts w:hint="eastAsia" w:eastAsia="宋体"/>
                <w:color w:val="auto"/>
                <w:kern w:val="0"/>
                <w:sz w:val="18"/>
                <w:szCs w:val="18"/>
                <w:highlight w:val="none"/>
                <w:lang w:eastAsia="zh-CN" w:bidi="ar"/>
              </w:rPr>
              <w:t>，</w:t>
            </w:r>
            <w:r>
              <w:rPr>
                <w:rFonts w:hint="eastAsia" w:eastAsia="宋体"/>
                <w:color w:val="auto"/>
                <w:kern w:val="0"/>
                <w:sz w:val="18"/>
                <w:szCs w:val="18"/>
                <w:highlight w:val="none"/>
                <w:lang w:val="en-US" w:eastAsia="zh-CN" w:bidi="ar"/>
              </w:rPr>
              <w:t>已</w:t>
            </w:r>
            <w:r>
              <w:rPr>
                <w:rFonts w:hint="eastAsia" w:eastAsia="宋体"/>
                <w:color w:val="auto"/>
                <w:kern w:val="0"/>
                <w:sz w:val="18"/>
                <w:szCs w:val="18"/>
                <w:highlight w:val="none"/>
                <w:lang w:eastAsia="zh-CN" w:bidi="ar"/>
              </w:rPr>
              <w:t>投入使用</w:t>
            </w:r>
          </w:p>
        </w:tc>
        <w:tc>
          <w:tcPr>
            <w:tcW w:w="6168" w:type="dxa"/>
            <w:tcBorders>
              <w:tl2br w:val="nil"/>
              <w:tr2bl w:val="nil"/>
            </w:tcBorders>
            <w:shd w:val="clear" w:color="auto" w:fill="auto"/>
            <w:vAlign w:val="center"/>
          </w:tcPr>
          <w:p>
            <w:pPr>
              <w:keepNext/>
              <w:keepLines/>
              <w:spacing w:line="240" w:lineRule="auto"/>
              <w:ind w:firstLine="0" w:firstLineChars="0"/>
              <w:jc w:val="left"/>
              <w:textAlignment w:val="center"/>
              <w:rPr>
                <w:rFonts w:eastAsia="宋体"/>
                <w:color w:val="auto"/>
                <w:sz w:val="18"/>
                <w:szCs w:val="18"/>
                <w:highlight w:val="none"/>
              </w:rPr>
            </w:pPr>
            <w:r>
              <w:rPr>
                <w:rFonts w:eastAsia="宋体"/>
                <w:color w:val="auto"/>
                <w:kern w:val="0"/>
                <w:sz w:val="18"/>
                <w:szCs w:val="18"/>
                <w:highlight w:val="none"/>
                <w:lang w:bidi="ar"/>
              </w:rPr>
              <w:t>2、巴楚县第五小学：粉刷老校舍室内外2000平方米，改造室内电路200平方米，更换教室门50樘；室外硬化2350平方米，砖围墙448米。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1301"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022"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250"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417"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300"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716" w:type="dxa"/>
            <w:tcBorders>
              <w:tl2br w:val="nil"/>
              <w:tr2bl w:val="nil"/>
            </w:tcBorders>
            <w:shd w:val="clear" w:color="auto" w:fill="auto"/>
            <w:vAlign w:val="center"/>
          </w:tcPr>
          <w:p>
            <w:pPr>
              <w:keepNext/>
              <w:keepLines/>
              <w:tabs>
                <w:tab w:val="left" w:pos="2496"/>
              </w:tabs>
              <w:spacing w:line="240" w:lineRule="auto"/>
              <w:ind w:firstLine="0" w:firstLineChars="0"/>
              <w:jc w:val="center"/>
              <w:textAlignment w:val="center"/>
              <w:rPr>
                <w:rFonts w:eastAsia="宋体"/>
                <w:color w:val="auto"/>
                <w:kern w:val="0"/>
                <w:sz w:val="18"/>
                <w:szCs w:val="18"/>
                <w:highlight w:val="none"/>
                <w:lang w:bidi="ar"/>
              </w:rPr>
            </w:pPr>
            <w:r>
              <w:rPr>
                <w:rFonts w:hint="eastAsia" w:eastAsia="宋体"/>
                <w:color w:val="auto"/>
                <w:kern w:val="0"/>
                <w:sz w:val="18"/>
                <w:szCs w:val="18"/>
                <w:highlight w:val="none"/>
                <w:lang w:val="en-US" w:eastAsia="zh-CN" w:bidi="ar"/>
              </w:rPr>
              <w:t>验收合格</w:t>
            </w:r>
            <w:r>
              <w:rPr>
                <w:rFonts w:hint="eastAsia" w:eastAsia="宋体"/>
                <w:color w:val="auto"/>
                <w:kern w:val="0"/>
                <w:sz w:val="18"/>
                <w:szCs w:val="18"/>
                <w:highlight w:val="none"/>
                <w:lang w:eastAsia="zh-CN" w:bidi="ar"/>
              </w:rPr>
              <w:t>，</w:t>
            </w:r>
            <w:r>
              <w:rPr>
                <w:rFonts w:hint="eastAsia" w:eastAsia="宋体"/>
                <w:color w:val="auto"/>
                <w:kern w:val="0"/>
                <w:sz w:val="18"/>
                <w:szCs w:val="18"/>
                <w:highlight w:val="none"/>
                <w:lang w:val="en-US" w:eastAsia="zh-CN" w:bidi="ar"/>
              </w:rPr>
              <w:t>已</w:t>
            </w:r>
            <w:r>
              <w:rPr>
                <w:rFonts w:hint="eastAsia" w:eastAsia="宋体"/>
                <w:color w:val="auto"/>
                <w:kern w:val="0"/>
                <w:sz w:val="18"/>
                <w:szCs w:val="18"/>
                <w:highlight w:val="none"/>
                <w:lang w:eastAsia="zh-CN" w:bidi="ar"/>
              </w:rPr>
              <w:t>投入使用</w:t>
            </w:r>
          </w:p>
        </w:tc>
        <w:tc>
          <w:tcPr>
            <w:tcW w:w="6168" w:type="dxa"/>
            <w:tcBorders>
              <w:tl2br w:val="nil"/>
              <w:tr2bl w:val="nil"/>
            </w:tcBorders>
            <w:shd w:val="clear" w:color="auto" w:fill="auto"/>
            <w:vAlign w:val="center"/>
          </w:tcPr>
          <w:p>
            <w:pPr>
              <w:keepNext/>
              <w:keepLines/>
              <w:spacing w:line="240" w:lineRule="auto"/>
              <w:ind w:firstLine="0" w:firstLineChars="0"/>
              <w:jc w:val="left"/>
              <w:textAlignment w:val="center"/>
              <w:rPr>
                <w:rFonts w:eastAsia="宋体"/>
                <w:color w:val="auto"/>
                <w:sz w:val="18"/>
                <w:szCs w:val="18"/>
                <w:highlight w:val="none"/>
              </w:rPr>
            </w:pPr>
            <w:r>
              <w:rPr>
                <w:rFonts w:eastAsia="宋体"/>
                <w:color w:val="auto"/>
                <w:kern w:val="0"/>
                <w:sz w:val="18"/>
                <w:szCs w:val="18"/>
                <w:highlight w:val="none"/>
                <w:lang w:bidi="ar"/>
              </w:rPr>
              <w:t>3、巴楚县阿瓦提镇第一小学等乡村学校：教学楼更换门142樘，屋面防水1500平方米，内外墙粉刷18000平方米；室外新建主席台150.72平方米；新建值班室60平方米；电暖改造原值班123平方米；值班室外墙涂料52平方米；维修宿舍楼室外地坪64平方米；地面铺砖53平方米；墙面修复70平方米；墙面涂料1600平方米；给排水改造310米等附属设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atLeast"/>
        </w:trPr>
        <w:tc>
          <w:tcPr>
            <w:tcW w:w="1301"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022"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250"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417"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300"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716" w:type="dxa"/>
            <w:tcBorders>
              <w:tl2br w:val="nil"/>
              <w:tr2bl w:val="nil"/>
            </w:tcBorders>
            <w:shd w:val="clear" w:color="auto" w:fill="auto"/>
            <w:vAlign w:val="center"/>
          </w:tcPr>
          <w:p>
            <w:pPr>
              <w:keepNext/>
              <w:keepLines/>
              <w:tabs>
                <w:tab w:val="left" w:pos="2496"/>
              </w:tabs>
              <w:spacing w:line="240" w:lineRule="auto"/>
              <w:ind w:firstLine="0" w:firstLineChars="0"/>
              <w:jc w:val="center"/>
              <w:textAlignment w:val="center"/>
              <w:rPr>
                <w:rFonts w:eastAsia="宋体"/>
                <w:color w:val="auto"/>
                <w:kern w:val="0"/>
                <w:sz w:val="18"/>
                <w:szCs w:val="18"/>
                <w:highlight w:val="none"/>
                <w:lang w:bidi="ar"/>
              </w:rPr>
            </w:pPr>
            <w:r>
              <w:rPr>
                <w:rFonts w:hint="eastAsia" w:eastAsia="宋体"/>
                <w:color w:val="auto"/>
                <w:kern w:val="0"/>
                <w:sz w:val="18"/>
                <w:szCs w:val="18"/>
                <w:highlight w:val="none"/>
                <w:lang w:val="en-US" w:eastAsia="zh-CN" w:bidi="ar"/>
              </w:rPr>
              <w:t>验收合格</w:t>
            </w:r>
            <w:r>
              <w:rPr>
                <w:rFonts w:hint="eastAsia" w:eastAsia="宋体"/>
                <w:color w:val="auto"/>
                <w:kern w:val="0"/>
                <w:sz w:val="18"/>
                <w:szCs w:val="18"/>
                <w:highlight w:val="none"/>
                <w:lang w:eastAsia="zh-CN" w:bidi="ar"/>
              </w:rPr>
              <w:t>，</w:t>
            </w:r>
            <w:r>
              <w:rPr>
                <w:rFonts w:hint="eastAsia" w:eastAsia="宋体"/>
                <w:color w:val="auto"/>
                <w:kern w:val="0"/>
                <w:sz w:val="18"/>
                <w:szCs w:val="18"/>
                <w:highlight w:val="none"/>
                <w:lang w:val="en-US" w:eastAsia="zh-CN" w:bidi="ar"/>
              </w:rPr>
              <w:t>已</w:t>
            </w:r>
            <w:r>
              <w:rPr>
                <w:rFonts w:hint="eastAsia" w:eastAsia="宋体"/>
                <w:color w:val="auto"/>
                <w:kern w:val="0"/>
                <w:sz w:val="18"/>
                <w:szCs w:val="18"/>
                <w:highlight w:val="none"/>
                <w:lang w:eastAsia="zh-CN" w:bidi="ar"/>
              </w:rPr>
              <w:t>投入使用</w:t>
            </w:r>
          </w:p>
        </w:tc>
        <w:tc>
          <w:tcPr>
            <w:tcW w:w="6168" w:type="dxa"/>
            <w:tcBorders>
              <w:tl2br w:val="nil"/>
              <w:tr2bl w:val="nil"/>
            </w:tcBorders>
            <w:shd w:val="clear" w:color="auto" w:fill="auto"/>
            <w:vAlign w:val="center"/>
          </w:tcPr>
          <w:p>
            <w:pPr>
              <w:keepNext/>
              <w:keepLines/>
              <w:spacing w:line="240" w:lineRule="auto"/>
              <w:ind w:firstLine="0" w:firstLineChars="0"/>
              <w:jc w:val="left"/>
              <w:textAlignment w:val="center"/>
              <w:rPr>
                <w:rFonts w:eastAsia="宋体"/>
                <w:color w:val="auto"/>
                <w:sz w:val="18"/>
                <w:szCs w:val="18"/>
                <w:highlight w:val="none"/>
              </w:rPr>
            </w:pPr>
            <w:r>
              <w:rPr>
                <w:rFonts w:eastAsia="宋体"/>
                <w:color w:val="auto"/>
                <w:kern w:val="0"/>
                <w:sz w:val="18"/>
                <w:szCs w:val="18"/>
                <w:highlight w:val="none"/>
                <w:lang w:bidi="ar"/>
              </w:rPr>
              <w:t>4、巴楚县阿拉格尔第一小学乡村小学：校舍室内外粉刷6600平方米，更换校舍门207樘，更换灯具3463个，食堂地砖改造200平方米；墙面改造18000平方米，吊顶284平方米；室外给排水管道改造510米，大门改造1座，电气设备安装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atLeast"/>
        </w:trPr>
        <w:tc>
          <w:tcPr>
            <w:tcW w:w="1301"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022"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250"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417"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300"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716" w:type="dxa"/>
            <w:tcBorders>
              <w:tl2br w:val="nil"/>
              <w:tr2bl w:val="nil"/>
            </w:tcBorders>
            <w:shd w:val="clear" w:color="auto" w:fill="auto"/>
            <w:vAlign w:val="center"/>
          </w:tcPr>
          <w:p>
            <w:pPr>
              <w:keepNext/>
              <w:keepLines/>
              <w:tabs>
                <w:tab w:val="left" w:pos="2496"/>
              </w:tabs>
              <w:spacing w:line="240" w:lineRule="auto"/>
              <w:ind w:firstLine="0" w:firstLineChars="0"/>
              <w:jc w:val="center"/>
              <w:textAlignment w:val="center"/>
              <w:rPr>
                <w:rFonts w:eastAsia="宋体"/>
                <w:color w:val="auto"/>
                <w:kern w:val="0"/>
                <w:sz w:val="18"/>
                <w:szCs w:val="18"/>
                <w:highlight w:val="none"/>
                <w:lang w:bidi="ar"/>
              </w:rPr>
            </w:pPr>
            <w:r>
              <w:rPr>
                <w:rFonts w:hint="eastAsia" w:eastAsia="宋体"/>
                <w:color w:val="auto"/>
                <w:kern w:val="0"/>
                <w:sz w:val="18"/>
                <w:szCs w:val="18"/>
                <w:highlight w:val="none"/>
                <w:lang w:val="en-US" w:eastAsia="zh-CN" w:bidi="ar"/>
              </w:rPr>
              <w:t>验收合格</w:t>
            </w:r>
            <w:r>
              <w:rPr>
                <w:rFonts w:hint="eastAsia" w:eastAsia="宋体"/>
                <w:color w:val="auto"/>
                <w:kern w:val="0"/>
                <w:sz w:val="18"/>
                <w:szCs w:val="18"/>
                <w:highlight w:val="none"/>
                <w:lang w:eastAsia="zh-CN" w:bidi="ar"/>
              </w:rPr>
              <w:t>，</w:t>
            </w:r>
            <w:r>
              <w:rPr>
                <w:rFonts w:hint="eastAsia" w:eastAsia="宋体"/>
                <w:color w:val="auto"/>
                <w:kern w:val="0"/>
                <w:sz w:val="18"/>
                <w:szCs w:val="18"/>
                <w:highlight w:val="none"/>
                <w:lang w:val="en-US" w:eastAsia="zh-CN" w:bidi="ar"/>
              </w:rPr>
              <w:t>已</w:t>
            </w:r>
            <w:r>
              <w:rPr>
                <w:rFonts w:hint="eastAsia" w:eastAsia="宋体"/>
                <w:color w:val="auto"/>
                <w:kern w:val="0"/>
                <w:sz w:val="18"/>
                <w:szCs w:val="18"/>
                <w:highlight w:val="none"/>
                <w:lang w:eastAsia="zh-CN" w:bidi="ar"/>
              </w:rPr>
              <w:t>投入使用</w:t>
            </w:r>
          </w:p>
        </w:tc>
        <w:tc>
          <w:tcPr>
            <w:tcW w:w="6168" w:type="dxa"/>
            <w:tcBorders>
              <w:tl2br w:val="nil"/>
              <w:tr2bl w:val="nil"/>
            </w:tcBorders>
            <w:shd w:val="clear" w:color="auto" w:fill="auto"/>
            <w:vAlign w:val="center"/>
          </w:tcPr>
          <w:p>
            <w:pPr>
              <w:keepNext/>
              <w:keepLines/>
              <w:spacing w:line="240" w:lineRule="auto"/>
              <w:ind w:firstLine="0" w:firstLineChars="0"/>
              <w:jc w:val="left"/>
              <w:textAlignment w:val="center"/>
              <w:rPr>
                <w:rFonts w:eastAsia="宋体"/>
                <w:color w:val="auto"/>
                <w:sz w:val="18"/>
                <w:szCs w:val="18"/>
                <w:highlight w:val="none"/>
              </w:rPr>
            </w:pPr>
            <w:r>
              <w:rPr>
                <w:rFonts w:eastAsia="宋体"/>
                <w:color w:val="auto"/>
                <w:kern w:val="0"/>
                <w:sz w:val="18"/>
                <w:szCs w:val="18"/>
                <w:highlight w:val="none"/>
                <w:lang w:bidi="ar"/>
              </w:rPr>
              <w:t>5、巴楚县阿克萨克马热勒乡第一小学：改造主席台210平方米，地面硬化500平方米，铺设运动场人造草坪2000平方米，拆建围墙680米。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20" w:hRule="atLeast"/>
        </w:trPr>
        <w:tc>
          <w:tcPr>
            <w:tcW w:w="1301"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022"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250"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417"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300"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716" w:type="dxa"/>
            <w:tcBorders>
              <w:tl2br w:val="nil"/>
              <w:tr2bl w:val="nil"/>
            </w:tcBorders>
            <w:shd w:val="clear" w:color="auto" w:fill="auto"/>
            <w:vAlign w:val="center"/>
          </w:tcPr>
          <w:p>
            <w:pPr>
              <w:keepNext/>
              <w:keepLines/>
              <w:tabs>
                <w:tab w:val="left" w:pos="2496"/>
              </w:tabs>
              <w:spacing w:line="240" w:lineRule="auto"/>
              <w:ind w:firstLine="0" w:firstLineChars="0"/>
              <w:jc w:val="center"/>
              <w:textAlignment w:val="center"/>
              <w:rPr>
                <w:rFonts w:eastAsia="宋体"/>
                <w:color w:val="auto"/>
                <w:kern w:val="0"/>
                <w:sz w:val="18"/>
                <w:szCs w:val="18"/>
                <w:highlight w:val="none"/>
                <w:lang w:bidi="ar"/>
              </w:rPr>
            </w:pPr>
            <w:r>
              <w:rPr>
                <w:rFonts w:hint="eastAsia" w:eastAsia="宋体"/>
                <w:color w:val="auto"/>
                <w:kern w:val="0"/>
                <w:sz w:val="18"/>
                <w:szCs w:val="18"/>
                <w:highlight w:val="none"/>
                <w:lang w:val="en-US" w:eastAsia="zh-CN" w:bidi="ar"/>
              </w:rPr>
              <w:t>验收合格</w:t>
            </w:r>
            <w:r>
              <w:rPr>
                <w:rFonts w:hint="eastAsia" w:eastAsia="宋体"/>
                <w:color w:val="auto"/>
                <w:kern w:val="0"/>
                <w:sz w:val="18"/>
                <w:szCs w:val="18"/>
                <w:highlight w:val="none"/>
                <w:lang w:eastAsia="zh-CN" w:bidi="ar"/>
              </w:rPr>
              <w:t>，</w:t>
            </w:r>
            <w:r>
              <w:rPr>
                <w:rFonts w:hint="eastAsia" w:eastAsia="宋体"/>
                <w:color w:val="auto"/>
                <w:kern w:val="0"/>
                <w:sz w:val="18"/>
                <w:szCs w:val="18"/>
                <w:highlight w:val="none"/>
                <w:lang w:val="en-US" w:eastAsia="zh-CN" w:bidi="ar"/>
              </w:rPr>
              <w:t>已</w:t>
            </w:r>
            <w:r>
              <w:rPr>
                <w:rFonts w:hint="eastAsia" w:eastAsia="宋体"/>
                <w:color w:val="auto"/>
                <w:kern w:val="0"/>
                <w:sz w:val="18"/>
                <w:szCs w:val="18"/>
                <w:highlight w:val="none"/>
                <w:lang w:eastAsia="zh-CN" w:bidi="ar"/>
              </w:rPr>
              <w:t>投入使用</w:t>
            </w:r>
          </w:p>
        </w:tc>
        <w:tc>
          <w:tcPr>
            <w:tcW w:w="6168" w:type="dxa"/>
            <w:tcBorders>
              <w:tl2br w:val="nil"/>
              <w:tr2bl w:val="nil"/>
            </w:tcBorders>
            <w:shd w:val="clear" w:color="auto" w:fill="auto"/>
            <w:vAlign w:val="center"/>
          </w:tcPr>
          <w:p>
            <w:pPr>
              <w:keepNext/>
              <w:keepLines/>
              <w:spacing w:line="240" w:lineRule="auto"/>
              <w:ind w:firstLine="0" w:firstLineChars="0"/>
              <w:jc w:val="left"/>
              <w:textAlignment w:val="center"/>
              <w:rPr>
                <w:rFonts w:eastAsia="宋体"/>
                <w:color w:val="auto"/>
                <w:sz w:val="18"/>
                <w:szCs w:val="18"/>
                <w:highlight w:val="none"/>
              </w:rPr>
            </w:pPr>
            <w:r>
              <w:rPr>
                <w:rFonts w:eastAsia="宋体"/>
                <w:color w:val="auto"/>
                <w:kern w:val="0"/>
                <w:sz w:val="18"/>
                <w:szCs w:val="18"/>
                <w:highlight w:val="none"/>
                <w:lang w:bidi="ar"/>
              </w:rPr>
              <w:t>6、巴楚县阿克萨克马热勒乡第二小学等乡村学校：地面硬化2900平方米，拆建围墙290米，墙面抹灰1330平方米，墙面涂料640平方米，室外地坪210平方米；砌筑井3座；15KW消防水泵4台；阿克萨克马热勒乡各乡村小学改造墙面抹灰及涂料968平方米，吊顶28.75平方米，给排水改造21米，室外地埋式电缆190米，室外给排水管道100米；室内装修150平方米。老校舍室内电气改造1719平方米；室内改造工程9550平方米；采暖管道改造130米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40" w:hRule="atLeast"/>
        </w:trPr>
        <w:tc>
          <w:tcPr>
            <w:tcW w:w="1301" w:type="dxa"/>
            <w:vMerge w:val="restart"/>
            <w:tcBorders>
              <w:tl2br w:val="nil"/>
              <w:tr2bl w:val="nil"/>
            </w:tcBorders>
            <w:shd w:val="clear" w:color="auto" w:fill="auto"/>
            <w:vAlign w:val="center"/>
          </w:tcPr>
          <w:p>
            <w:pPr>
              <w:keepNext/>
              <w:keepLines/>
              <w:spacing w:line="240" w:lineRule="auto"/>
              <w:ind w:firstLine="0" w:firstLineChars="0"/>
              <w:jc w:val="center"/>
              <w:textAlignment w:val="center"/>
              <w:rPr>
                <w:rFonts w:eastAsia="宋体"/>
                <w:color w:val="auto"/>
                <w:sz w:val="18"/>
                <w:szCs w:val="18"/>
                <w:highlight w:val="none"/>
              </w:rPr>
            </w:pPr>
            <w:r>
              <w:rPr>
                <w:rFonts w:eastAsia="宋体"/>
                <w:color w:val="auto"/>
                <w:kern w:val="0"/>
                <w:sz w:val="18"/>
                <w:szCs w:val="18"/>
                <w:highlight w:val="none"/>
                <w:lang w:bidi="ar"/>
              </w:rPr>
              <w:t>巴楚县教育局</w:t>
            </w:r>
          </w:p>
        </w:tc>
        <w:tc>
          <w:tcPr>
            <w:tcW w:w="1022" w:type="dxa"/>
            <w:vMerge w:val="restart"/>
            <w:tcBorders>
              <w:tl2br w:val="nil"/>
              <w:tr2bl w:val="nil"/>
            </w:tcBorders>
            <w:shd w:val="clear" w:color="auto" w:fill="auto"/>
            <w:vAlign w:val="center"/>
          </w:tcPr>
          <w:p>
            <w:pPr>
              <w:keepNext/>
              <w:keepLines/>
              <w:spacing w:line="240" w:lineRule="auto"/>
              <w:ind w:firstLine="0" w:firstLineChars="0"/>
              <w:jc w:val="center"/>
              <w:textAlignment w:val="center"/>
              <w:rPr>
                <w:rFonts w:eastAsia="宋体"/>
                <w:color w:val="auto"/>
                <w:sz w:val="18"/>
                <w:szCs w:val="18"/>
                <w:highlight w:val="none"/>
              </w:rPr>
            </w:pPr>
            <w:r>
              <w:rPr>
                <w:rFonts w:eastAsia="宋体"/>
                <w:color w:val="auto"/>
                <w:kern w:val="0"/>
                <w:sz w:val="18"/>
                <w:szCs w:val="18"/>
                <w:highlight w:val="none"/>
                <w:lang w:bidi="ar"/>
              </w:rPr>
              <w:t>新疆水夫建筑工程有限公司</w:t>
            </w:r>
          </w:p>
        </w:tc>
        <w:tc>
          <w:tcPr>
            <w:tcW w:w="1250" w:type="dxa"/>
            <w:vMerge w:val="restart"/>
            <w:tcBorders>
              <w:tl2br w:val="nil"/>
              <w:tr2bl w:val="nil"/>
            </w:tcBorders>
            <w:shd w:val="clear" w:color="auto" w:fill="auto"/>
            <w:vAlign w:val="center"/>
          </w:tcPr>
          <w:p>
            <w:pPr>
              <w:keepNext/>
              <w:keepLines/>
              <w:spacing w:line="240" w:lineRule="auto"/>
              <w:ind w:firstLine="0" w:firstLineChars="0"/>
              <w:jc w:val="center"/>
              <w:textAlignment w:val="center"/>
              <w:rPr>
                <w:rFonts w:eastAsia="宋体"/>
                <w:color w:val="auto"/>
                <w:sz w:val="18"/>
                <w:szCs w:val="18"/>
                <w:highlight w:val="none"/>
              </w:rPr>
            </w:pPr>
            <w:r>
              <w:rPr>
                <w:rFonts w:eastAsia="宋体"/>
                <w:color w:val="auto"/>
                <w:kern w:val="0"/>
                <w:sz w:val="18"/>
                <w:szCs w:val="18"/>
                <w:highlight w:val="none"/>
                <w:lang w:bidi="ar"/>
              </w:rPr>
              <w:t>2023年7月5日-2023年10月12日</w:t>
            </w:r>
          </w:p>
        </w:tc>
        <w:tc>
          <w:tcPr>
            <w:tcW w:w="1417" w:type="dxa"/>
            <w:vMerge w:val="restart"/>
            <w:tcBorders>
              <w:tl2br w:val="nil"/>
              <w:tr2bl w:val="nil"/>
            </w:tcBorders>
            <w:shd w:val="clear" w:color="auto" w:fill="auto"/>
            <w:vAlign w:val="center"/>
          </w:tcPr>
          <w:p>
            <w:pPr>
              <w:keepNext/>
              <w:keepLines/>
              <w:spacing w:line="240" w:lineRule="auto"/>
              <w:ind w:firstLine="0" w:firstLineChars="0"/>
              <w:jc w:val="center"/>
              <w:textAlignment w:val="center"/>
              <w:rPr>
                <w:rFonts w:eastAsia="宋体"/>
                <w:color w:val="auto"/>
                <w:sz w:val="18"/>
                <w:szCs w:val="18"/>
                <w:highlight w:val="none"/>
              </w:rPr>
            </w:pPr>
            <w:r>
              <w:rPr>
                <w:rFonts w:eastAsia="宋体"/>
                <w:color w:val="auto"/>
                <w:kern w:val="0"/>
                <w:sz w:val="18"/>
                <w:szCs w:val="18"/>
                <w:highlight w:val="none"/>
                <w:lang w:bidi="ar"/>
              </w:rPr>
              <w:t>2023年</w:t>
            </w:r>
            <w:r>
              <w:rPr>
                <w:rFonts w:hint="eastAsia" w:eastAsia="宋体"/>
                <w:color w:val="auto"/>
                <w:kern w:val="0"/>
                <w:sz w:val="18"/>
                <w:szCs w:val="18"/>
                <w:highlight w:val="none"/>
                <w:lang w:val="en-US" w:eastAsia="zh-CN" w:bidi="ar"/>
              </w:rPr>
              <w:t>7</w:t>
            </w:r>
            <w:r>
              <w:rPr>
                <w:rFonts w:eastAsia="宋体"/>
                <w:color w:val="auto"/>
                <w:kern w:val="0"/>
                <w:sz w:val="18"/>
                <w:szCs w:val="18"/>
                <w:highlight w:val="none"/>
                <w:lang w:bidi="ar"/>
              </w:rPr>
              <w:t>月</w:t>
            </w:r>
            <w:r>
              <w:rPr>
                <w:rFonts w:hint="eastAsia" w:eastAsia="宋体"/>
                <w:color w:val="auto"/>
                <w:kern w:val="0"/>
                <w:sz w:val="18"/>
                <w:szCs w:val="18"/>
                <w:highlight w:val="none"/>
                <w:lang w:val="en-US" w:eastAsia="zh-CN" w:bidi="ar"/>
              </w:rPr>
              <w:t>27</w:t>
            </w:r>
            <w:r>
              <w:rPr>
                <w:rFonts w:eastAsia="宋体"/>
                <w:color w:val="auto"/>
                <w:kern w:val="0"/>
                <w:sz w:val="18"/>
                <w:szCs w:val="18"/>
                <w:highlight w:val="none"/>
                <w:lang w:bidi="ar"/>
              </w:rPr>
              <w:t>日-2023年10月12日</w:t>
            </w:r>
          </w:p>
        </w:tc>
        <w:tc>
          <w:tcPr>
            <w:tcW w:w="1300" w:type="dxa"/>
            <w:vMerge w:val="restart"/>
            <w:tcBorders>
              <w:tl2br w:val="nil"/>
              <w:tr2bl w:val="nil"/>
            </w:tcBorders>
            <w:shd w:val="clear" w:color="auto" w:fill="auto"/>
            <w:vAlign w:val="center"/>
          </w:tcPr>
          <w:p>
            <w:pPr>
              <w:keepNext/>
              <w:keepLines/>
              <w:spacing w:line="240" w:lineRule="auto"/>
              <w:ind w:firstLine="0" w:firstLineChars="0"/>
              <w:jc w:val="center"/>
              <w:textAlignment w:val="center"/>
              <w:rPr>
                <w:rFonts w:eastAsia="宋体"/>
                <w:color w:val="auto"/>
                <w:sz w:val="18"/>
                <w:szCs w:val="18"/>
                <w:highlight w:val="none"/>
              </w:rPr>
            </w:pPr>
            <w:r>
              <w:rPr>
                <w:rFonts w:eastAsia="宋体"/>
                <w:color w:val="auto"/>
                <w:kern w:val="0"/>
                <w:sz w:val="18"/>
                <w:szCs w:val="18"/>
                <w:highlight w:val="none"/>
                <w:lang w:bidi="ar"/>
              </w:rPr>
              <w:t>已完成竣工验收，但尚未开展工程结算审计、竣工财务决算。</w:t>
            </w:r>
          </w:p>
        </w:tc>
        <w:tc>
          <w:tcPr>
            <w:tcW w:w="1716" w:type="dxa"/>
            <w:tcBorders>
              <w:tl2br w:val="nil"/>
              <w:tr2bl w:val="nil"/>
            </w:tcBorders>
            <w:shd w:val="clear" w:color="auto" w:fill="auto"/>
            <w:vAlign w:val="center"/>
          </w:tcPr>
          <w:p>
            <w:pPr>
              <w:keepNext/>
              <w:keepLines/>
              <w:tabs>
                <w:tab w:val="left" w:pos="2496"/>
              </w:tabs>
              <w:spacing w:line="240" w:lineRule="auto"/>
              <w:ind w:firstLine="0" w:firstLineChars="0"/>
              <w:jc w:val="center"/>
              <w:textAlignment w:val="center"/>
              <w:rPr>
                <w:rFonts w:eastAsia="宋体"/>
                <w:color w:val="auto"/>
                <w:kern w:val="0"/>
                <w:sz w:val="18"/>
                <w:szCs w:val="18"/>
                <w:highlight w:val="none"/>
                <w:lang w:bidi="ar"/>
              </w:rPr>
            </w:pPr>
            <w:r>
              <w:rPr>
                <w:rFonts w:hint="eastAsia" w:eastAsia="宋体"/>
                <w:color w:val="auto"/>
                <w:kern w:val="0"/>
                <w:sz w:val="18"/>
                <w:szCs w:val="18"/>
                <w:highlight w:val="none"/>
                <w:lang w:val="en-US" w:eastAsia="zh-CN" w:bidi="ar"/>
              </w:rPr>
              <w:t>验收合格</w:t>
            </w:r>
            <w:r>
              <w:rPr>
                <w:rFonts w:hint="eastAsia" w:eastAsia="宋体"/>
                <w:color w:val="auto"/>
                <w:kern w:val="0"/>
                <w:sz w:val="18"/>
                <w:szCs w:val="18"/>
                <w:highlight w:val="none"/>
                <w:lang w:eastAsia="zh-CN" w:bidi="ar"/>
              </w:rPr>
              <w:t>，</w:t>
            </w:r>
            <w:r>
              <w:rPr>
                <w:rFonts w:hint="eastAsia" w:eastAsia="宋体"/>
                <w:color w:val="auto"/>
                <w:kern w:val="0"/>
                <w:sz w:val="18"/>
                <w:szCs w:val="18"/>
                <w:highlight w:val="none"/>
                <w:lang w:val="en-US" w:eastAsia="zh-CN" w:bidi="ar"/>
              </w:rPr>
              <w:t>已</w:t>
            </w:r>
            <w:r>
              <w:rPr>
                <w:rFonts w:hint="eastAsia" w:eastAsia="宋体"/>
                <w:color w:val="auto"/>
                <w:kern w:val="0"/>
                <w:sz w:val="18"/>
                <w:szCs w:val="18"/>
                <w:highlight w:val="none"/>
                <w:lang w:eastAsia="zh-CN" w:bidi="ar"/>
              </w:rPr>
              <w:t>投入使用</w:t>
            </w:r>
          </w:p>
        </w:tc>
        <w:tc>
          <w:tcPr>
            <w:tcW w:w="6168" w:type="dxa"/>
            <w:tcBorders>
              <w:tl2br w:val="nil"/>
              <w:tr2bl w:val="nil"/>
            </w:tcBorders>
            <w:shd w:val="clear" w:color="auto" w:fill="auto"/>
            <w:vAlign w:val="center"/>
          </w:tcPr>
          <w:p>
            <w:pPr>
              <w:keepNext/>
              <w:keepLines/>
              <w:spacing w:line="240" w:lineRule="auto"/>
              <w:ind w:firstLine="0" w:firstLineChars="0"/>
              <w:jc w:val="left"/>
              <w:textAlignment w:val="center"/>
              <w:rPr>
                <w:rFonts w:eastAsia="宋体"/>
                <w:color w:val="auto"/>
                <w:sz w:val="18"/>
                <w:szCs w:val="18"/>
                <w:highlight w:val="none"/>
              </w:rPr>
            </w:pPr>
            <w:r>
              <w:rPr>
                <w:rFonts w:eastAsia="宋体"/>
                <w:color w:val="auto"/>
                <w:kern w:val="0"/>
                <w:sz w:val="18"/>
                <w:szCs w:val="18"/>
                <w:highlight w:val="none"/>
                <w:lang w:bidi="ar"/>
              </w:rPr>
              <w:t>7、巴楚县多来提巴格乡第一小学等乡村学校：铺设石材窗台板144.81平方米；会议室拆除吊顶70平方米，讲台8.61立方米，塑钢窗1樘；7村小学窗台板拆除79</w:t>
            </w:r>
            <w:r>
              <w:rPr>
                <w:rFonts w:hint="eastAsia" w:eastAsia="宋体"/>
                <w:color w:val="auto"/>
                <w:kern w:val="0"/>
                <w:sz w:val="18"/>
                <w:szCs w:val="18"/>
                <w:highlight w:val="none"/>
                <w:lang w:eastAsia="zh-CN" w:bidi="ar"/>
              </w:rPr>
              <w:t>.2</w:t>
            </w:r>
            <w:r>
              <w:rPr>
                <w:rFonts w:eastAsia="宋体"/>
                <w:color w:val="auto"/>
                <w:kern w:val="0"/>
                <w:sz w:val="18"/>
                <w:szCs w:val="18"/>
                <w:highlight w:val="none"/>
                <w:lang w:bidi="ar"/>
              </w:rPr>
              <w:t>平方米；9村小学窗台板拆除58</w:t>
            </w:r>
            <w:r>
              <w:rPr>
                <w:rFonts w:hint="eastAsia" w:eastAsia="宋体"/>
                <w:color w:val="auto"/>
                <w:kern w:val="0"/>
                <w:sz w:val="18"/>
                <w:szCs w:val="18"/>
                <w:highlight w:val="none"/>
                <w:lang w:eastAsia="zh-CN" w:bidi="ar"/>
              </w:rPr>
              <w:t>.9</w:t>
            </w:r>
            <w:r>
              <w:rPr>
                <w:rFonts w:eastAsia="宋体"/>
                <w:color w:val="auto"/>
                <w:kern w:val="0"/>
                <w:sz w:val="18"/>
                <w:szCs w:val="18"/>
                <w:highlight w:val="none"/>
                <w:lang w:bidi="ar"/>
              </w:rPr>
              <w:t>平方米，9村小学墙面涂料1865</w:t>
            </w:r>
            <w:r>
              <w:rPr>
                <w:rFonts w:hint="eastAsia" w:eastAsia="宋体"/>
                <w:color w:val="auto"/>
                <w:kern w:val="0"/>
                <w:sz w:val="18"/>
                <w:szCs w:val="18"/>
                <w:highlight w:val="none"/>
                <w:lang w:eastAsia="zh-CN" w:bidi="ar"/>
              </w:rPr>
              <w:t>.4</w:t>
            </w:r>
            <w:r>
              <w:rPr>
                <w:rFonts w:eastAsia="宋体"/>
                <w:color w:val="auto"/>
                <w:kern w:val="0"/>
                <w:sz w:val="18"/>
                <w:szCs w:val="18"/>
                <w:highlight w:val="none"/>
                <w:lang w:bidi="ar"/>
              </w:rPr>
              <w:t>平方米；15村小学宿舍楼铝合金门4樘，宿舍楼地面防水卷材550平方米，电气改造工程；食堂地面、电路、暖气及吊顶改造900平方米，室外安装50立方米化粪池、给排水管网等。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atLeast"/>
        </w:trPr>
        <w:tc>
          <w:tcPr>
            <w:tcW w:w="1301"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022"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250"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417"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300"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716" w:type="dxa"/>
            <w:tcBorders>
              <w:tl2br w:val="nil"/>
              <w:tr2bl w:val="nil"/>
            </w:tcBorders>
            <w:shd w:val="clear" w:color="auto" w:fill="auto"/>
            <w:vAlign w:val="center"/>
          </w:tcPr>
          <w:p>
            <w:pPr>
              <w:keepNext/>
              <w:keepLines/>
              <w:tabs>
                <w:tab w:val="left" w:pos="2496"/>
              </w:tabs>
              <w:spacing w:line="240" w:lineRule="auto"/>
              <w:ind w:firstLine="0" w:firstLineChars="0"/>
              <w:jc w:val="center"/>
              <w:textAlignment w:val="center"/>
              <w:rPr>
                <w:rFonts w:eastAsia="宋体"/>
                <w:color w:val="auto"/>
                <w:kern w:val="0"/>
                <w:sz w:val="18"/>
                <w:szCs w:val="18"/>
                <w:highlight w:val="none"/>
                <w:lang w:bidi="ar"/>
              </w:rPr>
            </w:pPr>
            <w:r>
              <w:rPr>
                <w:rFonts w:hint="eastAsia" w:eastAsia="宋体"/>
                <w:color w:val="auto"/>
                <w:kern w:val="0"/>
                <w:sz w:val="18"/>
                <w:szCs w:val="18"/>
                <w:highlight w:val="none"/>
                <w:lang w:val="en-US" w:eastAsia="zh-CN" w:bidi="ar"/>
              </w:rPr>
              <w:t>验收合格</w:t>
            </w:r>
            <w:r>
              <w:rPr>
                <w:rFonts w:hint="eastAsia" w:eastAsia="宋体"/>
                <w:color w:val="auto"/>
                <w:kern w:val="0"/>
                <w:sz w:val="18"/>
                <w:szCs w:val="18"/>
                <w:highlight w:val="none"/>
                <w:lang w:eastAsia="zh-CN" w:bidi="ar"/>
              </w:rPr>
              <w:t>，</w:t>
            </w:r>
            <w:r>
              <w:rPr>
                <w:rFonts w:hint="eastAsia" w:eastAsia="宋体"/>
                <w:color w:val="auto"/>
                <w:kern w:val="0"/>
                <w:sz w:val="18"/>
                <w:szCs w:val="18"/>
                <w:highlight w:val="none"/>
                <w:lang w:val="en-US" w:eastAsia="zh-CN" w:bidi="ar"/>
              </w:rPr>
              <w:t>已</w:t>
            </w:r>
            <w:r>
              <w:rPr>
                <w:rFonts w:hint="eastAsia" w:eastAsia="宋体"/>
                <w:color w:val="auto"/>
                <w:kern w:val="0"/>
                <w:sz w:val="18"/>
                <w:szCs w:val="18"/>
                <w:highlight w:val="none"/>
                <w:lang w:eastAsia="zh-CN" w:bidi="ar"/>
              </w:rPr>
              <w:t>投入使用</w:t>
            </w:r>
          </w:p>
        </w:tc>
        <w:tc>
          <w:tcPr>
            <w:tcW w:w="6168" w:type="dxa"/>
            <w:tcBorders>
              <w:tl2br w:val="nil"/>
              <w:tr2bl w:val="nil"/>
            </w:tcBorders>
            <w:shd w:val="clear" w:color="auto" w:fill="auto"/>
            <w:vAlign w:val="center"/>
          </w:tcPr>
          <w:p>
            <w:pPr>
              <w:keepNext/>
              <w:keepLines/>
              <w:spacing w:line="240" w:lineRule="auto"/>
              <w:ind w:firstLine="0" w:firstLineChars="0"/>
              <w:jc w:val="left"/>
              <w:textAlignment w:val="center"/>
              <w:rPr>
                <w:rFonts w:eastAsia="宋体"/>
                <w:color w:val="auto"/>
                <w:sz w:val="18"/>
                <w:szCs w:val="18"/>
                <w:highlight w:val="none"/>
              </w:rPr>
            </w:pPr>
            <w:r>
              <w:rPr>
                <w:rFonts w:eastAsia="宋体"/>
                <w:color w:val="auto"/>
                <w:kern w:val="0"/>
                <w:sz w:val="18"/>
                <w:szCs w:val="18"/>
                <w:highlight w:val="none"/>
                <w:lang w:bidi="ar"/>
              </w:rPr>
              <w:t>8、巴楚县多来提巴格乡中学：改造校舍外墙保温9483平方米、外墙粉刷32000平方米、屋面防水3820.35平方米。室外暖气管道改造1610米，地面硬化1500平方米等。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0" w:hRule="atLeast"/>
        </w:trPr>
        <w:tc>
          <w:tcPr>
            <w:tcW w:w="1301"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022"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250"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417"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300"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716" w:type="dxa"/>
            <w:tcBorders>
              <w:tl2br w:val="nil"/>
              <w:tr2bl w:val="nil"/>
            </w:tcBorders>
            <w:shd w:val="clear" w:color="auto" w:fill="auto"/>
            <w:vAlign w:val="center"/>
          </w:tcPr>
          <w:p>
            <w:pPr>
              <w:keepNext/>
              <w:keepLines/>
              <w:tabs>
                <w:tab w:val="left" w:pos="2496"/>
              </w:tabs>
              <w:spacing w:line="240" w:lineRule="auto"/>
              <w:ind w:firstLine="0" w:firstLineChars="0"/>
              <w:jc w:val="center"/>
              <w:textAlignment w:val="center"/>
              <w:rPr>
                <w:rFonts w:eastAsia="宋体"/>
                <w:color w:val="auto"/>
                <w:kern w:val="0"/>
                <w:sz w:val="18"/>
                <w:szCs w:val="18"/>
                <w:highlight w:val="none"/>
                <w:lang w:bidi="ar"/>
              </w:rPr>
            </w:pPr>
            <w:r>
              <w:rPr>
                <w:rFonts w:hint="eastAsia" w:eastAsia="宋体"/>
                <w:color w:val="auto"/>
                <w:kern w:val="0"/>
                <w:sz w:val="18"/>
                <w:szCs w:val="18"/>
                <w:highlight w:val="none"/>
                <w:lang w:val="en-US" w:eastAsia="zh-CN" w:bidi="ar"/>
              </w:rPr>
              <w:t>验收合格</w:t>
            </w:r>
            <w:r>
              <w:rPr>
                <w:rFonts w:hint="eastAsia" w:eastAsia="宋体"/>
                <w:color w:val="auto"/>
                <w:kern w:val="0"/>
                <w:sz w:val="18"/>
                <w:szCs w:val="18"/>
                <w:highlight w:val="none"/>
                <w:lang w:eastAsia="zh-CN" w:bidi="ar"/>
              </w:rPr>
              <w:t>，</w:t>
            </w:r>
            <w:r>
              <w:rPr>
                <w:rFonts w:hint="eastAsia" w:eastAsia="宋体"/>
                <w:color w:val="auto"/>
                <w:kern w:val="0"/>
                <w:sz w:val="18"/>
                <w:szCs w:val="18"/>
                <w:highlight w:val="none"/>
                <w:lang w:val="en-US" w:eastAsia="zh-CN" w:bidi="ar"/>
              </w:rPr>
              <w:t>已</w:t>
            </w:r>
            <w:r>
              <w:rPr>
                <w:rFonts w:hint="eastAsia" w:eastAsia="宋体"/>
                <w:color w:val="auto"/>
                <w:kern w:val="0"/>
                <w:sz w:val="18"/>
                <w:szCs w:val="18"/>
                <w:highlight w:val="none"/>
                <w:lang w:eastAsia="zh-CN" w:bidi="ar"/>
              </w:rPr>
              <w:t>投入使用</w:t>
            </w:r>
          </w:p>
        </w:tc>
        <w:tc>
          <w:tcPr>
            <w:tcW w:w="6168" w:type="dxa"/>
            <w:tcBorders>
              <w:tl2br w:val="nil"/>
              <w:tr2bl w:val="nil"/>
            </w:tcBorders>
            <w:shd w:val="clear" w:color="auto" w:fill="auto"/>
            <w:vAlign w:val="center"/>
          </w:tcPr>
          <w:p>
            <w:pPr>
              <w:keepNext/>
              <w:keepLines/>
              <w:spacing w:line="240" w:lineRule="auto"/>
              <w:ind w:firstLine="0" w:firstLineChars="0"/>
              <w:jc w:val="left"/>
              <w:textAlignment w:val="center"/>
              <w:rPr>
                <w:rFonts w:eastAsia="宋体"/>
                <w:color w:val="auto"/>
                <w:sz w:val="18"/>
                <w:szCs w:val="18"/>
                <w:highlight w:val="none"/>
              </w:rPr>
            </w:pPr>
            <w:r>
              <w:rPr>
                <w:rFonts w:eastAsia="宋体"/>
                <w:color w:val="auto"/>
                <w:kern w:val="0"/>
                <w:sz w:val="18"/>
                <w:szCs w:val="18"/>
                <w:highlight w:val="none"/>
                <w:lang w:bidi="ar"/>
              </w:rPr>
              <w:t>9、巴楚县色力布亚镇第一中学：4号教学楼室内粉刷13000平方米；改造室内暖气2822平方米；改造室外暖气管网520米。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1301" w:type="dxa"/>
            <w:vMerge w:val="continue"/>
            <w:tcBorders>
              <w:tl2br w:val="nil"/>
              <w:tr2bl w:val="nil"/>
            </w:tcBorders>
            <w:shd w:val="clear" w:color="auto" w:fill="auto"/>
            <w:vAlign w:val="center"/>
          </w:tcPr>
          <w:p>
            <w:pPr>
              <w:keepNext/>
              <w:keepLines/>
              <w:spacing w:line="240" w:lineRule="auto"/>
              <w:ind w:firstLine="0" w:firstLineChars="0"/>
              <w:jc w:val="center"/>
              <w:textAlignment w:val="center"/>
              <w:rPr>
                <w:rFonts w:eastAsia="宋体"/>
                <w:color w:val="auto"/>
                <w:sz w:val="18"/>
                <w:szCs w:val="18"/>
                <w:highlight w:val="none"/>
              </w:rPr>
            </w:pPr>
          </w:p>
        </w:tc>
        <w:tc>
          <w:tcPr>
            <w:tcW w:w="1022" w:type="dxa"/>
            <w:vMerge w:val="continue"/>
            <w:tcBorders>
              <w:tl2br w:val="nil"/>
              <w:tr2bl w:val="nil"/>
            </w:tcBorders>
            <w:shd w:val="clear" w:color="auto" w:fill="auto"/>
            <w:vAlign w:val="center"/>
          </w:tcPr>
          <w:p>
            <w:pPr>
              <w:keepNext/>
              <w:keepLines/>
              <w:spacing w:line="240" w:lineRule="auto"/>
              <w:ind w:firstLine="0" w:firstLineChars="0"/>
              <w:jc w:val="center"/>
              <w:textAlignment w:val="center"/>
              <w:rPr>
                <w:rFonts w:eastAsia="宋体"/>
                <w:color w:val="auto"/>
                <w:sz w:val="18"/>
                <w:szCs w:val="18"/>
                <w:highlight w:val="none"/>
              </w:rPr>
            </w:pPr>
          </w:p>
        </w:tc>
        <w:tc>
          <w:tcPr>
            <w:tcW w:w="1250" w:type="dxa"/>
            <w:vMerge w:val="continue"/>
            <w:tcBorders>
              <w:tl2br w:val="nil"/>
              <w:tr2bl w:val="nil"/>
            </w:tcBorders>
            <w:shd w:val="clear" w:color="auto" w:fill="auto"/>
            <w:vAlign w:val="center"/>
          </w:tcPr>
          <w:p>
            <w:pPr>
              <w:keepNext/>
              <w:keepLines/>
              <w:spacing w:line="240" w:lineRule="auto"/>
              <w:ind w:firstLine="0" w:firstLineChars="0"/>
              <w:jc w:val="center"/>
              <w:textAlignment w:val="center"/>
              <w:rPr>
                <w:rFonts w:eastAsia="宋体"/>
                <w:color w:val="auto"/>
                <w:sz w:val="18"/>
                <w:szCs w:val="18"/>
                <w:highlight w:val="none"/>
              </w:rPr>
            </w:pPr>
          </w:p>
        </w:tc>
        <w:tc>
          <w:tcPr>
            <w:tcW w:w="1417" w:type="dxa"/>
            <w:vMerge w:val="continue"/>
            <w:tcBorders>
              <w:tl2br w:val="nil"/>
              <w:tr2bl w:val="nil"/>
            </w:tcBorders>
            <w:shd w:val="clear" w:color="auto" w:fill="auto"/>
            <w:vAlign w:val="center"/>
          </w:tcPr>
          <w:p>
            <w:pPr>
              <w:keepNext/>
              <w:keepLines/>
              <w:spacing w:line="240" w:lineRule="auto"/>
              <w:ind w:firstLine="0" w:firstLineChars="0"/>
              <w:jc w:val="center"/>
              <w:textAlignment w:val="center"/>
              <w:rPr>
                <w:rFonts w:eastAsia="宋体"/>
                <w:color w:val="auto"/>
                <w:sz w:val="18"/>
                <w:szCs w:val="18"/>
                <w:highlight w:val="none"/>
              </w:rPr>
            </w:pPr>
          </w:p>
        </w:tc>
        <w:tc>
          <w:tcPr>
            <w:tcW w:w="1300" w:type="dxa"/>
            <w:vMerge w:val="continue"/>
            <w:tcBorders>
              <w:tl2br w:val="nil"/>
              <w:tr2bl w:val="nil"/>
            </w:tcBorders>
            <w:shd w:val="clear" w:color="auto" w:fill="auto"/>
            <w:vAlign w:val="center"/>
          </w:tcPr>
          <w:p>
            <w:pPr>
              <w:keepNext/>
              <w:keepLines/>
              <w:spacing w:line="240" w:lineRule="auto"/>
              <w:ind w:firstLine="0" w:firstLineChars="0"/>
              <w:jc w:val="center"/>
              <w:textAlignment w:val="center"/>
              <w:rPr>
                <w:rFonts w:eastAsia="宋体"/>
                <w:color w:val="auto"/>
                <w:sz w:val="18"/>
                <w:szCs w:val="18"/>
                <w:highlight w:val="none"/>
              </w:rPr>
            </w:pPr>
          </w:p>
        </w:tc>
        <w:tc>
          <w:tcPr>
            <w:tcW w:w="1716" w:type="dxa"/>
            <w:tcBorders>
              <w:tl2br w:val="nil"/>
              <w:tr2bl w:val="nil"/>
            </w:tcBorders>
            <w:shd w:val="clear" w:color="auto" w:fill="auto"/>
            <w:vAlign w:val="center"/>
          </w:tcPr>
          <w:p>
            <w:pPr>
              <w:keepNext/>
              <w:keepLines/>
              <w:tabs>
                <w:tab w:val="left" w:pos="2496"/>
              </w:tabs>
              <w:spacing w:line="240" w:lineRule="auto"/>
              <w:ind w:firstLine="0" w:firstLineChars="0"/>
              <w:jc w:val="center"/>
              <w:textAlignment w:val="center"/>
              <w:rPr>
                <w:rFonts w:eastAsia="宋体"/>
                <w:color w:val="auto"/>
                <w:kern w:val="0"/>
                <w:sz w:val="18"/>
                <w:szCs w:val="18"/>
                <w:highlight w:val="none"/>
                <w:lang w:bidi="ar"/>
              </w:rPr>
            </w:pPr>
            <w:r>
              <w:rPr>
                <w:rFonts w:hint="eastAsia" w:eastAsia="宋体"/>
                <w:color w:val="auto"/>
                <w:kern w:val="0"/>
                <w:sz w:val="18"/>
                <w:szCs w:val="18"/>
                <w:highlight w:val="none"/>
                <w:lang w:val="en-US" w:eastAsia="zh-CN" w:bidi="ar"/>
              </w:rPr>
              <w:t>验收合格</w:t>
            </w:r>
            <w:r>
              <w:rPr>
                <w:rFonts w:hint="eastAsia" w:eastAsia="宋体"/>
                <w:color w:val="auto"/>
                <w:kern w:val="0"/>
                <w:sz w:val="18"/>
                <w:szCs w:val="18"/>
                <w:highlight w:val="none"/>
                <w:lang w:eastAsia="zh-CN" w:bidi="ar"/>
              </w:rPr>
              <w:t>，</w:t>
            </w:r>
            <w:r>
              <w:rPr>
                <w:rFonts w:hint="eastAsia" w:eastAsia="宋体"/>
                <w:color w:val="auto"/>
                <w:kern w:val="0"/>
                <w:sz w:val="18"/>
                <w:szCs w:val="18"/>
                <w:highlight w:val="none"/>
                <w:lang w:val="en-US" w:eastAsia="zh-CN" w:bidi="ar"/>
              </w:rPr>
              <w:t>已</w:t>
            </w:r>
            <w:r>
              <w:rPr>
                <w:rFonts w:hint="eastAsia" w:eastAsia="宋体"/>
                <w:color w:val="auto"/>
                <w:kern w:val="0"/>
                <w:sz w:val="18"/>
                <w:szCs w:val="18"/>
                <w:highlight w:val="none"/>
                <w:lang w:eastAsia="zh-CN" w:bidi="ar"/>
              </w:rPr>
              <w:t>投入使用</w:t>
            </w:r>
          </w:p>
        </w:tc>
        <w:tc>
          <w:tcPr>
            <w:tcW w:w="6168" w:type="dxa"/>
            <w:tcBorders>
              <w:tl2br w:val="nil"/>
              <w:tr2bl w:val="nil"/>
            </w:tcBorders>
            <w:shd w:val="clear" w:color="auto" w:fill="auto"/>
            <w:vAlign w:val="center"/>
          </w:tcPr>
          <w:p>
            <w:pPr>
              <w:keepNext/>
              <w:keepLines/>
              <w:spacing w:line="240" w:lineRule="auto"/>
              <w:ind w:firstLine="0" w:firstLineChars="0"/>
              <w:jc w:val="left"/>
              <w:textAlignment w:val="center"/>
              <w:rPr>
                <w:rFonts w:eastAsia="宋体"/>
                <w:color w:val="auto"/>
                <w:sz w:val="18"/>
                <w:szCs w:val="18"/>
                <w:highlight w:val="none"/>
              </w:rPr>
            </w:pPr>
            <w:r>
              <w:rPr>
                <w:rFonts w:eastAsia="宋体"/>
                <w:color w:val="auto"/>
                <w:kern w:val="0"/>
                <w:sz w:val="18"/>
                <w:szCs w:val="18"/>
                <w:highlight w:val="none"/>
                <w:lang w:bidi="ar"/>
              </w:rPr>
              <w:t>10、巴楚县第一小学：教学楼室内粉刷10318.72平方米，改造卫生间380平方米，吊顶150平方米，消防改造10318.72平方米，墙面粉刷涂料1520平方米，包窗户和门套9樘，校舍改造452.47平方米，改造计算机教室84.75平方米，改造室内电气150平方米，室外安装围栏80米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trPr>
        <w:tc>
          <w:tcPr>
            <w:tcW w:w="1301"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022"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250"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417"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300"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716" w:type="dxa"/>
            <w:tcBorders>
              <w:tl2br w:val="nil"/>
              <w:tr2bl w:val="nil"/>
            </w:tcBorders>
            <w:shd w:val="clear" w:color="auto" w:fill="auto"/>
            <w:vAlign w:val="center"/>
          </w:tcPr>
          <w:p>
            <w:pPr>
              <w:keepNext/>
              <w:keepLines/>
              <w:tabs>
                <w:tab w:val="left" w:pos="2496"/>
              </w:tabs>
              <w:spacing w:line="240" w:lineRule="auto"/>
              <w:ind w:firstLine="0" w:firstLineChars="0"/>
              <w:jc w:val="center"/>
              <w:textAlignment w:val="center"/>
              <w:rPr>
                <w:rFonts w:eastAsia="宋体"/>
                <w:color w:val="auto"/>
                <w:kern w:val="0"/>
                <w:sz w:val="18"/>
                <w:szCs w:val="18"/>
                <w:highlight w:val="none"/>
                <w:lang w:bidi="ar"/>
              </w:rPr>
            </w:pPr>
            <w:r>
              <w:rPr>
                <w:rFonts w:hint="eastAsia" w:eastAsia="宋体"/>
                <w:color w:val="auto"/>
                <w:kern w:val="0"/>
                <w:sz w:val="18"/>
                <w:szCs w:val="18"/>
                <w:highlight w:val="none"/>
                <w:lang w:val="en-US" w:eastAsia="zh-CN" w:bidi="ar"/>
              </w:rPr>
              <w:t>验收合格</w:t>
            </w:r>
            <w:r>
              <w:rPr>
                <w:rFonts w:hint="eastAsia" w:eastAsia="宋体"/>
                <w:color w:val="auto"/>
                <w:kern w:val="0"/>
                <w:sz w:val="18"/>
                <w:szCs w:val="18"/>
                <w:highlight w:val="none"/>
                <w:lang w:eastAsia="zh-CN" w:bidi="ar"/>
              </w:rPr>
              <w:t>，</w:t>
            </w:r>
            <w:r>
              <w:rPr>
                <w:rFonts w:hint="eastAsia" w:eastAsia="宋体"/>
                <w:color w:val="auto"/>
                <w:kern w:val="0"/>
                <w:sz w:val="18"/>
                <w:szCs w:val="18"/>
                <w:highlight w:val="none"/>
                <w:lang w:val="en-US" w:eastAsia="zh-CN" w:bidi="ar"/>
              </w:rPr>
              <w:t>已</w:t>
            </w:r>
            <w:r>
              <w:rPr>
                <w:rFonts w:hint="eastAsia" w:eastAsia="宋体"/>
                <w:color w:val="auto"/>
                <w:kern w:val="0"/>
                <w:sz w:val="18"/>
                <w:szCs w:val="18"/>
                <w:highlight w:val="none"/>
                <w:lang w:eastAsia="zh-CN" w:bidi="ar"/>
              </w:rPr>
              <w:t>投入使用</w:t>
            </w:r>
          </w:p>
        </w:tc>
        <w:tc>
          <w:tcPr>
            <w:tcW w:w="6168" w:type="dxa"/>
            <w:tcBorders>
              <w:tl2br w:val="nil"/>
              <w:tr2bl w:val="nil"/>
            </w:tcBorders>
            <w:shd w:val="clear" w:color="auto" w:fill="auto"/>
            <w:vAlign w:val="center"/>
          </w:tcPr>
          <w:p>
            <w:pPr>
              <w:keepNext/>
              <w:keepLines/>
              <w:spacing w:line="240" w:lineRule="auto"/>
              <w:ind w:firstLine="0" w:firstLineChars="0"/>
              <w:jc w:val="left"/>
              <w:textAlignment w:val="center"/>
              <w:rPr>
                <w:rFonts w:eastAsia="宋体"/>
                <w:color w:val="auto"/>
                <w:sz w:val="18"/>
                <w:szCs w:val="18"/>
                <w:highlight w:val="none"/>
              </w:rPr>
            </w:pPr>
            <w:r>
              <w:rPr>
                <w:rFonts w:eastAsia="宋体"/>
                <w:color w:val="auto"/>
                <w:kern w:val="0"/>
                <w:sz w:val="18"/>
                <w:szCs w:val="18"/>
                <w:highlight w:val="none"/>
                <w:lang w:bidi="ar"/>
              </w:rPr>
              <w:t>11、巴楚县第六小学：改造消防水泵及报警器24套；改造外墙瓷砖墙面80平方米，金属纱窗1023樘，墙面涂料500平方米，改造教学楼电气975平方米；改造洗手间洗脸盆16组，教学楼全玻幕墙180.35平方米；地面硬化510平方米，配置微型消防站等附属设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0" w:hRule="atLeast"/>
        </w:trPr>
        <w:tc>
          <w:tcPr>
            <w:tcW w:w="1301"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022"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250"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417"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300"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716" w:type="dxa"/>
            <w:tcBorders>
              <w:tl2br w:val="nil"/>
              <w:tr2bl w:val="nil"/>
            </w:tcBorders>
            <w:shd w:val="clear" w:color="auto" w:fill="auto"/>
            <w:vAlign w:val="center"/>
          </w:tcPr>
          <w:p>
            <w:pPr>
              <w:keepNext/>
              <w:keepLines/>
              <w:tabs>
                <w:tab w:val="left" w:pos="2496"/>
              </w:tabs>
              <w:spacing w:line="240" w:lineRule="auto"/>
              <w:ind w:firstLine="0" w:firstLineChars="0"/>
              <w:jc w:val="center"/>
              <w:textAlignment w:val="center"/>
              <w:rPr>
                <w:rFonts w:eastAsia="宋体"/>
                <w:color w:val="auto"/>
                <w:kern w:val="0"/>
                <w:sz w:val="18"/>
                <w:szCs w:val="18"/>
                <w:highlight w:val="none"/>
                <w:lang w:bidi="ar"/>
              </w:rPr>
            </w:pPr>
            <w:r>
              <w:rPr>
                <w:rFonts w:hint="eastAsia" w:eastAsia="宋体"/>
                <w:color w:val="auto"/>
                <w:kern w:val="0"/>
                <w:sz w:val="18"/>
                <w:szCs w:val="18"/>
                <w:highlight w:val="none"/>
                <w:lang w:val="en-US" w:eastAsia="zh-CN" w:bidi="ar"/>
              </w:rPr>
              <w:t>验收合格</w:t>
            </w:r>
            <w:r>
              <w:rPr>
                <w:rFonts w:hint="eastAsia" w:eastAsia="宋体"/>
                <w:color w:val="auto"/>
                <w:kern w:val="0"/>
                <w:sz w:val="18"/>
                <w:szCs w:val="18"/>
                <w:highlight w:val="none"/>
                <w:lang w:eastAsia="zh-CN" w:bidi="ar"/>
              </w:rPr>
              <w:t>，</w:t>
            </w:r>
            <w:r>
              <w:rPr>
                <w:rFonts w:hint="eastAsia" w:eastAsia="宋体"/>
                <w:color w:val="auto"/>
                <w:kern w:val="0"/>
                <w:sz w:val="18"/>
                <w:szCs w:val="18"/>
                <w:highlight w:val="none"/>
                <w:lang w:val="en-US" w:eastAsia="zh-CN" w:bidi="ar"/>
              </w:rPr>
              <w:t>已</w:t>
            </w:r>
            <w:r>
              <w:rPr>
                <w:rFonts w:hint="eastAsia" w:eastAsia="宋体"/>
                <w:color w:val="auto"/>
                <w:kern w:val="0"/>
                <w:sz w:val="18"/>
                <w:szCs w:val="18"/>
                <w:highlight w:val="none"/>
                <w:lang w:eastAsia="zh-CN" w:bidi="ar"/>
              </w:rPr>
              <w:t>投入使用</w:t>
            </w:r>
          </w:p>
        </w:tc>
        <w:tc>
          <w:tcPr>
            <w:tcW w:w="6168" w:type="dxa"/>
            <w:tcBorders>
              <w:tl2br w:val="nil"/>
              <w:tr2bl w:val="nil"/>
            </w:tcBorders>
            <w:shd w:val="clear" w:color="auto" w:fill="auto"/>
            <w:vAlign w:val="center"/>
          </w:tcPr>
          <w:p>
            <w:pPr>
              <w:keepNext/>
              <w:keepLines/>
              <w:spacing w:line="240" w:lineRule="auto"/>
              <w:ind w:firstLine="0" w:firstLineChars="0"/>
              <w:jc w:val="left"/>
              <w:textAlignment w:val="center"/>
              <w:rPr>
                <w:rFonts w:eastAsia="宋体"/>
                <w:color w:val="auto"/>
                <w:sz w:val="18"/>
                <w:szCs w:val="18"/>
                <w:highlight w:val="none"/>
              </w:rPr>
            </w:pPr>
            <w:r>
              <w:rPr>
                <w:rFonts w:eastAsia="宋体"/>
                <w:color w:val="auto"/>
                <w:kern w:val="0"/>
                <w:sz w:val="18"/>
                <w:szCs w:val="18"/>
                <w:highlight w:val="none"/>
                <w:lang w:bidi="ar"/>
              </w:rPr>
              <w:t>12、巴楚县色力布亚镇第二中学：运动场铺设塑胶跑道3000平方米，篮球场铺设悬浮地板2000平方米等附属设施。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atLeast"/>
        </w:trPr>
        <w:tc>
          <w:tcPr>
            <w:tcW w:w="1301"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022"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250"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417"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300"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716" w:type="dxa"/>
            <w:tcBorders>
              <w:tl2br w:val="nil"/>
              <w:tr2bl w:val="nil"/>
            </w:tcBorders>
            <w:shd w:val="clear" w:color="auto" w:fill="auto"/>
            <w:vAlign w:val="center"/>
          </w:tcPr>
          <w:p>
            <w:pPr>
              <w:keepNext/>
              <w:keepLines/>
              <w:tabs>
                <w:tab w:val="left" w:pos="2496"/>
              </w:tabs>
              <w:spacing w:line="240" w:lineRule="auto"/>
              <w:ind w:firstLine="0" w:firstLineChars="0"/>
              <w:jc w:val="center"/>
              <w:textAlignment w:val="center"/>
              <w:rPr>
                <w:rFonts w:eastAsia="宋体"/>
                <w:color w:val="auto"/>
                <w:kern w:val="0"/>
                <w:sz w:val="18"/>
                <w:szCs w:val="18"/>
                <w:highlight w:val="none"/>
                <w:lang w:bidi="ar"/>
              </w:rPr>
            </w:pPr>
            <w:r>
              <w:rPr>
                <w:rFonts w:hint="eastAsia" w:eastAsia="宋体"/>
                <w:color w:val="auto"/>
                <w:kern w:val="0"/>
                <w:sz w:val="18"/>
                <w:szCs w:val="18"/>
                <w:highlight w:val="none"/>
                <w:lang w:val="en-US" w:eastAsia="zh-CN" w:bidi="ar"/>
              </w:rPr>
              <w:t>验收合格</w:t>
            </w:r>
            <w:r>
              <w:rPr>
                <w:rFonts w:hint="eastAsia" w:eastAsia="宋体"/>
                <w:color w:val="auto"/>
                <w:kern w:val="0"/>
                <w:sz w:val="18"/>
                <w:szCs w:val="18"/>
                <w:highlight w:val="none"/>
                <w:lang w:eastAsia="zh-CN" w:bidi="ar"/>
              </w:rPr>
              <w:t>，</w:t>
            </w:r>
            <w:r>
              <w:rPr>
                <w:rFonts w:hint="eastAsia" w:eastAsia="宋体"/>
                <w:color w:val="auto"/>
                <w:kern w:val="0"/>
                <w:sz w:val="18"/>
                <w:szCs w:val="18"/>
                <w:highlight w:val="none"/>
                <w:lang w:val="en-US" w:eastAsia="zh-CN" w:bidi="ar"/>
              </w:rPr>
              <w:t>已</w:t>
            </w:r>
            <w:r>
              <w:rPr>
                <w:rFonts w:hint="eastAsia" w:eastAsia="宋体"/>
                <w:color w:val="auto"/>
                <w:kern w:val="0"/>
                <w:sz w:val="18"/>
                <w:szCs w:val="18"/>
                <w:highlight w:val="none"/>
                <w:lang w:eastAsia="zh-CN" w:bidi="ar"/>
              </w:rPr>
              <w:t>投入使用</w:t>
            </w:r>
          </w:p>
        </w:tc>
        <w:tc>
          <w:tcPr>
            <w:tcW w:w="6168" w:type="dxa"/>
            <w:tcBorders>
              <w:tl2br w:val="nil"/>
              <w:tr2bl w:val="nil"/>
            </w:tcBorders>
            <w:shd w:val="clear" w:color="auto" w:fill="auto"/>
            <w:vAlign w:val="center"/>
          </w:tcPr>
          <w:p>
            <w:pPr>
              <w:keepNext/>
              <w:keepLines/>
              <w:spacing w:line="240" w:lineRule="auto"/>
              <w:ind w:firstLine="0" w:firstLineChars="0"/>
              <w:jc w:val="left"/>
              <w:textAlignment w:val="center"/>
              <w:rPr>
                <w:rFonts w:eastAsia="宋体"/>
                <w:color w:val="auto"/>
                <w:sz w:val="18"/>
                <w:szCs w:val="18"/>
                <w:highlight w:val="none"/>
              </w:rPr>
            </w:pPr>
            <w:r>
              <w:rPr>
                <w:rFonts w:eastAsia="宋体"/>
                <w:color w:val="auto"/>
                <w:kern w:val="0"/>
                <w:sz w:val="18"/>
                <w:szCs w:val="18"/>
                <w:highlight w:val="none"/>
                <w:lang w:bidi="ar"/>
              </w:rPr>
              <w:t>13、巴楚县夏马勒第一小学等乡村学校：改造室内暖气268组，铁艺围墙55米，改造大门2座；改造食堂上下水160平方米，食堂墙面粉刷100平方米，更换瓷砖160平方米；地面硬化2000平方米等附属设施。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0" w:hRule="atLeast"/>
        </w:trPr>
        <w:tc>
          <w:tcPr>
            <w:tcW w:w="1301"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022"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250"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417"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300" w:type="dxa"/>
            <w:vMerge w:val="continue"/>
            <w:tcBorders>
              <w:tl2br w:val="nil"/>
              <w:tr2bl w:val="nil"/>
            </w:tcBorders>
            <w:shd w:val="clear" w:color="auto" w:fill="auto"/>
            <w:vAlign w:val="center"/>
          </w:tcPr>
          <w:p>
            <w:pPr>
              <w:keepNext/>
              <w:keepLines/>
              <w:spacing w:line="240" w:lineRule="auto"/>
              <w:ind w:firstLine="0" w:firstLineChars="0"/>
              <w:jc w:val="center"/>
              <w:rPr>
                <w:rFonts w:eastAsia="宋体"/>
                <w:color w:val="auto"/>
                <w:sz w:val="18"/>
                <w:szCs w:val="18"/>
                <w:highlight w:val="none"/>
              </w:rPr>
            </w:pPr>
          </w:p>
        </w:tc>
        <w:tc>
          <w:tcPr>
            <w:tcW w:w="1716" w:type="dxa"/>
            <w:tcBorders>
              <w:tl2br w:val="nil"/>
              <w:tr2bl w:val="nil"/>
            </w:tcBorders>
            <w:shd w:val="clear" w:color="auto" w:fill="auto"/>
            <w:vAlign w:val="center"/>
          </w:tcPr>
          <w:p>
            <w:pPr>
              <w:keepNext/>
              <w:keepLines/>
              <w:tabs>
                <w:tab w:val="left" w:pos="2496"/>
              </w:tabs>
              <w:spacing w:line="240" w:lineRule="auto"/>
              <w:ind w:firstLine="0" w:firstLineChars="0"/>
              <w:jc w:val="center"/>
              <w:textAlignment w:val="center"/>
              <w:rPr>
                <w:rFonts w:eastAsia="宋体"/>
                <w:color w:val="auto"/>
                <w:kern w:val="0"/>
                <w:sz w:val="18"/>
                <w:szCs w:val="18"/>
                <w:highlight w:val="none"/>
                <w:lang w:bidi="ar"/>
              </w:rPr>
            </w:pPr>
            <w:r>
              <w:rPr>
                <w:rFonts w:hint="eastAsia" w:eastAsia="宋体"/>
                <w:color w:val="auto"/>
                <w:kern w:val="0"/>
                <w:sz w:val="18"/>
                <w:szCs w:val="18"/>
                <w:highlight w:val="none"/>
                <w:lang w:val="en-US" w:eastAsia="zh-CN" w:bidi="ar"/>
              </w:rPr>
              <w:t>验收合格</w:t>
            </w:r>
            <w:r>
              <w:rPr>
                <w:rFonts w:hint="eastAsia" w:eastAsia="宋体"/>
                <w:color w:val="auto"/>
                <w:kern w:val="0"/>
                <w:sz w:val="18"/>
                <w:szCs w:val="18"/>
                <w:highlight w:val="none"/>
                <w:lang w:eastAsia="zh-CN" w:bidi="ar"/>
              </w:rPr>
              <w:t>，</w:t>
            </w:r>
            <w:r>
              <w:rPr>
                <w:rFonts w:hint="eastAsia" w:eastAsia="宋体"/>
                <w:color w:val="auto"/>
                <w:kern w:val="0"/>
                <w:sz w:val="18"/>
                <w:szCs w:val="18"/>
                <w:highlight w:val="none"/>
                <w:lang w:val="en-US" w:eastAsia="zh-CN" w:bidi="ar"/>
              </w:rPr>
              <w:t>已</w:t>
            </w:r>
            <w:r>
              <w:rPr>
                <w:rFonts w:hint="eastAsia" w:eastAsia="宋体"/>
                <w:color w:val="auto"/>
                <w:kern w:val="0"/>
                <w:sz w:val="18"/>
                <w:szCs w:val="18"/>
                <w:highlight w:val="none"/>
                <w:lang w:eastAsia="zh-CN" w:bidi="ar"/>
              </w:rPr>
              <w:t>投入使用</w:t>
            </w:r>
          </w:p>
        </w:tc>
        <w:tc>
          <w:tcPr>
            <w:tcW w:w="6168" w:type="dxa"/>
            <w:tcBorders>
              <w:tl2br w:val="nil"/>
              <w:tr2bl w:val="nil"/>
            </w:tcBorders>
            <w:shd w:val="clear" w:color="auto" w:fill="auto"/>
            <w:vAlign w:val="center"/>
          </w:tcPr>
          <w:p>
            <w:pPr>
              <w:keepNext/>
              <w:keepLines/>
              <w:spacing w:line="240" w:lineRule="auto"/>
              <w:ind w:firstLine="0" w:firstLineChars="0"/>
              <w:jc w:val="left"/>
              <w:textAlignment w:val="center"/>
              <w:rPr>
                <w:rFonts w:eastAsia="宋体"/>
                <w:color w:val="auto"/>
                <w:sz w:val="18"/>
                <w:szCs w:val="18"/>
                <w:highlight w:val="none"/>
              </w:rPr>
            </w:pPr>
            <w:r>
              <w:rPr>
                <w:rFonts w:eastAsia="宋体"/>
                <w:color w:val="auto"/>
                <w:kern w:val="0"/>
                <w:sz w:val="18"/>
                <w:szCs w:val="18"/>
                <w:highlight w:val="none"/>
                <w:lang w:bidi="ar"/>
              </w:rPr>
              <w:t>14、巴楚县恰尔巴格乡第二小学：拆建围墙280米。</w:t>
            </w:r>
          </w:p>
        </w:tc>
      </w:tr>
    </w:tbl>
    <w:p>
      <w:pPr>
        <w:keepNext/>
        <w:keepLines/>
        <w:ind w:firstLine="442"/>
        <w:rPr>
          <w:b/>
          <w:bCs/>
          <w:color w:val="auto"/>
          <w:sz w:val="22"/>
          <w:szCs w:val="22"/>
          <w:highlight w:val="none"/>
        </w:rPr>
        <w:sectPr>
          <w:footerReference r:id="rId13" w:type="default"/>
          <w:pgSz w:w="16838" w:h="11906" w:orient="landscape"/>
          <w:pgMar w:top="1800" w:right="1440" w:bottom="1800" w:left="1440" w:header="851" w:footer="907" w:gutter="0"/>
          <w:pgBorders>
            <w:top w:val="none" w:sz="0" w:space="0"/>
            <w:left w:val="none" w:sz="0" w:space="0"/>
            <w:bottom w:val="none" w:sz="0" w:space="0"/>
            <w:right w:val="none" w:sz="0" w:space="0"/>
          </w:pgBorders>
          <w:cols w:space="425" w:num="1"/>
          <w:docGrid w:type="lines" w:linePitch="312" w:charSpace="0"/>
        </w:sectPr>
      </w:pPr>
    </w:p>
    <w:p>
      <w:pPr>
        <w:pStyle w:val="2"/>
        <w:ind w:firstLine="0" w:firstLineChars="0"/>
        <w:rPr>
          <w:color w:val="auto"/>
          <w:highlight w:val="none"/>
        </w:rPr>
      </w:pPr>
      <w:bookmarkStart w:id="342" w:name="_Toc4359"/>
      <w:bookmarkStart w:id="343" w:name="_Toc2538"/>
      <w:bookmarkStart w:id="344" w:name="_Toc8904"/>
      <w:bookmarkStart w:id="345" w:name="_Toc9633"/>
      <w:bookmarkStart w:id="346" w:name="_Toc32546"/>
      <w:bookmarkStart w:id="347" w:name="_Toc2310"/>
      <w:bookmarkStart w:id="348" w:name="_Toc1889"/>
      <w:bookmarkStart w:id="349" w:name="_Toc14923"/>
      <w:bookmarkStart w:id="350" w:name="_Toc29169"/>
      <w:r>
        <w:rPr>
          <w:color w:val="auto"/>
          <w:highlight w:val="none"/>
        </w:rPr>
        <w:t>附件3：问卷调查分析报告</w:t>
      </w:r>
      <w:bookmarkEnd w:id="342"/>
      <w:bookmarkEnd w:id="343"/>
      <w:bookmarkEnd w:id="344"/>
      <w:bookmarkEnd w:id="345"/>
      <w:bookmarkEnd w:id="346"/>
      <w:bookmarkEnd w:id="347"/>
      <w:bookmarkEnd w:id="348"/>
      <w:bookmarkEnd w:id="349"/>
      <w:bookmarkEnd w:id="350"/>
    </w:p>
    <w:p>
      <w:pPr>
        <w:keepNext/>
        <w:keepLines/>
        <w:ind w:firstLine="420"/>
        <w:rPr>
          <w:color w:val="auto"/>
          <w:highlight w:val="none"/>
        </w:rPr>
      </w:pPr>
      <w:r>
        <w:rPr>
          <w:color w:val="auto"/>
          <w:highlight w:val="none"/>
        </w:rPr>
        <w:t>本次绩效评价的对象为喀什地区巴楚县2023年城乡义务教育农村校舍安全保障长效机制项目（第一批），为客观评价该项目的社会效果，绩效评价小组依据公共支出绩效评价</w:t>
      </w:r>
      <w:r>
        <w:rPr>
          <w:rFonts w:hint="eastAsia"/>
          <w:color w:val="auto"/>
          <w:highlight w:val="none"/>
        </w:rPr>
        <w:t>“</w:t>
      </w:r>
      <w:r>
        <w:rPr>
          <w:color w:val="auto"/>
          <w:highlight w:val="none"/>
        </w:rPr>
        <w:t>为顾客服务</w:t>
      </w:r>
      <w:r>
        <w:rPr>
          <w:rFonts w:hint="eastAsia"/>
          <w:color w:val="auto"/>
          <w:highlight w:val="none"/>
        </w:rPr>
        <w:t>”</w:t>
      </w:r>
      <w:r>
        <w:rPr>
          <w:color w:val="auto"/>
          <w:highlight w:val="none"/>
        </w:rPr>
        <w:t>原理，引入</w:t>
      </w:r>
      <w:r>
        <w:rPr>
          <w:rFonts w:hint="eastAsia"/>
          <w:color w:val="auto"/>
          <w:highlight w:val="none"/>
        </w:rPr>
        <w:t>“</w:t>
      </w:r>
      <w:r>
        <w:rPr>
          <w:color w:val="auto"/>
          <w:highlight w:val="none"/>
        </w:rPr>
        <w:t>受益教师及学生满意度</w:t>
      </w:r>
      <w:r>
        <w:rPr>
          <w:rFonts w:hint="eastAsia"/>
          <w:color w:val="auto"/>
          <w:highlight w:val="none"/>
        </w:rPr>
        <w:t>”</w:t>
      </w:r>
      <w:r>
        <w:rPr>
          <w:color w:val="auto"/>
          <w:highlight w:val="none"/>
        </w:rPr>
        <w:t>等效益指标，了解受益师生对项目的评价情况，对本项目展开满意度问卷调查。问卷调查工作情况如下：</w:t>
      </w:r>
    </w:p>
    <w:p>
      <w:pPr>
        <w:keepNext/>
        <w:keepLines/>
        <w:ind w:firstLine="422"/>
        <w:rPr>
          <w:b/>
          <w:bCs/>
          <w:color w:val="auto"/>
          <w:highlight w:val="none"/>
        </w:rPr>
      </w:pPr>
      <w:bookmarkStart w:id="351" w:name="_Toc529373554"/>
      <w:bookmarkStart w:id="352" w:name="_Toc529373321"/>
      <w:r>
        <w:rPr>
          <w:b/>
          <w:bCs/>
          <w:color w:val="auto"/>
          <w:highlight w:val="none"/>
        </w:rPr>
        <w:t>1.调查对象</w:t>
      </w:r>
      <w:bookmarkEnd w:id="351"/>
      <w:bookmarkEnd w:id="352"/>
    </w:p>
    <w:p>
      <w:pPr>
        <w:keepNext/>
        <w:keepLines/>
        <w:ind w:firstLine="420"/>
        <w:rPr>
          <w:color w:val="auto"/>
          <w:highlight w:val="none"/>
        </w:rPr>
      </w:pPr>
      <w:r>
        <w:rPr>
          <w:color w:val="auto"/>
          <w:highlight w:val="none"/>
        </w:rPr>
        <w:t>结合喀什地区巴楚县2023年城乡义务教育农村校舍安全保障长效机制项目（第一批）建设工作实施情况及实际问卷调查可操作性，本次满意度问卷旨在考察受益师生对项目的校园改造情况、安全状况、设施维修、安全教育等方面满意度情况。因此，本次满意度调查的对象为受益师生。</w:t>
      </w:r>
    </w:p>
    <w:p>
      <w:pPr>
        <w:keepNext/>
        <w:keepLines/>
        <w:ind w:firstLine="422"/>
        <w:rPr>
          <w:b/>
          <w:bCs/>
          <w:color w:val="auto"/>
          <w:highlight w:val="none"/>
        </w:rPr>
      </w:pPr>
      <w:bookmarkStart w:id="353" w:name="_Toc529373322"/>
      <w:bookmarkStart w:id="354" w:name="_Toc529373555"/>
      <w:r>
        <w:rPr>
          <w:b/>
          <w:bCs/>
          <w:color w:val="auto"/>
          <w:highlight w:val="none"/>
        </w:rPr>
        <w:t>2.调查内容</w:t>
      </w:r>
      <w:bookmarkEnd w:id="353"/>
      <w:bookmarkEnd w:id="354"/>
    </w:p>
    <w:p>
      <w:pPr>
        <w:keepNext/>
        <w:keepLines/>
        <w:ind w:firstLine="420"/>
        <w:rPr>
          <w:color w:val="auto"/>
          <w:highlight w:val="none"/>
        </w:rPr>
      </w:pPr>
      <w:r>
        <w:rPr>
          <w:color w:val="auto"/>
          <w:highlight w:val="none"/>
        </w:rPr>
        <w:t>（1）对喀什地区巴楚县2023年城乡义务教育农村校舍安全保障长效机制项目（第一批）实施后的满意度，包括对项目情况是否了解、知晓和满意、对项目维修改造是否了解和满意等。</w:t>
      </w:r>
    </w:p>
    <w:p>
      <w:pPr>
        <w:keepNext/>
        <w:keepLines/>
        <w:ind w:firstLine="420"/>
        <w:rPr>
          <w:color w:val="auto"/>
          <w:highlight w:val="none"/>
        </w:rPr>
      </w:pPr>
      <w:r>
        <w:rPr>
          <w:color w:val="auto"/>
          <w:highlight w:val="none"/>
        </w:rPr>
        <w:t>（2）对喀什地区巴楚县2023年城乡义务教育农村校舍安全保障长效机制项目（第一批）的意见和建议，通过开放式问答收集，涵盖各个方面。</w:t>
      </w:r>
    </w:p>
    <w:p>
      <w:pPr>
        <w:keepNext/>
        <w:keepLines/>
        <w:ind w:firstLine="422"/>
        <w:rPr>
          <w:b/>
          <w:bCs/>
          <w:color w:val="auto"/>
          <w:highlight w:val="none"/>
        </w:rPr>
      </w:pPr>
      <w:bookmarkStart w:id="355" w:name="_Toc529373323"/>
      <w:bookmarkStart w:id="356" w:name="_Toc529373556"/>
      <w:r>
        <w:rPr>
          <w:b/>
          <w:bCs/>
          <w:color w:val="auto"/>
          <w:highlight w:val="none"/>
        </w:rPr>
        <w:t>3.调查方法</w:t>
      </w:r>
      <w:bookmarkEnd w:id="355"/>
      <w:bookmarkEnd w:id="356"/>
    </w:p>
    <w:p>
      <w:pPr>
        <w:keepNext/>
        <w:keepLines/>
        <w:ind w:firstLine="420"/>
        <w:rPr>
          <w:color w:val="auto"/>
          <w:highlight w:val="none"/>
        </w:rPr>
      </w:pPr>
      <w:r>
        <w:rPr>
          <w:color w:val="auto"/>
          <w:highlight w:val="none"/>
        </w:rPr>
        <w:t>为确保问卷调查的全面性和代表性，在全面调研开展之前会先进行论证，依据论证结果对问卷和抽样方案再进行一次修改和调整。本次问卷调查采取抽样和重点选取的方式进行，对2023年度受益师生为样本，发放问卷</w:t>
      </w:r>
      <w:r>
        <w:rPr>
          <w:rFonts w:hint="eastAsia"/>
          <w:color w:val="auto"/>
          <w:highlight w:val="none"/>
          <w:lang w:eastAsia="zh-CN"/>
        </w:rPr>
        <w:t>1320</w:t>
      </w:r>
      <w:r>
        <w:rPr>
          <w:color w:val="auto"/>
          <w:highlight w:val="none"/>
        </w:rPr>
        <w:t>份。</w:t>
      </w:r>
    </w:p>
    <w:p>
      <w:pPr>
        <w:keepNext/>
        <w:keepLines/>
        <w:ind w:firstLine="422"/>
        <w:rPr>
          <w:b/>
          <w:bCs/>
          <w:color w:val="auto"/>
          <w:highlight w:val="none"/>
        </w:rPr>
      </w:pPr>
      <w:bookmarkStart w:id="357" w:name="_Toc529373325"/>
      <w:bookmarkStart w:id="358" w:name="_Toc529373558"/>
      <w:r>
        <w:rPr>
          <w:b/>
          <w:bCs/>
          <w:color w:val="auto"/>
          <w:highlight w:val="none"/>
        </w:rPr>
        <w:t>4.问卷的发放和回收</w:t>
      </w:r>
      <w:bookmarkEnd w:id="357"/>
      <w:bookmarkEnd w:id="358"/>
    </w:p>
    <w:p>
      <w:pPr>
        <w:keepNext/>
        <w:keepLines/>
        <w:ind w:firstLine="420"/>
        <w:jc w:val="left"/>
        <w:rPr>
          <w:color w:val="auto"/>
          <w:highlight w:val="none"/>
        </w:rPr>
      </w:pPr>
      <w:r>
        <w:rPr>
          <w:color w:val="auto"/>
          <w:highlight w:val="none"/>
        </w:rPr>
        <w:t>为充分采集调查对象的真实想法，保证问卷调查的公平性和科学性，本次问卷通过线上问卷形式进行发放与回收。</w:t>
      </w:r>
    </w:p>
    <w:p>
      <w:pPr>
        <w:keepNext/>
        <w:keepLines/>
        <w:ind w:left="420" w:leftChars="200" w:firstLine="0" w:firstLineChars="0"/>
        <w:jc w:val="left"/>
        <w:rPr>
          <w:b/>
          <w:bCs/>
          <w:color w:val="auto"/>
          <w:highlight w:val="none"/>
        </w:rPr>
      </w:pPr>
      <w:r>
        <w:rPr>
          <w:b/>
          <w:bCs/>
          <w:color w:val="auto"/>
          <w:highlight w:val="none"/>
        </w:rPr>
        <w:t>5.问卷调查分析结果</w:t>
      </w:r>
    </w:p>
    <w:p>
      <w:pPr>
        <w:keepNext/>
        <w:keepLines/>
        <w:ind w:firstLine="420"/>
        <w:jc w:val="left"/>
        <w:rPr>
          <w:color w:val="auto"/>
          <w:highlight w:val="none"/>
        </w:rPr>
      </w:pPr>
      <w:r>
        <w:rPr>
          <w:color w:val="auto"/>
          <w:highlight w:val="none"/>
        </w:rPr>
        <w:t>本次调研过程中，评价组实际发放问卷</w:t>
      </w:r>
      <w:r>
        <w:rPr>
          <w:rFonts w:hint="eastAsia"/>
          <w:color w:val="auto"/>
          <w:highlight w:val="none"/>
          <w:lang w:eastAsia="zh-CN"/>
        </w:rPr>
        <w:t>1320</w:t>
      </w:r>
      <w:r>
        <w:rPr>
          <w:color w:val="auto"/>
          <w:highlight w:val="none"/>
        </w:rPr>
        <w:t>份，回收问卷</w:t>
      </w:r>
      <w:r>
        <w:rPr>
          <w:rFonts w:hint="eastAsia"/>
          <w:color w:val="auto"/>
          <w:highlight w:val="none"/>
          <w:lang w:eastAsia="zh-CN"/>
        </w:rPr>
        <w:t>1320</w:t>
      </w:r>
      <w:r>
        <w:rPr>
          <w:color w:val="auto"/>
          <w:highlight w:val="none"/>
        </w:rPr>
        <w:t>份，问卷回收率为100%，有效问卷</w:t>
      </w:r>
      <w:r>
        <w:rPr>
          <w:rFonts w:hint="eastAsia"/>
          <w:color w:val="auto"/>
          <w:highlight w:val="none"/>
          <w:lang w:eastAsia="zh-CN"/>
        </w:rPr>
        <w:t>1320</w:t>
      </w:r>
      <w:r>
        <w:rPr>
          <w:color w:val="auto"/>
          <w:highlight w:val="none"/>
        </w:rPr>
        <w:t>份，有效回收率100%，调研问卷总体满意度为87.69%。根据问卷调查结果反馈，受益师生对项目实施后带来的生活便利比较满意，对学校的安全教育、安全程度的保障方面总体比较满意，对校园设施改造、宿舍条件的改善的程度对满意程度一般。本次调研的具体情况如下：</w:t>
      </w:r>
    </w:p>
    <w:p>
      <w:pPr>
        <w:keepNext/>
        <w:keepLines/>
        <w:ind w:firstLine="420"/>
        <w:jc w:val="left"/>
        <w:rPr>
          <w:color w:val="auto"/>
          <w:highlight w:val="none"/>
        </w:rPr>
      </w:pPr>
    </w:p>
    <w:p>
      <w:pPr>
        <w:keepNext/>
        <w:keepLines/>
        <w:ind w:firstLine="420"/>
        <w:jc w:val="left"/>
        <w:rPr>
          <w:color w:val="auto"/>
          <w:highlight w:val="none"/>
        </w:rPr>
      </w:pPr>
    </w:p>
    <w:p>
      <w:pPr>
        <w:keepNext/>
        <w:keepLines/>
        <w:ind w:firstLine="420"/>
        <w:jc w:val="left"/>
        <w:rPr>
          <w:color w:val="auto"/>
          <w:highlight w:val="none"/>
        </w:rPr>
      </w:pPr>
    </w:p>
    <w:p>
      <w:pPr>
        <w:keepNext/>
        <w:keepLines/>
        <w:ind w:firstLine="420"/>
        <w:jc w:val="left"/>
        <w:rPr>
          <w:color w:val="auto"/>
          <w:highlight w:val="none"/>
        </w:rPr>
      </w:pPr>
    </w:p>
    <w:tbl>
      <w:tblPr>
        <w:tblStyle w:val="19"/>
        <w:tblW w:w="8522" w:type="dxa"/>
        <w:tblInd w:w="0" w:type="dxa"/>
        <w:tblLayout w:type="fixed"/>
        <w:tblCellMar>
          <w:top w:w="0" w:type="dxa"/>
          <w:left w:w="108" w:type="dxa"/>
          <w:bottom w:w="0" w:type="dxa"/>
          <w:right w:w="108" w:type="dxa"/>
        </w:tblCellMar>
      </w:tblPr>
      <w:tblGrid>
        <w:gridCol w:w="3207"/>
        <w:gridCol w:w="2608"/>
        <w:gridCol w:w="2707"/>
      </w:tblGrid>
      <w:tr>
        <w:tblPrEx>
          <w:tblCellMar>
            <w:top w:w="0" w:type="dxa"/>
            <w:left w:w="108" w:type="dxa"/>
            <w:bottom w:w="0" w:type="dxa"/>
            <w:right w:w="108" w:type="dxa"/>
          </w:tblCellMar>
        </w:tblPrEx>
        <w:trPr>
          <w:trHeight w:val="300" w:hRule="atLeast"/>
        </w:trPr>
        <w:tc>
          <w:tcPr>
            <w:tcW w:w="85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1.您的身份是?</w:t>
            </w:r>
          </w:p>
        </w:tc>
      </w:tr>
      <w:tr>
        <w:tblPrEx>
          <w:tblCellMar>
            <w:top w:w="0" w:type="dxa"/>
            <w:left w:w="108" w:type="dxa"/>
            <w:bottom w:w="0" w:type="dxa"/>
            <w:right w:w="108" w:type="dxa"/>
          </w:tblCellMar>
        </w:tblPrEx>
        <w:trPr>
          <w:trHeight w:val="300" w:hRule="atLeast"/>
        </w:trPr>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选项</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反馈数量</w:t>
            </w:r>
          </w:p>
        </w:tc>
        <w:tc>
          <w:tcPr>
            <w:tcW w:w="2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占比</w:t>
            </w:r>
          </w:p>
        </w:tc>
      </w:tr>
      <w:tr>
        <w:tblPrEx>
          <w:tblCellMar>
            <w:top w:w="0" w:type="dxa"/>
            <w:left w:w="108" w:type="dxa"/>
            <w:bottom w:w="0" w:type="dxa"/>
            <w:right w:w="108" w:type="dxa"/>
          </w:tblCellMar>
        </w:tblPrEx>
        <w:trPr>
          <w:trHeight w:val="300" w:hRule="atLeast"/>
        </w:trPr>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学生</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270</w:t>
            </w:r>
          </w:p>
        </w:tc>
        <w:tc>
          <w:tcPr>
            <w:tcW w:w="2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20.45%</w:t>
            </w:r>
          </w:p>
        </w:tc>
      </w:tr>
      <w:tr>
        <w:tblPrEx>
          <w:tblCellMar>
            <w:top w:w="0" w:type="dxa"/>
            <w:left w:w="108" w:type="dxa"/>
            <w:bottom w:w="0" w:type="dxa"/>
            <w:right w:w="108" w:type="dxa"/>
          </w:tblCellMar>
        </w:tblPrEx>
        <w:trPr>
          <w:trHeight w:val="312" w:hRule="atLeast"/>
        </w:trPr>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教师</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1050</w:t>
            </w:r>
          </w:p>
        </w:tc>
        <w:tc>
          <w:tcPr>
            <w:tcW w:w="2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79.55%</w:t>
            </w:r>
          </w:p>
        </w:tc>
      </w:tr>
      <w:tr>
        <w:tblPrEx>
          <w:tblCellMar>
            <w:top w:w="0" w:type="dxa"/>
            <w:left w:w="108" w:type="dxa"/>
            <w:bottom w:w="0" w:type="dxa"/>
            <w:right w:w="108" w:type="dxa"/>
          </w:tblCellMar>
        </w:tblPrEx>
        <w:trPr>
          <w:trHeight w:val="700" w:hRule="atLeast"/>
        </w:trPr>
        <w:tc>
          <w:tcPr>
            <w:tcW w:w="85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2.您目前所在的学校的校园设施（例：教学楼、学生宿舍、食堂、地面、围墙等其附属设施等）是否得到改进?</w:t>
            </w:r>
          </w:p>
        </w:tc>
      </w:tr>
      <w:tr>
        <w:tblPrEx>
          <w:tblCellMar>
            <w:top w:w="0" w:type="dxa"/>
            <w:left w:w="108" w:type="dxa"/>
            <w:bottom w:w="0" w:type="dxa"/>
            <w:right w:w="108" w:type="dxa"/>
          </w:tblCellMar>
        </w:tblPrEx>
        <w:trPr>
          <w:trHeight w:val="300" w:hRule="atLeast"/>
        </w:trPr>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选项</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反馈数量</w:t>
            </w:r>
          </w:p>
        </w:tc>
        <w:tc>
          <w:tcPr>
            <w:tcW w:w="2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占比</w:t>
            </w:r>
          </w:p>
        </w:tc>
      </w:tr>
      <w:tr>
        <w:tblPrEx>
          <w:tblCellMar>
            <w:top w:w="0" w:type="dxa"/>
            <w:left w:w="108" w:type="dxa"/>
            <w:bottom w:w="0" w:type="dxa"/>
            <w:right w:w="108" w:type="dxa"/>
          </w:tblCellMar>
        </w:tblPrEx>
        <w:trPr>
          <w:trHeight w:val="300" w:hRule="atLeast"/>
        </w:trPr>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明显改善</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676</w:t>
            </w:r>
          </w:p>
        </w:tc>
        <w:tc>
          <w:tcPr>
            <w:tcW w:w="2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51.21%</w:t>
            </w:r>
          </w:p>
        </w:tc>
      </w:tr>
      <w:tr>
        <w:tblPrEx>
          <w:tblCellMar>
            <w:top w:w="0" w:type="dxa"/>
            <w:left w:w="108" w:type="dxa"/>
            <w:bottom w:w="0" w:type="dxa"/>
            <w:right w:w="108" w:type="dxa"/>
          </w:tblCellMar>
        </w:tblPrEx>
        <w:trPr>
          <w:trHeight w:val="300" w:hRule="atLeast"/>
        </w:trPr>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有所改善</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416</w:t>
            </w:r>
          </w:p>
        </w:tc>
        <w:tc>
          <w:tcPr>
            <w:tcW w:w="2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31.52%</w:t>
            </w:r>
          </w:p>
        </w:tc>
      </w:tr>
      <w:tr>
        <w:tblPrEx>
          <w:tblCellMar>
            <w:top w:w="0" w:type="dxa"/>
            <w:left w:w="108" w:type="dxa"/>
            <w:bottom w:w="0" w:type="dxa"/>
            <w:right w:w="108" w:type="dxa"/>
          </w:tblCellMar>
        </w:tblPrEx>
        <w:trPr>
          <w:trHeight w:val="300" w:hRule="atLeast"/>
        </w:trPr>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一般</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163</w:t>
            </w:r>
          </w:p>
        </w:tc>
        <w:tc>
          <w:tcPr>
            <w:tcW w:w="2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12.35%</w:t>
            </w:r>
          </w:p>
        </w:tc>
      </w:tr>
      <w:tr>
        <w:tblPrEx>
          <w:tblCellMar>
            <w:top w:w="0" w:type="dxa"/>
            <w:left w:w="108" w:type="dxa"/>
            <w:bottom w:w="0" w:type="dxa"/>
            <w:right w:w="108" w:type="dxa"/>
          </w:tblCellMar>
        </w:tblPrEx>
        <w:trPr>
          <w:trHeight w:val="300" w:hRule="atLeast"/>
        </w:trPr>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略有改善</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39</w:t>
            </w:r>
          </w:p>
        </w:tc>
        <w:tc>
          <w:tcPr>
            <w:tcW w:w="2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2.95%</w:t>
            </w:r>
          </w:p>
        </w:tc>
      </w:tr>
      <w:tr>
        <w:tblPrEx>
          <w:tblCellMar>
            <w:top w:w="0" w:type="dxa"/>
            <w:left w:w="108" w:type="dxa"/>
            <w:bottom w:w="0" w:type="dxa"/>
            <w:right w:w="108" w:type="dxa"/>
          </w:tblCellMar>
        </w:tblPrEx>
        <w:trPr>
          <w:trHeight w:val="300" w:hRule="atLeast"/>
        </w:trPr>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没有改善</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26</w:t>
            </w:r>
          </w:p>
        </w:tc>
        <w:tc>
          <w:tcPr>
            <w:tcW w:w="2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1.97%</w:t>
            </w:r>
          </w:p>
        </w:tc>
      </w:tr>
      <w:tr>
        <w:tblPrEx>
          <w:tblCellMar>
            <w:top w:w="0" w:type="dxa"/>
            <w:left w:w="108" w:type="dxa"/>
            <w:bottom w:w="0" w:type="dxa"/>
            <w:right w:w="108" w:type="dxa"/>
          </w:tblCellMar>
        </w:tblPrEx>
        <w:trPr>
          <w:trHeight w:val="310" w:hRule="atLeast"/>
        </w:trPr>
        <w:tc>
          <w:tcPr>
            <w:tcW w:w="85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textAlignment w:val="center"/>
              <w:rPr>
                <w:rFonts w:eastAsia="宋体"/>
                <w:color w:val="auto"/>
                <w:sz w:val="20"/>
                <w:szCs w:val="20"/>
                <w:highlight w:val="none"/>
              </w:rPr>
            </w:pPr>
            <w:r>
              <w:rPr>
                <w:rFonts w:eastAsia="宋体"/>
                <w:color w:val="auto"/>
                <w:kern w:val="0"/>
                <w:sz w:val="20"/>
                <w:szCs w:val="20"/>
                <w:highlight w:val="none"/>
                <w:lang w:bidi="ar"/>
              </w:rPr>
              <w:t>3.您目前所在的学校的宿舍条件是否有所改善？</w:t>
            </w:r>
          </w:p>
        </w:tc>
      </w:tr>
      <w:tr>
        <w:tblPrEx>
          <w:tblCellMar>
            <w:top w:w="0" w:type="dxa"/>
            <w:left w:w="108" w:type="dxa"/>
            <w:bottom w:w="0" w:type="dxa"/>
            <w:right w:w="108" w:type="dxa"/>
          </w:tblCellMar>
        </w:tblPrEx>
        <w:trPr>
          <w:trHeight w:val="300" w:hRule="atLeast"/>
        </w:trPr>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选项</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反馈数量</w:t>
            </w:r>
          </w:p>
        </w:tc>
        <w:tc>
          <w:tcPr>
            <w:tcW w:w="2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占比</w:t>
            </w:r>
          </w:p>
        </w:tc>
      </w:tr>
      <w:tr>
        <w:tblPrEx>
          <w:tblCellMar>
            <w:top w:w="0" w:type="dxa"/>
            <w:left w:w="108" w:type="dxa"/>
            <w:bottom w:w="0" w:type="dxa"/>
            <w:right w:w="108" w:type="dxa"/>
          </w:tblCellMar>
        </w:tblPrEx>
        <w:trPr>
          <w:trHeight w:val="300" w:hRule="atLeast"/>
        </w:trPr>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明显改善</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654</w:t>
            </w:r>
          </w:p>
        </w:tc>
        <w:tc>
          <w:tcPr>
            <w:tcW w:w="2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49.55%</w:t>
            </w:r>
          </w:p>
        </w:tc>
      </w:tr>
      <w:tr>
        <w:tblPrEx>
          <w:tblCellMar>
            <w:top w:w="0" w:type="dxa"/>
            <w:left w:w="108" w:type="dxa"/>
            <w:bottom w:w="0" w:type="dxa"/>
            <w:right w:w="108" w:type="dxa"/>
          </w:tblCellMar>
        </w:tblPrEx>
        <w:trPr>
          <w:trHeight w:val="300" w:hRule="atLeast"/>
        </w:trPr>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有所改善</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397</w:t>
            </w:r>
          </w:p>
        </w:tc>
        <w:tc>
          <w:tcPr>
            <w:tcW w:w="2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30.08%</w:t>
            </w:r>
          </w:p>
        </w:tc>
      </w:tr>
      <w:tr>
        <w:tblPrEx>
          <w:tblCellMar>
            <w:top w:w="0" w:type="dxa"/>
            <w:left w:w="108" w:type="dxa"/>
            <w:bottom w:w="0" w:type="dxa"/>
            <w:right w:w="108" w:type="dxa"/>
          </w:tblCellMar>
        </w:tblPrEx>
        <w:trPr>
          <w:trHeight w:val="300" w:hRule="atLeast"/>
        </w:trPr>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一般</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189</w:t>
            </w:r>
          </w:p>
        </w:tc>
        <w:tc>
          <w:tcPr>
            <w:tcW w:w="2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14.32%</w:t>
            </w:r>
          </w:p>
        </w:tc>
      </w:tr>
      <w:tr>
        <w:tblPrEx>
          <w:tblCellMar>
            <w:top w:w="0" w:type="dxa"/>
            <w:left w:w="108" w:type="dxa"/>
            <w:bottom w:w="0" w:type="dxa"/>
            <w:right w:w="108" w:type="dxa"/>
          </w:tblCellMar>
        </w:tblPrEx>
        <w:trPr>
          <w:trHeight w:val="300" w:hRule="atLeast"/>
        </w:trPr>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略有改善</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36</w:t>
            </w:r>
          </w:p>
        </w:tc>
        <w:tc>
          <w:tcPr>
            <w:tcW w:w="2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2.73%</w:t>
            </w:r>
          </w:p>
        </w:tc>
      </w:tr>
      <w:tr>
        <w:tblPrEx>
          <w:tblCellMar>
            <w:top w:w="0" w:type="dxa"/>
            <w:left w:w="108" w:type="dxa"/>
            <w:bottom w:w="0" w:type="dxa"/>
            <w:right w:w="108" w:type="dxa"/>
          </w:tblCellMar>
        </w:tblPrEx>
        <w:trPr>
          <w:trHeight w:val="300" w:hRule="atLeast"/>
        </w:trPr>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没有改善</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44</w:t>
            </w:r>
          </w:p>
        </w:tc>
        <w:tc>
          <w:tcPr>
            <w:tcW w:w="2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3.33%</w:t>
            </w:r>
          </w:p>
        </w:tc>
      </w:tr>
      <w:tr>
        <w:tblPrEx>
          <w:tblCellMar>
            <w:top w:w="0" w:type="dxa"/>
            <w:left w:w="108" w:type="dxa"/>
            <w:bottom w:w="0" w:type="dxa"/>
            <w:right w:w="108" w:type="dxa"/>
          </w:tblCellMar>
        </w:tblPrEx>
        <w:trPr>
          <w:trHeight w:val="310" w:hRule="atLeast"/>
        </w:trPr>
        <w:tc>
          <w:tcPr>
            <w:tcW w:w="85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4.您认为经过改善后，校园方面的安全程度是否提高？</w:t>
            </w:r>
          </w:p>
        </w:tc>
      </w:tr>
      <w:tr>
        <w:tblPrEx>
          <w:tblCellMar>
            <w:top w:w="0" w:type="dxa"/>
            <w:left w:w="108" w:type="dxa"/>
            <w:bottom w:w="0" w:type="dxa"/>
            <w:right w:w="108" w:type="dxa"/>
          </w:tblCellMar>
        </w:tblPrEx>
        <w:trPr>
          <w:trHeight w:val="300" w:hRule="atLeast"/>
        </w:trPr>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选项</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反馈数量</w:t>
            </w:r>
          </w:p>
        </w:tc>
        <w:tc>
          <w:tcPr>
            <w:tcW w:w="2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占比</w:t>
            </w:r>
          </w:p>
        </w:tc>
      </w:tr>
      <w:tr>
        <w:tblPrEx>
          <w:tblCellMar>
            <w:top w:w="0" w:type="dxa"/>
            <w:left w:w="108" w:type="dxa"/>
            <w:bottom w:w="0" w:type="dxa"/>
            <w:right w:w="108" w:type="dxa"/>
          </w:tblCellMar>
        </w:tblPrEx>
        <w:trPr>
          <w:trHeight w:val="300" w:hRule="atLeast"/>
        </w:trPr>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显著提高</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705</w:t>
            </w:r>
          </w:p>
        </w:tc>
        <w:tc>
          <w:tcPr>
            <w:tcW w:w="2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53.41%</w:t>
            </w:r>
          </w:p>
        </w:tc>
      </w:tr>
      <w:tr>
        <w:tblPrEx>
          <w:tblCellMar>
            <w:top w:w="0" w:type="dxa"/>
            <w:left w:w="108" w:type="dxa"/>
            <w:bottom w:w="0" w:type="dxa"/>
            <w:right w:w="108" w:type="dxa"/>
          </w:tblCellMar>
        </w:tblPrEx>
        <w:trPr>
          <w:trHeight w:val="300" w:hRule="atLeast"/>
        </w:trPr>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有所提高</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440</w:t>
            </w:r>
          </w:p>
        </w:tc>
        <w:tc>
          <w:tcPr>
            <w:tcW w:w="2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33.33%</w:t>
            </w:r>
          </w:p>
        </w:tc>
      </w:tr>
      <w:tr>
        <w:tblPrEx>
          <w:tblCellMar>
            <w:top w:w="0" w:type="dxa"/>
            <w:left w:w="108" w:type="dxa"/>
            <w:bottom w:w="0" w:type="dxa"/>
            <w:right w:w="108" w:type="dxa"/>
          </w:tblCellMar>
        </w:tblPrEx>
        <w:trPr>
          <w:trHeight w:val="300" w:hRule="atLeast"/>
        </w:trPr>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一般</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138</w:t>
            </w:r>
          </w:p>
        </w:tc>
        <w:tc>
          <w:tcPr>
            <w:tcW w:w="2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10.45%</w:t>
            </w:r>
          </w:p>
        </w:tc>
      </w:tr>
      <w:tr>
        <w:tblPrEx>
          <w:tblCellMar>
            <w:top w:w="0" w:type="dxa"/>
            <w:left w:w="108" w:type="dxa"/>
            <w:bottom w:w="0" w:type="dxa"/>
            <w:right w:w="108" w:type="dxa"/>
          </w:tblCellMar>
        </w:tblPrEx>
        <w:trPr>
          <w:trHeight w:val="300" w:hRule="atLeast"/>
        </w:trPr>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略有提高</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26</w:t>
            </w:r>
          </w:p>
        </w:tc>
        <w:tc>
          <w:tcPr>
            <w:tcW w:w="2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1.97%</w:t>
            </w:r>
          </w:p>
        </w:tc>
      </w:tr>
      <w:tr>
        <w:tblPrEx>
          <w:tblCellMar>
            <w:top w:w="0" w:type="dxa"/>
            <w:left w:w="108" w:type="dxa"/>
            <w:bottom w:w="0" w:type="dxa"/>
            <w:right w:w="108" w:type="dxa"/>
          </w:tblCellMar>
        </w:tblPrEx>
        <w:trPr>
          <w:trHeight w:val="300" w:hRule="atLeast"/>
        </w:trPr>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无效果</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11</w:t>
            </w:r>
          </w:p>
        </w:tc>
        <w:tc>
          <w:tcPr>
            <w:tcW w:w="2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0.83%</w:t>
            </w:r>
          </w:p>
        </w:tc>
      </w:tr>
      <w:tr>
        <w:tblPrEx>
          <w:tblCellMar>
            <w:top w:w="0" w:type="dxa"/>
            <w:left w:w="108" w:type="dxa"/>
            <w:bottom w:w="0" w:type="dxa"/>
            <w:right w:w="108" w:type="dxa"/>
          </w:tblCellMar>
        </w:tblPrEx>
        <w:trPr>
          <w:trHeight w:val="310" w:hRule="atLeast"/>
        </w:trPr>
        <w:tc>
          <w:tcPr>
            <w:tcW w:w="85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5.据您所知，新建或改造的校舍管理维护情况如何？</w:t>
            </w:r>
          </w:p>
        </w:tc>
      </w:tr>
      <w:tr>
        <w:tblPrEx>
          <w:tblCellMar>
            <w:top w:w="0" w:type="dxa"/>
            <w:left w:w="108" w:type="dxa"/>
            <w:bottom w:w="0" w:type="dxa"/>
            <w:right w:w="108" w:type="dxa"/>
          </w:tblCellMar>
        </w:tblPrEx>
        <w:trPr>
          <w:trHeight w:val="300" w:hRule="atLeast"/>
        </w:trPr>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选项</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反馈数量</w:t>
            </w:r>
          </w:p>
        </w:tc>
        <w:tc>
          <w:tcPr>
            <w:tcW w:w="2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占比</w:t>
            </w:r>
          </w:p>
        </w:tc>
      </w:tr>
      <w:tr>
        <w:tblPrEx>
          <w:tblCellMar>
            <w:top w:w="0" w:type="dxa"/>
            <w:left w:w="108" w:type="dxa"/>
            <w:bottom w:w="0" w:type="dxa"/>
            <w:right w:w="108" w:type="dxa"/>
          </w:tblCellMar>
        </w:tblPrEx>
        <w:trPr>
          <w:trHeight w:val="479" w:hRule="atLeast"/>
        </w:trPr>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好，定期及时维护，有制度和专人负责</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777</w:t>
            </w:r>
          </w:p>
        </w:tc>
        <w:tc>
          <w:tcPr>
            <w:tcW w:w="2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58.86%</w:t>
            </w:r>
          </w:p>
        </w:tc>
      </w:tr>
      <w:tr>
        <w:tblPrEx>
          <w:tblCellMar>
            <w:top w:w="0" w:type="dxa"/>
            <w:left w:w="108" w:type="dxa"/>
            <w:bottom w:w="0" w:type="dxa"/>
            <w:right w:w="108" w:type="dxa"/>
          </w:tblCellMar>
        </w:tblPrEx>
        <w:trPr>
          <w:trHeight w:val="300" w:hRule="atLeast"/>
        </w:trPr>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比较好，维护有问题可以及时</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339</w:t>
            </w:r>
          </w:p>
        </w:tc>
        <w:tc>
          <w:tcPr>
            <w:tcW w:w="2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25.68%</w:t>
            </w:r>
          </w:p>
        </w:tc>
      </w:tr>
      <w:tr>
        <w:tblPrEx>
          <w:tblCellMar>
            <w:top w:w="0" w:type="dxa"/>
            <w:left w:w="108" w:type="dxa"/>
            <w:bottom w:w="0" w:type="dxa"/>
            <w:right w:w="108" w:type="dxa"/>
          </w:tblCellMar>
        </w:tblPrEx>
        <w:trPr>
          <w:trHeight w:val="300" w:hRule="atLeast"/>
        </w:trPr>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一般</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184</w:t>
            </w:r>
          </w:p>
        </w:tc>
        <w:tc>
          <w:tcPr>
            <w:tcW w:w="2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13.94%</w:t>
            </w:r>
          </w:p>
        </w:tc>
      </w:tr>
      <w:tr>
        <w:tblPrEx>
          <w:tblCellMar>
            <w:top w:w="0" w:type="dxa"/>
            <w:left w:w="108" w:type="dxa"/>
            <w:bottom w:w="0" w:type="dxa"/>
            <w:right w:w="108" w:type="dxa"/>
          </w:tblCellMar>
        </w:tblPrEx>
        <w:trPr>
          <w:trHeight w:val="300" w:hRule="atLeast"/>
        </w:trPr>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不好，没人管理维护</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6</w:t>
            </w:r>
          </w:p>
        </w:tc>
        <w:tc>
          <w:tcPr>
            <w:tcW w:w="2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0.45%</w:t>
            </w:r>
          </w:p>
        </w:tc>
      </w:tr>
      <w:tr>
        <w:tblPrEx>
          <w:tblCellMar>
            <w:top w:w="0" w:type="dxa"/>
            <w:left w:w="108" w:type="dxa"/>
            <w:bottom w:w="0" w:type="dxa"/>
            <w:right w:w="108" w:type="dxa"/>
          </w:tblCellMar>
        </w:tblPrEx>
        <w:trPr>
          <w:trHeight w:val="300" w:hRule="atLeast"/>
        </w:trPr>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不清楚</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14</w:t>
            </w:r>
          </w:p>
        </w:tc>
        <w:tc>
          <w:tcPr>
            <w:tcW w:w="2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1.06%</w:t>
            </w:r>
          </w:p>
        </w:tc>
      </w:tr>
      <w:tr>
        <w:tblPrEx>
          <w:tblCellMar>
            <w:top w:w="0" w:type="dxa"/>
            <w:left w:w="108" w:type="dxa"/>
            <w:bottom w:w="0" w:type="dxa"/>
            <w:right w:w="108" w:type="dxa"/>
          </w:tblCellMar>
        </w:tblPrEx>
        <w:trPr>
          <w:trHeight w:val="310" w:hRule="atLeast"/>
        </w:trPr>
        <w:tc>
          <w:tcPr>
            <w:tcW w:w="85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6.学校开展防灾和安全教育、防灾应急演练，普及相关的安全知识的频次如何？</w:t>
            </w:r>
          </w:p>
        </w:tc>
      </w:tr>
      <w:tr>
        <w:tblPrEx>
          <w:tblCellMar>
            <w:top w:w="0" w:type="dxa"/>
            <w:left w:w="108" w:type="dxa"/>
            <w:bottom w:w="0" w:type="dxa"/>
            <w:right w:w="108" w:type="dxa"/>
          </w:tblCellMar>
        </w:tblPrEx>
        <w:trPr>
          <w:trHeight w:val="300" w:hRule="atLeast"/>
        </w:trPr>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选项</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反馈数量</w:t>
            </w:r>
          </w:p>
        </w:tc>
        <w:tc>
          <w:tcPr>
            <w:tcW w:w="2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占比</w:t>
            </w:r>
          </w:p>
        </w:tc>
      </w:tr>
      <w:tr>
        <w:tblPrEx>
          <w:tblCellMar>
            <w:top w:w="0" w:type="dxa"/>
            <w:left w:w="108" w:type="dxa"/>
            <w:bottom w:w="0" w:type="dxa"/>
            <w:right w:w="108" w:type="dxa"/>
          </w:tblCellMar>
        </w:tblPrEx>
        <w:trPr>
          <w:trHeight w:val="300" w:hRule="atLeast"/>
        </w:trPr>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定期开展，每月2次及以上</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1113</w:t>
            </w:r>
          </w:p>
        </w:tc>
        <w:tc>
          <w:tcPr>
            <w:tcW w:w="2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84.32%</w:t>
            </w:r>
          </w:p>
        </w:tc>
      </w:tr>
      <w:tr>
        <w:tblPrEx>
          <w:tblCellMar>
            <w:top w:w="0" w:type="dxa"/>
            <w:left w:w="108" w:type="dxa"/>
            <w:bottom w:w="0" w:type="dxa"/>
            <w:right w:w="108" w:type="dxa"/>
          </w:tblCellMar>
        </w:tblPrEx>
        <w:trPr>
          <w:trHeight w:val="300" w:hRule="atLeast"/>
        </w:trPr>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定期开展，每月1次</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179</w:t>
            </w:r>
          </w:p>
        </w:tc>
        <w:tc>
          <w:tcPr>
            <w:tcW w:w="2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13.56%</w:t>
            </w:r>
          </w:p>
        </w:tc>
      </w:tr>
      <w:tr>
        <w:tblPrEx>
          <w:tblCellMar>
            <w:top w:w="0" w:type="dxa"/>
            <w:left w:w="108" w:type="dxa"/>
            <w:bottom w:w="0" w:type="dxa"/>
            <w:right w:w="108" w:type="dxa"/>
          </w:tblCellMar>
        </w:tblPrEx>
        <w:trPr>
          <w:trHeight w:val="300" w:hRule="atLeast"/>
        </w:trPr>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不定期开展，每学期2次</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21</w:t>
            </w:r>
          </w:p>
        </w:tc>
        <w:tc>
          <w:tcPr>
            <w:tcW w:w="2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1.59%</w:t>
            </w:r>
          </w:p>
        </w:tc>
      </w:tr>
      <w:tr>
        <w:tblPrEx>
          <w:tblCellMar>
            <w:top w:w="0" w:type="dxa"/>
            <w:left w:w="108" w:type="dxa"/>
            <w:bottom w:w="0" w:type="dxa"/>
            <w:right w:w="108" w:type="dxa"/>
          </w:tblCellMar>
        </w:tblPrEx>
        <w:trPr>
          <w:trHeight w:val="300" w:hRule="atLeast"/>
        </w:trPr>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不定期开展，每学期1次</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6</w:t>
            </w:r>
          </w:p>
        </w:tc>
        <w:tc>
          <w:tcPr>
            <w:tcW w:w="2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0.45%</w:t>
            </w:r>
          </w:p>
        </w:tc>
      </w:tr>
      <w:tr>
        <w:tblPrEx>
          <w:tblCellMar>
            <w:top w:w="0" w:type="dxa"/>
            <w:left w:w="108" w:type="dxa"/>
            <w:bottom w:w="0" w:type="dxa"/>
            <w:right w:w="108" w:type="dxa"/>
          </w:tblCellMar>
        </w:tblPrEx>
        <w:trPr>
          <w:trHeight w:val="300" w:hRule="atLeast"/>
        </w:trPr>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未开展</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1</w:t>
            </w:r>
          </w:p>
        </w:tc>
        <w:tc>
          <w:tcPr>
            <w:tcW w:w="2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0.08%</w:t>
            </w:r>
          </w:p>
        </w:tc>
      </w:tr>
    </w:tbl>
    <w:p>
      <w:pPr>
        <w:keepNext/>
        <w:keepLines/>
        <w:ind w:firstLine="420"/>
        <w:rPr>
          <w:color w:val="auto"/>
          <w:highlight w:val="none"/>
        </w:rPr>
      </w:pPr>
      <w:r>
        <w:rPr>
          <w:color w:val="auto"/>
          <w:highlight w:val="none"/>
        </w:rPr>
        <w:br w:type="page"/>
      </w:r>
    </w:p>
    <w:tbl>
      <w:tblPr>
        <w:tblStyle w:val="19"/>
        <w:tblW w:w="8522" w:type="dxa"/>
        <w:tblInd w:w="0" w:type="dxa"/>
        <w:tblLayout w:type="fixed"/>
        <w:tblCellMar>
          <w:top w:w="0" w:type="dxa"/>
          <w:left w:w="108" w:type="dxa"/>
          <w:bottom w:w="0" w:type="dxa"/>
          <w:right w:w="108" w:type="dxa"/>
        </w:tblCellMar>
      </w:tblPr>
      <w:tblGrid>
        <w:gridCol w:w="3207"/>
        <w:gridCol w:w="2608"/>
        <w:gridCol w:w="2707"/>
      </w:tblGrid>
      <w:tr>
        <w:tblPrEx>
          <w:tblCellMar>
            <w:top w:w="0" w:type="dxa"/>
            <w:left w:w="108" w:type="dxa"/>
            <w:bottom w:w="0" w:type="dxa"/>
            <w:right w:w="108" w:type="dxa"/>
          </w:tblCellMar>
        </w:tblPrEx>
        <w:trPr>
          <w:trHeight w:val="310" w:hRule="atLeast"/>
        </w:trPr>
        <w:tc>
          <w:tcPr>
            <w:tcW w:w="85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7.维修改造后的校园会为师生的校园生活带来方便，你是否满意学校在2023年期间校园的维修改造？</w:t>
            </w:r>
          </w:p>
        </w:tc>
      </w:tr>
      <w:tr>
        <w:tblPrEx>
          <w:tblCellMar>
            <w:top w:w="0" w:type="dxa"/>
            <w:left w:w="108" w:type="dxa"/>
            <w:bottom w:w="0" w:type="dxa"/>
            <w:right w:w="108" w:type="dxa"/>
          </w:tblCellMar>
        </w:tblPrEx>
        <w:trPr>
          <w:trHeight w:val="300" w:hRule="atLeast"/>
        </w:trPr>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选项</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反馈数量</w:t>
            </w:r>
          </w:p>
        </w:tc>
        <w:tc>
          <w:tcPr>
            <w:tcW w:w="2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占比</w:t>
            </w:r>
          </w:p>
        </w:tc>
      </w:tr>
      <w:tr>
        <w:tblPrEx>
          <w:tblCellMar>
            <w:top w:w="0" w:type="dxa"/>
            <w:left w:w="108" w:type="dxa"/>
            <w:bottom w:w="0" w:type="dxa"/>
            <w:right w:w="108" w:type="dxa"/>
          </w:tblCellMar>
        </w:tblPrEx>
        <w:trPr>
          <w:trHeight w:val="300" w:hRule="atLeast"/>
        </w:trPr>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很满意</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823</w:t>
            </w:r>
          </w:p>
        </w:tc>
        <w:tc>
          <w:tcPr>
            <w:tcW w:w="2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62.35%</w:t>
            </w:r>
          </w:p>
        </w:tc>
      </w:tr>
      <w:tr>
        <w:tblPrEx>
          <w:tblCellMar>
            <w:top w:w="0" w:type="dxa"/>
            <w:left w:w="108" w:type="dxa"/>
            <w:bottom w:w="0" w:type="dxa"/>
            <w:right w:w="108" w:type="dxa"/>
          </w:tblCellMar>
        </w:tblPrEx>
        <w:trPr>
          <w:trHeight w:val="300" w:hRule="atLeast"/>
        </w:trPr>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较满意</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306</w:t>
            </w:r>
          </w:p>
        </w:tc>
        <w:tc>
          <w:tcPr>
            <w:tcW w:w="2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23.18%</w:t>
            </w:r>
          </w:p>
        </w:tc>
      </w:tr>
      <w:tr>
        <w:tblPrEx>
          <w:tblCellMar>
            <w:top w:w="0" w:type="dxa"/>
            <w:left w:w="108" w:type="dxa"/>
            <w:bottom w:w="0" w:type="dxa"/>
            <w:right w:w="108" w:type="dxa"/>
          </w:tblCellMar>
        </w:tblPrEx>
        <w:trPr>
          <w:trHeight w:val="300" w:hRule="atLeast"/>
        </w:trPr>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一般</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170</w:t>
            </w:r>
          </w:p>
        </w:tc>
        <w:tc>
          <w:tcPr>
            <w:tcW w:w="2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12.88%</w:t>
            </w:r>
          </w:p>
        </w:tc>
      </w:tr>
      <w:tr>
        <w:tblPrEx>
          <w:tblCellMar>
            <w:top w:w="0" w:type="dxa"/>
            <w:left w:w="108" w:type="dxa"/>
            <w:bottom w:w="0" w:type="dxa"/>
            <w:right w:w="108" w:type="dxa"/>
          </w:tblCellMar>
        </w:tblPrEx>
        <w:trPr>
          <w:trHeight w:val="300" w:hRule="atLeast"/>
        </w:trPr>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不满意</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16</w:t>
            </w:r>
          </w:p>
        </w:tc>
        <w:tc>
          <w:tcPr>
            <w:tcW w:w="2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1.21%</w:t>
            </w:r>
          </w:p>
        </w:tc>
      </w:tr>
      <w:tr>
        <w:tblPrEx>
          <w:tblCellMar>
            <w:top w:w="0" w:type="dxa"/>
            <w:left w:w="108" w:type="dxa"/>
            <w:bottom w:w="0" w:type="dxa"/>
            <w:right w:w="108" w:type="dxa"/>
          </w:tblCellMar>
        </w:tblPrEx>
        <w:trPr>
          <w:trHeight w:val="300" w:hRule="atLeast"/>
        </w:trPr>
        <w:tc>
          <w:tcPr>
            <w:tcW w:w="32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很不满意</w:t>
            </w:r>
          </w:p>
        </w:tc>
        <w:tc>
          <w:tcPr>
            <w:tcW w:w="26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5</w:t>
            </w:r>
          </w:p>
        </w:tc>
        <w:tc>
          <w:tcPr>
            <w:tcW w:w="27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center"/>
              <w:textAlignment w:val="center"/>
              <w:rPr>
                <w:rFonts w:eastAsia="宋体"/>
                <w:color w:val="auto"/>
                <w:sz w:val="20"/>
                <w:szCs w:val="20"/>
                <w:highlight w:val="none"/>
              </w:rPr>
            </w:pPr>
            <w:r>
              <w:rPr>
                <w:rFonts w:eastAsia="宋体"/>
                <w:color w:val="auto"/>
                <w:kern w:val="0"/>
                <w:sz w:val="20"/>
                <w:szCs w:val="20"/>
                <w:highlight w:val="none"/>
                <w:lang w:bidi="ar"/>
              </w:rPr>
              <w:t>0.38%</w:t>
            </w:r>
          </w:p>
        </w:tc>
      </w:tr>
      <w:tr>
        <w:tblPrEx>
          <w:tblCellMar>
            <w:top w:w="0" w:type="dxa"/>
            <w:left w:w="108" w:type="dxa"/>
            <w:bottom w:w="0" w:type="dxa"/>
            <w:right w:w="108" w:type="dxa"/>
          </w:tblCellMar>
        </w:tblPrEx>
        <w:trPr>
          <w:trHeight w:val="310" w:hRule="atLeast"/>
        </w:trPr>
        <w:tc>
          <w:tcPr>
            <w:tcW w:w="85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left"/>
              <w:textAlignment w:val="center"/>
              <w:rPr>
                <w:rFonts w:eastAsia="宋体"/>
                <w:color w:val="auto"/>
                <w:sz w:val="20"/>
                <w:szCs w:val="20"/>
                <w:highlight w:val="none"/>
              </w:rPr>
            </w:pPr>
            <w:r>
              <w:rPr>
                <w:rFonts w:eastAsia="宋体"/>
                <w:color w:val="auto"/>
                <w:kern w:val="0"/>
                <w:sz w:val="20"/>
                <w:szCs w:val="20"/>
                <w:highlight w:val="none"/>
                <w:lang w:bidi="ar"/>
              </w:rPr>
              <w:t>8.您对于本项目是否有其他意见或建议？</w:t>
            </w:r>
          </w:p>
        </w:tc>
      </w:tr>
      <w:tr>
        <w:tblPrEx>
          <w:tblCellMar>
            <w:top w:w="0" w:type="dxa"/>
            <w:left w:w="108" w:type="dxa"/>
            <w:bottom w:w="0" w:type="dxa"/>
            <w:right w:w="108" w:type="dxa"/>
          </w:tblCellMar>
        </w:tblPrEx>
        <w:trPr>
          <w:trHeight w:val="300" w:hRule="atLeast"/>
        </w:trPr>
        <w:tc>
          <w:tcPr>
            <w:tcW w:w="85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keepLines/>
              <w:spacing w:line="240" w:lineRule="auto"/>
              <w:ind w:firstLine="0" w:firstLineChars="0"/>
              <w:jc w:val="left"/>
              <w:rPr>
                <w:rFonts w:eastAsia="宋体"/>
                <w:color w:val="auto"/>
                <w:sz w:val="20"/>
                <w:szCs w:val="20"/>
                <w:highlight w:val="none"/>
              </w:rPr>
            </w:pPr>
            <w:r>
              <w:rPr>
                <w:rFonts w:eastAsia="宋体"/>
                <w:color w:val="auto"/>
                <w:sz w:val="20"/>
                <w:szCs w:val="20"/>
                <w:highlight w:val="none"/>
              </w:rPr>
              <w:t>无。</w:t>
            </w:r>
          </w:p>
        </w:tc>
      </w:tr>
    </w:tbl>
    <w:p>
      <w:pPr>
        <w:keepNext/>
        <w:keepLines/>
        <w:ind w:left="420" w:leftChars="200" w:firstLine="0" w:firstLineChars="0"/>
        <w:jc w:val="left"/>
        <w:rPr>
          <w:color w:val="auto"/>
          <w:highlight w:val="none"/>
        </w:rPr>
      </w:pPr>
    </w:p>
    <w:p>
      <w:pPr>
        <w:keepNext/>
        <w:keepLines/>
        <w:ind w:left="420" w:leftChars="200" w:firstLine="0" w:firstLineChars="0"/>
        <w:jc w:val="left"/>
        <w:rPr>
          <w:color w:val="auto"/>
          <w:highlight w:val="none"/>
        </w:rPr>
      </w:pPr>
    </w:p>
    <w:p>
      <w:pPr>
        <w:keepNext/>
        <w:keepLines/>
        <w:ind w:left="420" w:leftChars="200" w:firstLine="0" w:firstLineChars="0"/>
        <w:jc w:val="left"/>
        <w:rPr>
          <w:color w:val="auto"/>
          <w:highlight w:val="none"/>
        </w:rPr>
      </w:pPr>
    </w:p>
    <w:p>
      <w:pPr>
        <w:keepNext/>
        <w:keepLines/>
        <w:ind w:left="420" w:leftChars="200" w:firstLine="0" w:firstLineChars="0"/>
        <w:jc w:val="left"/>
        <w:rPr>
          <w:color w:val="auto"/>
          <w:highlight w:val="none"/>
        </w:rPr>
      </w:pPr>
    </w:p>
    <w:p>
      <w:pPr>
        <w:keepNext/>
        <w:keepLines/>
        <w:ind w:left="420" w:leftChars="200" w:firstLine="0" w:firstLineChars="0"/>
        <w:jc w:val="left"/>
        <w:rPr>
          <w:color w:val="auto"/>
          <w:highlight w:val="none"/>
        </w:rPr>
      </w:pPr>
    </w:p>
    <w:p>
      <w:pPr>
        <w:keepNext/>
        <w:keepLines/>
        <w:ind w:left="420" w:leftChars="200" w:firstLine="0" w:firstLineChars="0"/>
        <w:jc w:val="left"/>
        <w:rPr>
          <w:color w:val="auto"/>
          <w:highlight w:val="none"/>
        </w:rPr>
      </w:pPr>
    </w:p>
    <w:p>
      <w:pPr>
        <w:keepNext/>
        <w:keepLines/>
        <w:ind w:left="420" w:leftChars="200" w:firstLine="0" w:firstLineChars="0"/>
        <w:jc w:val="left"/>
        <w:rPr>
          <w:color w:val="auto"/>
          <w:highlight w:val="none"/>
        </w:rPr>
      </w:pPr>
    </w:p>
    <w:p>
      <w:pPr>
        <w:keepNext/>
        <w:keepLines/>
        <w:ind w:left="420" w:leftChars="200" w:firstLine="0" w:firstLineChars="0"/>
        <w:jc w:val="left"/>
        <w:rPr>
          <w:color w:val="auto"/>
          <w:highlight w:val="none"/>
        </w:rPr>
      </w:pPr>
    </w:p>
    <w:p>
      <w:pPr>
        <w:keepNext/>
        <w:keepLines/>
        <w:ind w:left="420" w:leftChars="200" w:firstLine="0" w:firstLineChars="0"/>
        <w:jc w:val="left"/>
        <w:rPr>
          <w:color w:val="auto"/>
          <w:highlight w:val="none"/>
        </w:rPr>
      </w:pPr>
    </w:p>
    <w:p>
      <w:pPr>
        <w:keepNext/>
        <w:keepLines/>
        <w:ind w:left="420" w:leftChars="200" w:firstLine="0" w:firstLineChars="0"/>
        <w:jc w:val="left"/>
        <w:rPr>
          <w:color w:val="auto"/>
          <w:highlight w:val="none"/>
        </w:rPr>
      </w:pPr>
    </w:p>
    <w:p>
      <w:pPr>
        <w:keepNext/>
        <w:keepLines/>
        <w:ind w:left="420" w:leftChars="200" w:firstLine="0" w:firstLineChars="0"/>
        <w:jc w:val="left"/>
        <w:rPr>
          <w:color w:val="auto"/>
          <w:highlight w:val="none"/>
        </w:rPr>
      </w:pPr>
    </w:p>
    <w:p>
      <w:pPr>
        <w:keepNext/>
        <w:keepLines/>
        <w:ind w:left="420" w:leftChars="200" w:firstLine="0" w:firstLineChars="0"/>
        <w:jc w:val="left"/>
        <w:rPr>
          <w:color w:val="auto"/>
          <w:highlight w:val="none"/>
        </w:rPr>
      </w:pPr>
    </w:p>
    <w:p>
      <w:pPr>
        <w:keepNext/>
        <w:keepLines/>
        <w:ind w:left="420" w:leftChars="200" w:firstLine="0" w:firstLineChars="0"/>
        <w:jc w:val="left"/>
        <w:rPr>
          <w:color w:val="auto"/>
          <w:highlight w:val="none"/>
        </w:rPr>
      </w:pPr>
    </w:p>
    <w:p>
      <w:pPr>
        <w:keepNext/>
        <w:keepLines/>
        <w:ind w:left="420" w:leftChars="200" w:firstLine="0" w:firstLineChars="0"/>
        <w:jc w:val="left"/>
        <w:rPr>
          <w:color w:val="auto"/>
          <w:highlight w:val="none"/>
        </w:rPr>
      </w:pPr>
    </w:p>
    <w:p>
      <w:pPr>
        <w:keepNext/>
        <w:keepLines/>
        <w:ind w:left="420" w:leftChars="200" w:firstLine="0" w:firstLineChars="0"/>
        <w:jc w:val="left"/>
        <w:rPr>
          <w:color w:val="auto"/>
          <w:highlight w:val="none"/>
        </w:rPr>
      </w:pPr>
    </w:p>
    <w:p>
      <w:pPr>
        <w:keepNext/>
        <w:keepLines/>
        <w:ind w:left="420" w:leftChars="200" w:firstLine="0" w:firstLineChars="0"/>
        <w:jc w:val="left"/>
        <w:rPr>
          <w:color w:val="auto"/>
          <w:highlight w:val="none"/>
        </w:rPr>
      </w:pPr>
    </w:p>
    <w:p>
      <w:pPr>
        <w:keepNext/>
        <w:keepLines/>
        <w:ind w:left="420" w:leftChars="200" w:firstLine="0" w:firstLineChars="0"/>
        <w:jc w:val="left"/>
        <w:rPr>
          <w:color w:val="auto"/>
          <w:highlight w:val="none"/>
        </w:rPr>
      </w:pPr>
    </w:p>
    <w:p>
      <w:pPr>
        <w:keepNext/>
        <w:keepLines/>
        <w:ind w:left="420" w:leftChars="200" w:firstLine="0" w:firstLineChars="0"/>
        <w:jc w:val="left"/>
        <w:rPr>
          <w:color w:val="auto"/>
          <w:highlight w:val="none"/>
        </w:rPr>
      </w:pPr>
    </w:p>
    <w:p>
      <w:pPr>
        <w:keepNext/>
        <w:keepLines/>
        <w:ind w:left="420" w:leftChars="200" w:firstLine="0" w:firstLineChars="0"/>
        <w:jc w:val="left"/>
        <w:rPr>
          <w:color w:val="auto"/>
          <w:highlight w:val="none"/>
        </w:rPr>
      </w:pPr>
    </w:p>
    <w:p>
      <w:pPr>
        <w:keepNext/>
        <w:keepLines/>
        <w:ind w:left="420" w:leftChars="200" w:firstLine="0" w:firstLineChars="0"/>
        <w:jc w:val="left"/>
        <w:rPr>
          <w:color w:val="auto"/>
          <w:highlight w:val="none"/>
        </w:rPr>
      </w:pPr>
    </w:p>
    <w:p>
      <w:pPr>
        <w:keepNext/>
        <w:keepLines/>
        <w:ind w:left="420" w:leftChars="200" w:firstLine="0" w:firstLineChars="0"/>
        <w:jc w:val="left"/>
        <w:rPr>
          <w:color w:val="auto"/>
          <w:highlight w:val="none"/>
        </w:rPr>
      </w:pPr>
    </w:p>
    <w:p>
      <w:pPr>
        <w:keepNext/>
        <w:keepLines/>
        <w:ind w:left="420" w:leftChars="200" w:firstLine="0" w:firstLineChars="0"/>
        <w:jc w:val="left"/>
        <w:rPr>
          <w:color w:val="auto"/>
          <w:highlight w:val="none"/>
        </w:rPr>
      </w:pPr>
    </w:p>
    <w:p>
      <w:pPr>
        <w:keepNext/>
        <w:keepLines/>
        <w:ind w:left="420" w:leftChars="200" w:firstLine="0" w:firstLineChars="0"/>
        <w:jc w:val="left"/>
        <w:rPr>
          <w:color w:val="auto"/>
          <w:highlight w:val="none"/>
        </w:rPr>
      </w:pPr>
    </w:p>
    <w:p>
      <w:pPr>
        <w:keepNext/>
        <w:keepLines/>
        <w:ind w:left="420" w:leftChars="200" w:firstLine="0" w:firstLineChars="0"/>
        <w:jc w:val="left"/>
        <w:rPr>
          <w:color w:val="auto"/>
          <w:highlight w:val="none"/>
        </w:rPr>
      </w:pPr>
    </w:p>
    <w:p>
      <w:pPr>
        <w:keepNext/>
        <w:keepLines/>
        <w:ind w:left="420" w:leftChars="200" w:firstLine="0" w:firstLineChars="0"/>
        <w:jc w:val="left"/>
        <w:rPr>
          <w:color w:val="auto"/>
          <w:highlight w:val="none"/>
        </w:rPr>
      </w:pPr>
    </w:p>
    <w:p>
      <w:pPr>
        <w:keepNext/>
        <w:keepLines/>
        <w:ind w:left="420" w:leftChars="200" w:firstLine="0" w:firstLineChars="0"/>
        <w:jc w:val="left"/>
        <w:rPr>
          <w:color w:val="auto"/>
          <w:highlight w:val="none"/>
        </w:rPr>
      </w:pPr>
    </w:p>
    <w:p>
      <w:pPr>
        <w:keepNext/>
        <w:keepLines/>
        <w:ind w:left="420" w:leftChars="200" w:firstLine="0" w:firstLineChars="0"/>
        <w:jc w:val="left"/>
        <w:rPr>
          <w:color w:val="auto"/>
          <w:highlight w:val="none"/>
        </w:rPr>
      </w:pPr>
    </w:p>
    <w:p>
      <w:pPr>
        <w:keepNext/>
        <w:keepLines/>
        <w:ind w:left="420" w:leftChars="200" w:firstLine="0" w:firstLineChars="0"/>
        <w:jc w:val="left"/>
        <w:rPr>
          <w:color w:val="auto"/>
          <w:highlight w:val="none"/>
        </w:rPr>
      </w:pPr>
    </w:p>
    <w:p>
      <w:pPr>
        <w:keepNext/>
        <w:keepLines/>
        <w:ind w:left="420" w:leftChars="200" w:firstLine="0" w:firstLineChars="0"/>
        <w:jc w:val="left"/>
        <w:rPr>
          <w:color w:val="auto"/>
          <w:highlight w:val="none"/>
        </w:rPr>
      </w:pPr>
    </w:p>
    <w:p>
      <w:pPr>
        <w:keepNext/>
        <w:keepLines/>
        <w:ind w:left="420" w:leftChars="200" w:firstLine="0" w:firstLineChars="0"/>
        <w:jc w:val="left"/>
        <w:rPr>
          <w:color w:val="auto"/>
          <w:highlight w:val="none"/>
        </w:rPr>
      </w:pPr>
    </w:p>
    <w:p>
      <w:pPr>
        <w:pStyle w:val="2"/>
        <w:ind w:firstLine="0" w:firstLineChars="0"/>
        <w:rPr>
          <w:color w:val="auto"/>
          <w:highlight w:val="none"/>
        </w:rPr>
      </w:pPr>
      <w:bookmarkStart w:id="359" w:name="_Toc18444"/>
      <w:bookmarkStart w:id="360" w:name="_Toc27677"/>
      <w:bookmarkStart w:id="361" w:name="_Toc14560"/>
      <w:bookmarkStart w:id="362" w:name="_Toc32397"/>
      <w:bookmarkStart w:id="363" w:name="_Toc32433"/>
      <w:bookmarkStart w:id="364" w:name="_Toc23223"/>
      <w:bookmarkStart w:id="365" w:name="_Toc29204"/>
      <w:bookmarkStart w:id="366" w:name="_Toc23798"/>
      <w:bookmarkStart w:id="367" w:name="_Toc17928"/>
      <w:bookmarkStart w:id="368" w:name="_Toc25077"/>
      <w:bookmarkStart w:id="369" w:name="_Toc27749"/>
      <w:r>
        <w:rPr>
          <w:color w:val="auto"/>
          <w:highlight w:val="none"/>
        </w:rPr>
        <w:t>附件4：现场勘查照片</w:t>
      </w:r>
      <w:bookmarkEnd w:id="359"/>
      <w:bookmarkEnd w:id="360"/>
      <w:bookmarkEnd w:id="361"/>
      <w:bookmarkEnd w:id="362"/>
      <w:bookmarkEnd w:id="363"/>
      <w:bookmarkEnd w:id="364"/>
      <w:bookmarkEnd w:id="365"/>
      <w:bookmarkEnd w:id="366"/>
      <w:bookmarkEnd w:id="367"/>
      <w:bookmarkEnd w:id="368"/>
      <w:bookmarkEnd w:id="369"/>
    </w:p>
    <w:tbl>
      <w:tblPr>
        <w:tblStyle w:val="20"/>
        <w:tblW w:w="85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2"/>
        <w:gridCol w:w="1950"/>
        <w:gridCol w:w="2551"/>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2" w:type="dxa"/>
            <w:vAlign w:val="center"/>
          </w:tcPr>
          <w:p>
            <w:pPr>
              <w:keepNext/>
              <w:keepLines/>
              <w:ind w:firstLine="0" w:firstLineChars="0"/>
              <w:jc w:val="center"/>
              <w:rPr>
                <w:b/>
                <w:bCs/>
                <w:color w:val="auto"/>
                <w:highlight w:val="none"/>
              </w:rPr>
            </w:pPr>
            <w:r>
              <w:rPr>
                <w:b/>
                <w:bCs/>
                <w:color w:val="auto"/>
                <w:highlight w:val="none"/>
              </w:rPr>
              <w:t>序号</w:t>
            </w:r>
          </w:p>
        </w:tc>
        <w:tc>
          <w:tcPr>
            <w:tcW w:w="1950" w:type="dxa"/>
            <w:vAlign w:val="center"/>
          </w:tcPr>
          <w:p>
            <w:pPr>
              <w:keepNext/>
              <w:keepLines/>
              <w:ind w:firstLine="0" w:firstLineChars="0"/>
              <w:jc w:val="center"/>
              <w:rPr>
                <w:b/>
                <w:bCs/>
                <w:color w:val="auto"/>
                <w:highlight w:val="none"/>
              </w:rPr>
            </w:pPr>
            <w:r>
              <w:rPr>
                <w:b/>
                <w:bCs/>
                <w:color w:val="auto"/>
                <w:highlight w:val="none"/>
              </w:rPr>
              <w:t>学校</w:t>
            </w:r>
          </w:p>
        </w:tc>
        <w:tc>
          <w:tcPr>
            <w:tcW w:w="5102" w:type="dxa"/>
            <w:gridSpan w:val="2"/>
            <w:vAlign w:val="center"/>
          </w:tcPr>
          <w:p>
            <w:pPr>
              <w:keepNext/>
              <w:keepLines/>
              <w:ind w:firstLine="0" w:firstLineChars="0"/>
              <w:jc w:val="center"/>
              <w:rPr>
                <w:b/>
                <w:bCs/>
                <w:color w:val="auto"/>
                <w:highlight w:val="none"/>
              </w:rPr>
            </w:pPr>
            <w:r>
              <w:rPr>
                <w:b/>
                <w:bCs/>
                <w:color w:val="auto"/>
                <w:highlight w:val="none"/>
              </w:rPr>
              <w:t>现场照片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exact"/>
        </w:trPr>
        <w:tc>
          <w:tcPr>
            <w:tcW w:w="1512" w:type="dxa"/>
            <w:vAlign w:val="center"/>
          </w:tcPr>
          <w:p>
            <w:pPr>
              <w:keepNext/>
              <w:keepLines/>
              <w:spacing w:line="240" w:lineRule="auto"/>
              <w:ind w:firstLine="0" w:firstLineChars="0"/>
              <w:jc w:val="center"/>
              <w:rPr>
                <w:color w:val="auto"/>
                <w:highlight w:val="none"/>
              </w:rPr>
            </w:pPr>
            <w:r>
              <w:rPr>
                <w:color w:val="auto"/>
                <w:highlight w:val="none"/>
              </w:rPr>
              <w:t>1</w:t>
            </w:r>
          </w:p>
        </w:tc>
        <w:tc>
          <w:tcPr>
            <w:tcW w:w="1950" w:type="dxa"/>
            <w:vAlign w:val="center"/>
          </w:tcPr>
          <w:p>
            <w:pPr>
              <w:keepNext/>
              <w:keepLines/>
              <w:spacing w:line="240" w:lineRule="auto"/>
              <w:ind w:firstLine="0" w:firstLineChars="0"/>
              <w:jc w:val="center"/>
              <w:rPr>
                <w:color w:val="auto"/>
                <w:highlight w:val="none"/>
              </w:rPr>
            </w:pPr>
            <w:r>
              <w:rPr>
                <w:color w:val="auto"/>
                <w:highlight w:val="none"/>
              </w:rPr>
              <w:t>英阿瓦提小学</w:t>
            </w:r>
          </w:p>
        </w:tc>
        <w:tc>
          <w:tcPr>
            <w:tcW w:w="2551" w:type="dxa"/>
            <w:vAlign w:val="center"/>
          </w:tcPr>
          <w:p>
            <w:pPr>
              <w:keepNext/>
              <w:keepLines/>
              <w:spacing w:line="720" w:lineRule="auto"/>
              <w:ind w:firstLine="0" w:firstLineChars="0"/>
              <w:jc w:val="center"/>
              <w:rPr>
                <w:color w:val="auto"/>
                <w:highlight w:val="none"/>
              </w:rPr>
            </w:pPr>
            <w:r>
              <w:rPr>
                <w:color w:val="auto"/>
                <w:highlight w:val="none"/>
              </w:rPr>
              <w:drawing>
                <wp:anchor distT="0" distB="0" distL="114300" distR="114300" simplePos="0" relativeHeight="251659264" behindDoc="1" locked="0" layoutInCell="1" allowOverlap="1">
                  <wp:simplePos x="0" y="0"/>
                  <wp:positionH relativeFrom="column">
                    <wp:posOffset>-44450</wp:posOffset>
                  </wp:positionH>
                  <wp:positionV relativeFrom="paragraph">
                    <wp:posOffset>0</wp:posOffset>
                  </wp:positionV>
                  <wp:extent cx="1584325" cy="1434465"/>
                  <wp:effectExtent l="0" t="0" r="3175" b="0"/>
                  <wp:wrapTight wrapText="bothSides">
                    <wp:wrapPolygon>
                      <wp:start x="0" y="0"/>
                      <wp:lineTo x="0" y="21418"/>
                      <wp:lineTo x="21470" y="21418"/>
                      <wp:lineTo x="21470" y="0"/>
                      <wp:lineTo x="0" y="0"/>
                    </wp:wrapPolygon>
                  </wp:wrapTight>
                  <wp:docPr id="25" name="图片 25" descr="74ec99b97e4e7f95c31fe95c8e81b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74ec99b97e4e7f95c31fe95c8e81b41"/>
                          <pic:cNvPicPr>
                            <a:picLocks noChangeAspect="1"/>
                          </pic:cNvPicPr>
                        </pic:nvPicPr>
                        <pic:blipFill>
                          <a:blip r:embed="rId15"/>
                          <a:stretch>
                            <a:fillRect/>
                          </a:stretch>
                        </pic:blipFill>
                        <pic:spPr>
                          <a:xfrm>
                            <a:off x="0" y="0"/>
                            <a:ext cx="1584325" cy="1434465"/>
                          </a:xfrm>
                          <a:prstGeom prst="rect">
                            <a:avLst/>
                          </a:prstGeom>
                        </pic:spPr>
                      </pic:pic>
                    </a:graphicData>
                  </a:graphic>
                </wp:anchor>
              </w:drawing>
            </w:r>
          </w:p>
        </w:tc>
        <w:tc>
          <w:tcPr>
            <w:tcW w:w="2551" w:type="dxa"/>
            <w:vAlign w:val="center"/>
          </w:tcPr>
          <w:p>
            <w:pPr>
              <w:keepNext/>
              <w:keepLines/>
              <w:spacing w:line="720" w:lineRule="auto"/>
              <w:ind w:firstLine="0" w:firstLineChars="0"/>
              <w:jc w:val="center"/>
              <w:rPr>
                <w:color w:val="auto"/>
                <w:highlight w:val="none"/>
              </w:rPr>
            </w:pPr>
            <w:r>
              <w:rPr>
                <w:color w:val="auto"/>
                <w:highlight w:val="none"/>
              </w:rPr>
              <w:drawing>
                <wp:anchor distT="0" distB="0" distL="114300" distR="114300" simplePos="0" relativeHeight="251660288" behindDoc="1" locked="0" layoutInCell="1" allowOverlap="1">
                  <wp:simplePos x="0" y="0"/>
                  <wp:positionH relativeFrom="column">
                    <wp:posOffset>-64135</wp:posOffset>
                  </wp:positionH>
                  <wp:positionV relativeFrom="paragraph">
                    <wp:posOffset>8255</wp:posOffset>
                  </wp:positionV>
                  <wp:extent cx="1576705" cy="1426845"/>
                  <wp:effectExtent l="0" t="0" r="0" b="8255"/>
                  <wp:wrapTight wrapText="bothSides">
                    <wp:wrapPolygon>
                      <wp:start x="0" y="0"/>
                      <wp:lineTo x="0" y="21340"/>
                      <wp:lineTo x="21400" y="21340"/>
                      <wp:lineTo x="21400" y="0"/>
                      <wp:lineTo x="0" y="0"/>
                    </wp:wrapPolygon>
                  </wp:wrapTight>
                  <wp:docPr id="26" name="图片 26" descr="194cd62d63cf7f4fb7a6de82af22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194cd62d63cf7f4fb7a6de82af22834"/>
                          <pic:cNvPicPr>
                            <a:picLocks noChangeAspect="1"/>
                          </pic:cNvPicPr>
                        </pic:nvPicPr>
                        <pic:blipFill>
                          <a:blip r:embed="rId16"/>
                          <a:stretch>
                            <a:fillRect/>
                          </a:stretch>
                        </pic:blipFill>
                        <pic:spPr>
                          <a:xfrm>
                            <a:off x="0" y="0"/>
                            <a:ext cx="1576705" cy="1426845"/>
                          </a:xfrm>
                          <a:prstGeom prst="rect">
                            <a:avLst/>
                          </a:prstGeom>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exact"/>
        </w:trPr>
        <w:tc>
          <w:tcPr>
            <w:tcW w:w="1512" w:type="dxa"/>
            <w:vAlign w:val="center"/>
          </w:tcPr>
          <w:p>
            <w:pPr>
              <w:keepNext/>
              <w:keepLines/>
              <w:spacing w:line="240" w:lineRule="auto"/>
              <w:ind w:firstLine="0" w:firstLineChars="0"/>
              <w:jc w:val="center"/>
              <w:rPr>
                <w:color w:val="auto"/>
                <w:highlight w:val="none"/>
              </w:rPr>
            </w:pPr>
            <w:r>
              <w:rPr>
                <w:color w:val="auto"/>
                <w:highlight w:val="none"/>
              </w:rPr>
              <w:t>2</w:t>
            </w:r>
          </w:p>
        </w:tc>
        <w:tc>
          <w:tcPr>
            <w:tcW w:w="1950" w:type="dxa"/>
            <w:vAlign w:val="center"/>
          </w:tcPr>
          <w:p>
            <w:pPr>
              <w:keepNext/>
              <w:keepLines/>
              <w:spacing w:line="240" w:lineRule="auto"/>
              <w:ind w:firstLine="0" w:firstLineChars="0"/>
              <w:jc w:val="center"/>
              <w:rPr>
                <w:color w:val="auto"/>
                <w:highlight w:val="none"/>
              </w:rPr>
            </w:pPr>
            <w:r>
              <w:rPr>
                <w:color w:val="auto"/>
                <w:highlight w:val="none"/>
              </w:rPr>
              <w:t>阿瓦提第二小学</w:t>
            </w:r>
          </w:p>
        </w:tc>
        <w:tc>
          <w:tcPr>
            <w:tcW w:w="2551" w:type="dxa"/>
            <w:vAlign w:val="center"/>
          </w:tcPr>
          <w:p>
            <w:pPr>
              <w:keepNext/>
              <w:keepLines/>
              <w:spacing w:line="720" w:lineRule="auto"/>
              <w:ind w:firstLine="0" w:firstLineChars="0"/>
              <w:jc w:val="center"/>
              <w:rPr>
                <w:color w:val="auto"/>
                <w:highlight w:val="none"/>
              </w:rPr>
            </w:pPr>
            <w:r>
              <w:rPr>
                <w:color w:val="auto"/>
                <w:highlight w:val="none"/>
              </w:rPr>
              <w:drawing>
                <wp:anchor distT="0" distB="0" distL="114300" distR="114300" simplePos="0" relativeHeight="251661312" behindDoc="1" locked="0" layoutInCell="1" allowOverlap="1">
                  <wp:simplePos x="0" y="0"/>
                  <wp:positionH relativeFrom="column">
                    <wp:posOffset>-55245</wp:posOffset>
                  </wp:positionH>
                  <wp:positionV relativeFrom="paragraph">
                    <wp:posOffset>0</wp:posOffset>
                  </wp:positionV>
                  <wp:extent cx="1592580" cy="1430020"/>
                  <wp:effectExtent l="0" t="0" r="7620" b="0"/>
                  <wp:wrapTight wrapText="bothSides">
                    <wp:wrapPolygon>
                      <wp:start x="0" y="0"/>
                      <wp:lineTo x="0" y="21485"/>
                      <wp:lineTo x="21359" y="21485"/>
                      <wp:lineTo x="21359" y="0"/>
                      <wp:lineTo x="0" y="0"/>
                    </wp:wrapPolygon>
                  </wp:wrapTight>
                  <wp:docPr id="27" name="图片 27" descr="378eaa32ddca48d021c05c73fc872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378eaa32ddca48d021c05c73fc872e4"/>
                          <pic:cNvPicPr>
                            <a:picLocks noChangeAspect="1"/>
                          </pic:cNvPicPr>
                        </pic:nvPicPr>
                        <pic:blipFill>
                          <a:blip r:embed="rId17"/>
                          <a:stretch>
                            <a:fillRect/>
                          </a:stretch>
                        </pic:blipFill>
                        <pic:spPr>
                          <a:xfrm>
                            <a:off x="0" y="0"/>
                            <a:ext cx="1592580" cy="1430020"/>
                          </a:xfrm>
                          <a:prstGeom prst="rect">
                            <a:avLst/>
                          </a:prstGeom>
                        </pic:spPr>
                      </pic:pic>
                    </a:graphicData>
                  </a:graphic>
                </wp:anchor>
              </w:drawing>
            </w:r>
          </w:p>
        </w:tc>
        <w:tc>
          <w:tcPr>
            <w:tcW w:w="2551" w:type="dxa"/>
            <w:vAlign w:val="center"/>
          </w:tcPr>
          <w:p>
            <w:pPr>
              <w:keepNext/>
              <w:keepLines/>
              <w:spacing w:line="720" w:lineRule="auto"/>
              <w:ind w:firstLine="0" w:firstLineChars="0"/>
              <w:jc w:val="center"/>
              <w:rPr>
                <w:color w:val="auto"/>
                <w:highlight w:val="none"/>
              </w:rPr>
            </w:pPr>
            <w:r>
              <w:rPr>
                <w:color w:val="auto"/>
                <w:highlight w:val="none"/>
              </w:rPr>
              <w:drawing>
                <wp:anchor distT="0" distB="0" distL="114300" distR="114300" simplePos="0" relativeHeight="251662336" behindDoc="1" locked="0" layoutInCell="1" allowOverlap="1">
                  <wp:simplePos x="0" y="0"/>
                  <wp:positionH relativeFrom="column">
                    <wp:posOffset>-55880</wp:posOffset>
                  </wp:positionH>
                  <wp:positionV relativeFrom="paragraph">
                    <wp:posOffset>0</wp:posOffset>
                  </wp:positionV>
                  <wp:extent cx="1577340" cy="1443990"/>
                  <wp:effectExtent l="0" t="0" r="10160" b="3810"/>
                  <wp:wrapTight wrapText="bothSides">
                    <wp:wrapPolygon>
                      <wp:start x="0" y="0"/>
                      <wp:lineTo x="0" y="21467"/>
                      <wp:lineTo x="21391" y="21467"/>
                      <wp:lineTo x="21391" y="0"/>
                      <wp:lineTo x="0" y="0"/>
                    </wp:wrapPolygon>
                  </wp:wrapTight>
                  <wp:docPr id="28" name="图片 28" descr="007814ce0466ca4ff5c67e89064d75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007814ce0466ca4ff5c67e89064d75e"/>
                          <pic:cNvPicPr>
                            <a:picLocks noChangeAspect="1"/>
                          </pic:cNvPicPr>
                        </pic:nvPicPr>
                        <pic:blipFill>
                          <a:blip r:embed="rId18"/>
                          <a:stretch>
                            <a:fillRect/>
                          </a:stretch>
                        </pic:blipFill>
                        <pic:spPr>
                          <a:xfrm>
                            <a:off x="0" y="0"/>
                            <a:ext cx="1577340" cy="1443990"/>
                          </a:xfrm>
                          <a:prstGeom prst="rect">
                            <a:avLst/>
                          </a:prstGeom>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exact"/>
        </w:trPr>
        <w:tc>
          <w:tcPr>
            <w:tcW w:w="1512" w:type="dxa"/>
            <w:vAlign w:val="center"/>
          </w:tcPr>
          <w:p>
            <w:pPr>
              <w:keepNext/>
              <w:keepLines/>
              <w:spacing w:line="240" w:lineRule="auto"/>
              <w:ind w:firstLine="0" w:firstLineChars="0"/>
              <w:jc w:val="center"/>
              <w:rPr>
                <w:color w:val="auto"/>
                <w:highlight w:val="none"/>
              </w:rPr>
            </w:pPr>
            <w:r>
              <w:rPr>
                <w:color w:val="auto"/>
                <w:highlight w:val="none"/>
              </w:rPr>
              <w:t>3</w:t>
            </w:r>
          </w:p>
        </w:tc>
        <w:tc>
          <w:tcPr>
            <w:tcW w:w="1950" w:type="dxa"/>
            <w:vAlign w:val="center"/>
          </w:tcPr>
          <w:p>
            <w:pPr>
              <w:keepNext/>
              <w:keepLines/>
              <w:spacing w:line="240" w:lineRule="auto"/>
              <w:ind w:firstLine="0" w:firstLineChars="0"/>
              <w:jc w:val="center"/>
              <w:rPr>
                <w:color w:val="auto"/>
                <w:highlight w:val="none"/>
              </w:rPr>
            </w:pPr>
            <w:r>
              <w:rPr>
                <w:color w:val="auto"/>
                <w:highlight w:val="none"/>
              </w:rPr>
              <w:t>墩巴格10村小学</w:t>
            </w:r>
          </w:p>
        </w:tc>
        <w:tc>
          <w:tcPr>
            <w:tcW w:w="2551" w:type="dxa"/>
            <w:vAlign w:val="center"/>
          </w:tcPr>
          <w:p>
            <w:pPr>
              <w:keepNext/>
              <w:keepLines/>
              <w:spacing w:line="720" w:lineRule="auto"/>
              <w:ind w:firstLine="0" w:firstLineChars="0"/>
              <w:jc w:val="center"/>
              <w:rPr>
                <w:color w:val="auto"/>
                <w:highlight w:val="none"/>
              </w:rPr>
            </w:pPr>
            <w:r>
              <w:rPr>
                <w:color w:val="auto"/>
                <w:highlight w:val="none"/>
              </w:rPr>
              <w:drawing>
                <wp:anchor distT="0" distB="0" distL="114300" distR="114300" simplePos="0" relativeHeight="251663360" behindDoc="1" locked="0" layoutInCell="1" allowOverlap="1">
                  <wp:simplePos x="0" y="0"/>
                  <wp:positionH relativeFrom="column">
                    <wp:posOffset>-46355</wp:posOffset>
                  </wp:positionH>
                  <wp:positionV relativeFrom="paragraph">
                    <wp:posOffset>0</wp:posOffset>
                  </wp:positionV>
                  <wp:extent cx="1583690" cy="1405890"/>
                  <wp:effectExtent l="0" t="0" r="3810" b="3810"/>
                  <wp:wrapTight wrapText="bothSides">
                    <wp:wrapPolygon>
                      <wp:start x="0" y="0"/>
                      <wp:lineTo x="0" y="21463"/>
                      <wp:lineTo x="21479" y="21463"/>
                      <wp:lineTo x="21479" y="0"/>
                      <wp:lineTo x="0" y="0"/>
                    </wp:wrapPolygon>
                  </wp:wrapTight>
                  <wp:docPr id="29" name="图片 29" descr="22313b18d7449e9ed164a2eb83da1f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22313b18d7449e9ed164a2eb83da1fa"/>
                          <pic:cNvPicPr>
                            <a:picLocks noChangeAspect="1"/>
                          </pic:cNvPicPr>
                        </pic:nvPicPr>
                        <pic:blipFill>
                          <a:blip r:embed="rId19"/>
                          <a:stretch>
                            <a:fillRect/>
                          </a:stretch>
                        </pic:blipFill>
                        <pic:spPr>
                          <a:xfrm>
                            <a:off x="0" y="0"/>
                            <a:ext cx="1583690" cy="1405890"/>
                          </a:xfrm>
                          <a:prstGeom prst="rect">
                            <a:avLst/>
                          </a:prstGeom>
                        </pic:spPr>
                      </pic:pic>
                    </a:graphicData>
                  </a:graphic>
                </wp:anchor>
              </w:drawing>
            </w:r>
          </w:p>
        </w:tc>
        <w:tc>
          <w:tcPr>
            <w:tcW w:w="2551" w:type="dxa"/>
            <w:vAlign w:val="center"/>
          </w:tcPr>
          <w:p>
            <w:pPr>
              <w:keepNext/>
              <w:keepLines/>
              <w:spacing w:line="720" w:lineRule="auto"/>
              <w:ind w:firstLine="0" w:firstLineChars="0"/>
              <w:jc w:val="center"/>
              <w:rPr>
                <w:color w:val="auto"/>
                <w:highlight w:val="none"/>
              </w:rPr>
            </w:pPr>
            <w:r>
              <w:rPr>
                <w:color w:val="auto"/>
                <w:highlight w:val="none"/>
              </w:rPr>
              <w:drawing>
                <wp:anchor distT="0" distB="0" distL="114300" distR="114300" simplePos="0" relativeHeight="251664384" behindDoc="1" locked="0" layoutInCell="1" allowOverlap="1">
                  <wp:simplePos x="0" y="0"/>
                  <wp:positionH relativeFrom="column">
                    <wp:posOffset>-55245</wp:posOffset>
                  </wp:positionH>
                  <wp:positionV relativeFrom="paragraph">
                    <wp:posOffset>0</wp:posOffset>
                  </wp:positionV>
                  <wp:extent cx="1591310" cy="1421130"/>
                  <wp:effectExtent l="0" t="0" r="8890" b="1270"/>
                  <wp:wrapTight wrapText="bothSides">
                    <wp:wrapPolygon>
                      <wp:start x="0" y="0"/>
                      <wp:lineTo x="0" y="21426"/>
                      <wp:lineTo x="21376" y="21426"/>
                      <wp:lineTo x="21376" y="0"/>
                      <wp:lineTo x="0" y="0"/>
                    </wp:wrapPolygon>
                  </wp:wrapTight>
                  <wp:docPr id="30" name="图片 30" descr="c0a67c7c211108663e0359283938f8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c0a67c7c211108663e0359283938f8f"/>
                          <pic:cNvPicPr>
                            <a:picLocks noChangeAspect="1"/>
                          </pic:cNvPicPr>
                        </pic:nvPicPr>
                        <pic:blipFill>
                          <a:blip r:embed="rId20"/>
                          <a:stretch>
                            <a:fillRect/>
                          </a:stretch>
                        </pic:blipFill>
                        <pic:spPr>
                          <a:xfrm>
                            <a:off x="0" y="0"/>
                            <a:ext cx="1591310" cy="1421130"/>
                          </a:xfrm>
                          <a:prstGeom prst="rect">
                            <a:avLst/>
                          </a:prstGeom>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exact"/>
        </w:trPr>
        <w:tc>
          <w:tcPr>
            <w:tcW w:w="1512" w:type="dxa"/>
            <w:vAlign w:val="center"/>
          </w:tcPr>
          <w:p>
            <w:pPr>
              <w:keepNext/>
              <w:keepLines/>
              <w:spacing w:line="240" w:lineRule="auto"/>
              <w:ind w:firstLine="0" w:firstLineChars="0"/>
              <w:jc w:val="center"/>
              <w:rPr>
                <w:color w:val="auto"/>
                <w:highlight w:val="none"/>
              </w:rPr>
            </w:pPr>
            <w:r>
              <w:rPr>
                <w:color w:val="auto"/>
                <w:highlight w:val="none"/>
              </w:rPr>
              <w:t>4</w:t>
            </w:r>
          </w:p>
        </w:tc>
        <w:tc>
          <w:tcPr>
            <w:tcW w:w="1950" w:type="dxa"/>
            <w:vAlign w:val="center"/>
          </w:tcPr>
          <w:p>
            <w:pPr>
              <w:keepNext/>
              <w:keepLines/>
              <w:spacing w:line="240" w:lineRule="auto"/>
              <w:ind w:firstLine="0" w:firstLineChars="0"/>
              <w:jc w:val="center"/>
              <w:rPr>
                <w:color w:val="auto"/>
                <w:highlight w:val="none"/>
              </w:rPr>
            </w:pPr>
            <w:r>
              <w:rPr>
                <w:color w:val="auto"/>
                <w:highlight w:val="none"/>
              </w:rPr>
              <w:t>英吾司塘村小学</w:t>
            </w:r>
          </w:p>
        </w:tc>
        <w:tc>
          <w:tcPr>
            <w:tcW w:w="2551" w:type="dxa"/>
            <w:vAlign w:val="center"/>
          </w:tcPr>
          <w:p>
            <w:pPr>
              <w:keepNext/>
              <w:keepLines/>
              <w:spacing w:line="720" w:lineRule="auto"/>
              <w:ind w:firstLine="0" w:firstLineChars="0"/>
              <w:jc w:val="center"/>
              <w:rPr>
                <w:color w:val="auto"/>
                <w:highlight w:val="none"/>
              </w:rPr>
            </w:pPr>
            <w:r>
              <w:rPr>
                <w:color w:val="auto"/>
                <w:highlight w:val="none"/>
              </w:rPr>
              <w:drawing>
                <wp:anchor distT="0" distB="0" distL="114300" distR="114300" simplePos="0" relativeHeight="251665408" behindDoc="1" locked="0" layoutInCell="1" allowOverlap="1">
                  <wp:simplePos x="0" y="0"/>
                  <wp:positionH relativeFrom="column">
                    <wp:posOffset>-34925</wp:posOffset>
                  </wp:positionH>
                  <wp:positionV relativeFrom="paragraph">
                    <wp:posOffset>0</wp:posOffset>
                  </wp:positionV>
                  <wp:extent cx="1575435" cy="1419225"/>
                  <wp:effectExtent l="0" t="0" r="12065" b="0"/>
                  <wp:wrapTight wrapText="bothSides">
                    <wp:wrapPolygon>
                      <wp:start x="0" y="0"/>
                      <wp:lineTo x="0" y="21455"/>
                      <wp:lineTo x="21417" y="21455"/>
                      <wp:lineTo x="21417" y="0"/>
                      <wp:lineTo x="0" y="0"/>
                    </wp:wrapPolygon>
                  </wp:wrapTight>
                  <wp:docPr id="31" name="图片 31" descr="d3bd67905438f2cfd4ad226629f0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d3bd67905438f2cfd4ad226629f0425"/>
                          <pic:cNvPicPr>
                            <a:picLocks noChangeAspect="1"/>
                          </pic:cNvPicPr>
                        </pic:nvPicPr>
                        <pic:blipFill>
                          <a:blip r:embed="rId21"/>
                          <a:stretch>
                            <a:fillRect/>
                          </a:stretch>
                        </pic:blipFill>
                        <pic:spPr>
                          <a:xfrm>
                            <a:off x="0" y="0"/>
                            <a:ext cx="1575435" cy="1419225"/>
                          </a:xfrm>
                          <a:prstGeom prst="rect">
                            <a:avLst/>
                          </a:prstGeom>
                        </pic:spPr>
                      </pic:pic>
                    </a:graphicData>
                  </a:graphic>
                </wp:anchor>
              </w:drawing>
            </w:r>
          </w:p>
        </w:tc>
        <w:tc>
          <w:tcPr>
            <w:tcW w:w="2551" w:type="dxa"/>
            <w:vAlign w:val="center"/>
          </w:tcPr>
          <w:p>
            <w:pPr>
              <w:keepNext/>
              <w:keepLines/>
              <w:spacing w:line="720" w:lineRule="auto"/>
              <w:ind w:firstLine="0" w:firstLineChars="0"/>
              <w:jc w:val="center"/>
              <w:rPr>
                <w:color w:val="auto"/>
                <w:highlight w:val="none"/>
              </w:rPr>
            </w:pPr>
            <w:r>
              <w:rPr>
                <w:color w:val="auto"/>
                <w:highlight w:val="none"/>
              </w:rPr>
              <w:drawing>
                <wp:anchor distT="0" distB="0" distL="114300" distR="114300" simplePos="0" relativeHeight="251666432" behindDoc="1" locked="0" layoutInCell="1" allowOverlap="1">
                  <wp:simplePos x="0" y="0"/>
                  <wp:positionH relativeFrom="column">
                    <wp:posOffset>-43815</wp:posOffset>
                  </wp:positionH>
                  <wp:positionV relativeFrom="paragraph">
                    <wp:posOffset>0</wp:posOffset>
                  </wp:positionV>
                  <wp:extent cx="1591310" cy="1428115"/>
                  <wp:effectExtent l="0" t="0" r="8890" b="6985"/>
                  <wp:wrapTight wrapText="bothSides">
                    <wp:wrapPolygon>
                      <wp:start x="0" y="0"/>
                      <wp:lineTo x="0" y="21321"/>
                      <wp:lineTo x="21376" y="21321"/>
                      <wp:lineTo x="21376" y="0"/>
                      <wp:lineTo x="0" y="0"/>
                    </wp:wrapPolygon>
                  </wp:wrapTight>
                  <wp:docPr id="32" name="图片 32" descr="d142dcd0d294f8710307a4c0b649f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d142dcd0d294f8710307a4c0b649f4b"/>
                          <pic:cNvPicPr>
                            <a:picLocks noChangeAspect="1"/>
                          </pic:cNvPicPr>
                        </pic:nvPicPr>
                        <pic:blipFill>
                          <a:blip r:embed="rId22"/>
                          <a:stretch>
                            <a:fillRect/>
                          </a:stretch>
                        </pic:blipFill>
                        <pic:spPr>
                          <a:xfrm>
                            <a:off x="0" y="0"/>
                            <a:ext cx="1591310" cy="1428115"/>
                          </a:xfrm>
                          <a:prstGeom prst="rect">
                            <a:avLst/>
                          </a:prstGeom>
                        </pic:spPr>
                      </pic:pic>
                    </a:graphicData>
                  </a:graphic>
                </wp:anchor>
              </w:drawing>
            </w:r>
          </w:p>
        </w:tc>
      </w:tr>
    </w:tbl>
    <w:p>
      <w:pPr>
        <w:keepNext/>
        <w:keepLines/>
        <w:ind w:firstLine="0" w:firstLineChars="0"/>
        <w:rPr>
          <w:color w:val="auto"/>
          <w:highlight w:val="none"/>
        </w:rPr>
      </w:pPr>
    </w:p>
    <w:sectPr>
      <w:pgSz w:w="11906" w:h="16838"/>
      <w:pgMar w:top="1440" w:right="1800" w:bottom="1440" w:left="1800" w:header="851" w:footer="907"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center" w:pos="4439"/>
        <w:tab w:val="right" w:pos="8999"/>
      </w:tabs>
      <w:ind w:firstLine="360"/>
    </w:pPr>
    <w:r>
      <w:rPr>
        <w:rFonts w:hint="eastAsia"/>
      </w:rPr>
      <w:tab/>
    </w:r>
    <w:r>
      <w:rPr>
        <w:rFonts w:hint="eastAsia"/>
      </w:rPr>
      <w:tab/>
    </w:r>
    <w:r>
      <w:rPr>
        <w:rFonts w:hint="eastAsia"/>
      </w:rPr>
      <w:tab/>
    </w:r>
    <w:r>
      <w:rPr>
        <w:rFonts w:hint="eastAsia"/>
      </w:rPr>
      <w:tab/>
    </w:r>
  </w:p>
  <w:p>
    <w:pPr>
      <w:pStyle w:val="13"/>
      <w:ind w:right="72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jc w:val="right"/>
    </w:pPr>
    <w:r>
      <mc:AlternateContent>
        <mc:Choice Requires="wps">
          <w:drawing>
            <wp:anchor distT="0" distB="0" distL="114300" distR="114300" simplePos="0" relativeHeight="251660288" behindDoc="0" locked="0" layoutInCell="1" allowOverlap="1">
              <wp:simplePos x="0" y="0"/>
              <wp:positionH relativeFrom="margin">
                <wp:posOffset>2633980</wp:posOffset>
              </wp:positionH>
              <wp:positionV relativeFrom="paragraph">
                <wp:posOffset>0</wp:posOffset>
              </wp:positionV>
              <wp:extent cx="32639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326390" cy="1828800"/>
                      </a:xfrm>
                      <a:prstGeom prst="rect">
                        <a:avLst/>
                      </a:prstGeom>
                      <a:noFill/>
                      <a:ln>
                        <a:noFill/>
                      </a:ln>
                    </wps:spPr>
                    <wps:txbx>
                      <w:txbxContent>
                        <w:p>
                          <w:pPr>
                            <w:pStyle w:val="13"/>
                            <w:spacing w:line="240" w:lineRule="auto"/>
                            <w:ind w:firstLine="0" w:firstLineChars="0"/>
                          </w:pPr>
                          <w:r>
                            <w:fldChar w:fldCharType="begin"/>
                          </w:r>
                          <w:r>
                            <w:instrText xml:space="preserve"> PAGE  \* MERGEFORMAT </w:instrText>
                          </w:r>
                          <w:r>
                            <w:fldChar w:fldCharType="separate"/>
                          </w:r>
                          <w:r>
                            <w:t>5</w:t>
                          </w:r>
                          <w:r>
                            <w:fldChar w:fldCharType="end"/>
                          </w:r>
                        </w:p>
                      </w:txbxContent>
                    </wps:txbx>
                    <wps:bodyPr lIns="0" tIns="0" rIns="0" bIns="0">
                      <a:spAutoFit/>
                    </wps:bodyPr>
                  </wps:wsp>
                </a:graphicData>
              </a:graphic>
            </wp:anchor>
          </w:drawing>
        </mc:Choice>
        <mc:Fallback>
          <w:pict>
            <v:shape id="_x0000_s1026" o:spid="_x0000_s1026" o:spt="202" type="#_x0000_t202" style="position:absolute;left:0pt;margin-left:207.4pt;margin-top:0pt;height:144pt;width:25.7pt;mso-position-horizontal-relative:margin;z-index:251660288;mso-width-relative:page;mso-height-relative:page;" filled="f" stroked="f" coordsize="21600,21600" o:gfxdata="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zGzqn9UAAAAIAQAADwAAAAAA&#10;AAABACAAAAAiAAAAZHJzL2Rvd25yZXYueG1sUEsBAhQAFAAAAAgAh07iQLGHlg6kAQAAMgMAAA4A&#10;AAAAAAAAAQAgAAAAJAEAAGRycy9lMm9Eb2MueG1sUEsFBgAAAAAGAAYAWQEAADoFAAAAAA==&#10;">
              <v:fill on="f" focussize="0,0"/>
              <v:stroke on="f"/>
              <v:imagedata o:title=""/>
              <o:lock v:ext="edit" aspectratio="f"/>
              <v:textbox inset="0mm,0mm,0mm,0mm" style="mso-fit-shape-to-text:t;">
                <w:txbxContent>
                  <w:p>
                    <w:pPr>
                      <w:pStyle w:val="13"/>
                      <w:spacing w:line="240" w:lineRule="auto"/>
                      <w:ind w:firstLine="0" w:firstLineChars="0"/>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jc w:val="center"/>
    </w:pPr>
    <w: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57628"/>
                          </w:sdtPr>
                          <w:sdtContent>
                            <w:p>
                              <w:pPr>
                                <w:pStyle w:val="13"/>
                                <w:ind w:firstLine="360"/>
                                <w:jc w:val="center"/>
                              </w:pPr>
                              <w:r>
                                <w:fldChar w:fldCharType="begin"/>
                              </w:r>
                              <w:r>
                                <w:instrText xml:space="preserve">PAGE   \* MERGEFORMAT</w:instrText>
                              </w:r>
                              <w:r>
                                <w:fldChar w:fldCharType="separate"/>
                              </w:r>
                              <w:r>
                                <w:rPr>
                                  <w:lang w:val="zh-CN"/>
                                </w:rPr>
                                <w:t>20</w:t>
                              </w:r>
                              <w:r>
                                <w:fldChar w:fldCharType="end"/>
                              </w:r>
                            </w:p>
                          </w:sdtContent>
                        </w:sdt>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sdt>
                    <w:sdtPr>
                      <w:id w:val="147457628"/>
                    </w:sdtPr>
                    <w:sdtContent>
                      <w:p>
                        <w:pPr>
                          <w:pStyle w:val="13"/>
                          <w:ind w:firstLine="360"/>
                          <w:jc w:val="center"/>
                        </w:pPr>
                        <w:r>
                          <w:fldChar w:fldCharType="begin"/>
                        </w:r>
                        <w:r>
                          <w:instrText xml:space="preserve">PAGE   \* MERGEFORMAT</w:instrText>
                        </w:r>
                        <w:r>
                          <w:fldChar w:fldCharType="separate"/>
                        </w:r>
                        <w:r>
                          <w:rPr>
                            <w:lang w:val="zh-CN"/>
                          </w:rPr>
                          <w:t>20</w:t>
                        </w:r>
                        <w:r>
                          <w:fldChar w:fldCharType="end"/>
                        </w:r>
                      </w:p>
                    </w:sdtContent>
                  </w:sdt>
                </w:txbxContent>
              </v:textbox>
            </v:shape>
          </w:pict>
        </mc:Fallback>
      </mc:AlternateContent>
    </w:r>
  </w:p>
  <w:p>
    <w:pPr>
      <w:pStyle w:val="13"/>
      <w:ind w:firstLine="0" w:firstLineChars="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jc w:val="center"/>
    </w:pPr>
    <w: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71829"/>
                          </w:sdtPr>
                          <w:sdtContent>
                            <w:p>
                              <w:pPr>
                                <w:pStyle w:val="13"/>
                                <w:ind w:firstLine="360"/>
                                <w:jc w:val="center"/>
                              </w:pPr>
                              <w:r>
                                <w:fldChar w:fldCharType="begin"/>
                              </w:r>
                              <w:r>
                                <w:instrText xml:space="preserve">PAGE   \* MERGEFORMAT</w:instrText>
                              </w:r>
                              <w:r>
                                <w:fldChar w:fldCharType="separate"/>
                              </w:r>
                              <w:r>
                                <w:rPr>
                                  <w:lang w:val="zh-CN"/>
                                </w:rPr>
                                <w:t>34</w:t>
                              </w:r>
                              <w:r>
                                <w:fldChar w:fldCharType="end"/>
                              </w:r>
                            </w:p>
                          </w:sdtContent>
                        </w:sdt>
                        <w:p>
                          <w:pPr>
                            <w:ind w:firstLine="42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UEyylQ4CAAAHBAAADgAAAAAAAAABACAAAAAf&#10;AQAAZHJzL2Uyb0RvYy54bWxQSwUGAAAAAAYABgBZAQAAnwUAAAAA&#10;">
              <v:fill on="f" focussize="0,0"/>
              <v:stroke on="f" weight="0.5pt"/>
              <v:imagedata o:title=""/>
              <o:lock v:ext="edit" aspectratio="f"/>
              <v:textbox inset="0mm,0mm,0mm,0mm" style="mso-fit-shape-to-text:t;">
                <w:txbxContent>
                  <w:sdt>
                    <w:sdtPr>
                      <w:id w:val="147471829"/>
                    </w:sdtPr>
                    <w:sdtContent>
                      <w:p>
                        <w:pPr>
                          <w:pStyle w:val="13"/>
                          <w:ind w:firstLine="360"/>
                          <w:jc w:val="center"/>
                        </w:pPr>
                        <w:r>
                          <w:fldChar w:fldCharType="begin"/>
                        </w:r>
                        <w:r>
                          <w:instrText xml:space="preserve">PAGE   \* MERGEFORMAT</w:instrText>
                        </w:r>
                        <w:r>
                          <w:fldChar w:fldCharType="separate"/>
                        </w:r>
                        <w:r>
                          <w:rPr>
                            <w:lang w:val="zh-CN"/>
                          </w:rPr>
                          <w:t>34</w:t>
                        </w:r>
                        <w:r>
                          <w:fldChar w:fldCharType="end"/>
                        </w:r>
                      </w:p>
                    </w:sdtContent>
                  </w:sdt>
                  <w:p>
                    <w:pPr>
                      <w:ind w:firstLine="420"/>
                    </w:pPr>
                  </w:p>
                </w:txbxContent>
              </v:textbox>
            </v:shape>
          </w:pict>
        </mc:Fallback>
      </mc:AlternateContent>
    </w:r>
  </w:p>
  <w:p>
    <w:pPr>
      <w:pStyle w:val="13"/>
      <w:ind w:firstLine="0" w:firstLineChars="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adjustRightInd/>
      <w:spacing w:line="240" w:lineRule="auto"/>
      <w:ind w:firstLine="0" w:firstLineChars="0"/>
      <w:jc w:val="right"/>
      <w:rPr>
        <w:rFonts w:ascii="黑体" w:hAnsi="黑体" w:eastAsia="黑体" w:cs="黑体"/>
        <w:b/>
        <w:bCs/>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single" w:color="auto" w:sz="4" w:space="0"/>
      </w:pBdr>
      <w:ind w:firstLine="0" w:firstLineChars="0"/>
      <w:jc w:val="right"/>
      <w:rPr>
        <w:rFonts w:ascii="黑体" w:hAnsi="黑体" w:eastAsia="黑体" w:cs="黑体"/>
        <w:b/>
        <w:bCs/>
        <w:sz w:val="15"/>
        <w:szCs w:val="15"/>
      </w:rPr>
    </w:pPr>
    <w:r>
      <w:rPr>
        <w:rFonts w:hint="eastAsia" w:ascii="黑体" w:hAnsi="黑体" w:eastAsia="黑体" w:cs="黑体"/>
        <w:b/>
        <w:bCs/>
        <w:sz w:val="15"/>
        <w:szCs w:val="15"/>
      </w:rPr>
      <w:t>喀什地区巴楚县2023年城乡义务教育农村校舍安全保障长效机制项目（第一批）绩效评价报告</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single" w:color="auto" w:sz="4" w:space="0"/>
      </w:pBdr>
      <w:spacing w:line="240" w:lineRule="auto"/>
      <w:ind w:firstLine="0" w:firstLineChars="0"/>
      <w:jc w:val="right"/>
      <w:rPr>
        <w:rFonts w:ascii="黑体" w:hAnsi="黑体" w:eastAsia="黑体" w:cs="黑体"/>
        <w:b/>
        <w:bCs/>
        <w:sz w:val="15"/>
        <w:szCs w:val="15"/>
      </w:rPr>
    </w:pPr>
    <w:r>
      <w:rPr>
        <w:rFonts w:hint="eastAsia" w:ascii="黑体" w:hAnsi="黑体" w:eastAsia="黑体" w:cs="黑体"/>
        <w:b/>
        <w:bCs/>
        <w:sz w:val="15"/>
        <w:szCs w:val="15"/>
      </w:rPr>
      <w:t>喀什地区巴楚县2023年城乡义务教育农村校舍安全保障长效机制项目（第一批）绩效评价报告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21A4401"/>
    <w:multiLevelType w:val="singleLevel"/>
    <w:tmpl w:val="E21A4401"/>
    <w:lvl w:ilvl="0" w:tentative="0">
      <w:start w:val="6"/>
      <w:numFmt w:val="chineseCounting"/>
      <w:suff w:val="nothing"/>
      <w:lvlText w:val="（%1）"/>
      <w:lvlJc w:val="left"/>
      <w:rPr>
        <w:rFonts w:hint="eastAsia"/>
      </w:rPr>
    </w:lvl>
  </w:abstractNum>
  <w:abstractNum w:abstractNumId="1">
    <w:nsid w:val="196A71C5"/>
    <w:multiLevelType w:val="singleLevel"/>
    <w:tmpl w:val="196A71C5"/>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jMWIwZGExYjFiYmEwZTI5M2Y4YmVjYmY1ZmZhYjYifQ=="/>
  </w:docVars>
  <w:rsids>
    <w:rsidRoot w:val="00172A27"/>
    <w:rsid w:val="000F6DB1"/>
    <w:rsid w:val="00144E57"/>
    <w:rsid w:val="00172A27"/>
    <w:rsid w:val="0020458F"/>
    <w:rsid w:val="00207014"/>
    <w:rsid w:val="00252009"/>
    <w:rsid w:val="002550B3"/>
    <w:rsid w:val="0036398D"/>
    <w:rsid w:val="0037115B"/>
    <w:rsid w:val="0041395F"/>
    <w:rsid w:val="00426245"/>
    <w:rsid w:val="004E48E6"/>
    <w:rsid w:val="00646686"/>
    <w:rsid w:val="006C6562"/>
    <w:rsid w:val="00774338"/>
    <w:rsid w:val="00813149"/>
    <w:rsid w:val="00837A57"/>
    <w:rsid w:val="00A03703"/>
    <w:rsid w:val="00A15A88"/>
    <w:rsid w:val="00C32FFE"/>
    <w:rsid w:val="00C83FDF"/>
    <w:rsid w:val="00CA14B6"/>
    <w:rsid w:val="00D265A7"/>
    <w:rsid w:val="00D50A30"/>
    <w:rsid w:val="00E12696"/>
    <w:rsid w:val="00EE50F7"/>
    <w:rsid w:val="00FC1F8C"/>
    <w:rsid w:val="01291500"/>
    <w:rsid w:val="01F32B8A"/>
    <w:rsid w:val="02E4100B"/>
    <w:rsid w:val="03050CEE"/>
    <w:rsid w:val="03FB61B9"/>
    <w:rsid w:val="04542819"/>
    <w:rsid w:val="049F2B51"/>
    <w:rsid w:val="05D51582"/>
    <w:rsid w:val="05FC5F05"/>
    <w:rsid w:val="06A30765"/>
    <w:rsid w:val="09E65C14"/>
    <w:rsid w:val="09EB2596"/>
    <w:rsid w:val="0C69230C"/>
    <w:rsid w:val="0CB96C43"/>
    <w:rsid w:val="0D9B426D"/>
    <w:rsid w:val="0E766607"/>
    <w:rsid w:val="0EC86014"/>
    <w:rsid w:val="0ED71A24"/>
    <w:rsid w:val="0FED152D"/>
    <w:rsid w:val="106D669F"/>
    <w:rsid w:val="10C676B7"/>
    <w:rsid w:val="11C83272"/>
    <w:rsid w:val="13513B8A"/>
    <w:rsid w:val="1747403F"/>
    <w:rsid w:val="178025FC"/>
    <w:rsid w:val="1821504C"/>
    <w:rsid w:val="182D5387"/>
    <w:rsid w:val="199C7AF2"/>
    <w:rsid w:val="1CD23F68"/>
    <w:rsid w:val="20070B5C"/>
    <w:rsid w:val="208800D4"/>
    <w:rsid w:val="217A6025"/>
    <w:rsid w:val="21EE1107"/>
    <w:rsid w:val="22A623D1"/>
    <w:rsid w:val="23525389"/>
    <w:rsid w:val="239C52BE"/>
    <w:rsid w:val="23B14FE2"/>
    <w:rsid w:val="23BD6C82"/>
    <w:rsid w:val="23CC44D2"/>
    <w:rsid w:val="25AF6319"/>
    <w:rsid w:val="25F7546A"/>
    <w:rsid w:val="26092ABA"/>
    <w:rsid w:val="2AAD1304"/>
    <w:rsid w:val="2C9254B0"/>
    <w:rsid w:val="2CD07DE1"/>
    <w:rsid w:val="2D151481"/>
    <w:rsid w:val="2E8B714B"/>
    <w:rsid w:val="30070300"/>
    <w:rsid w:val="32807B59"/>
    <w:rsid w:val="33484DD4"/>
    <w:rsid w:val="340706E9"/>
    <w:rsid w:val="35D47032"/>
    <w:rsid w:val="360B6FAF"/>
    <w:rsid w:val="364279D1"/>
    <w:rsid w:val="37823126"/>
    <w:rsid w:val="38E21386"/>
    <w:rsid w:val="39805F39"/>
    <w:rsid w:val="398D26CB"/>
    <w:rsid w:val="3AA3738D"/>
    <w:rsid w:val="3AEF3BB8"/>
    <w:rsid w:val="3DAF0D3F"/>
    <w:rsid w:val="3DB50D85"/>
    <w:rsid w:val="40B3559D"/>
    <w:rsid w:val="40DA6B78"/>
    <w:rsid w:val="40FE1FEE"/>
    <w:rsid w:val="44EF1088"/>
    <w:rsid w:val="4630165E"/>
    <w:rsid w:val="46D1728D"/>
    <w:rsid w:val="480F755D"/>
    <w:rsid w:val="4882269E"/>
    <w:rsid w:val="48B00D0D"/>
    <w:rsid w:val="49516307"/>
    <w:rsid w:val="498F443F"/>
    <w:rsid w:val="49A34A17"/>
    <w:rsid w:val="49C468BF"/>
    <w:rsid w:val="4B61480B"/>
    <w:rsid w:val="4C6E6818"/>
    <w:rsid w:val="4CE63381"/>
    <w:rsid w:val="4D2646B1"/>
    <w:rsid w:val="4D2D2133"/>
    <w:rsid w:val="4D9C2C55"/>
    <w:rsid w:val="4F2D021D"/>
    <w:rsid w:val="4F5A624D"/>
    <w:rsid w:val="502F2E92"/>
    <w:rsid w:val="52C67329"/>
    <w:rsid w:val="53B45DB6"/>
    <w:rsid w:val="54F62C7E"/>
    <w:rsid w:val="55936E35"/>
    <w:rsid w:val="56430126"/>
    <w:rsid w:val="567F5805"/>
    <w:rsid w:val="56921B6A"/>
    <w:rsid w:val="58853B2D"/>
    <w:rsid w:val="588F1970"/>
    <w:rsid w:val="58DE2219"/>
    <w:rsid w:val="593F3897"/>
    <w:rsid w:val="5B65159D"/>
    <w:rsid w:val="5B94664F"/>
    <w:rsid w:val="5BC9220A"/>
    <w:rsid w:val="5C5D37DF"/>
    <w:rsid w:val="5C6B645D"/>
    <w:rsid w:val="5CFF0396"/>
    <w:rsid w:val="5D382BE7"/>
    <w:rsid w:val="5DEE6DAA"/>
    <w:rsid w:val="5DF83ADD"/>
    <w:rsid w:val="5E484837"/>
    <w:rsid w:val="5E4B583A"/>
    <w:rsid w:val="5E6F08FE"/>
    <w:rsid w:val="5F2E3943"/>
    <w:rsid w:val="60436770"/>
    <w:rsid w:val="620D7D65"/>
    <w:rsid w:val="6288512A"/>
    <w:rsid w:val="64BF0AB8"/>
    <w:rsid w:val="64FF2692"/>
    <w:rsid w:val="656B49DF"/>
    <w:rsid w:val="65DB3B3B"/>
    <w:rsid w:val="6631134F"/>
    <w:rsid w:val="6833299C"/>
    <w:rsid w:val="68D511B8"/>
    <w:rsid w:val="6AAD6A36"/>
    <w:rsid w:val="6AAF4400"/>
    <w:rsid w:val="6ABE3826"/>
    <w:rsid w:val="6AD41C3E"/>
    <w:rsid w:val="6B686544"/>
    <w:rsid w:val="6CA65E33"/>
    <w:rsid w:val="6D423E10"/>
    <w:rsid w:val="6D5E5248"/>
    <w:rsid w:val="6D8E15BD"/>
    <w:rsid w:val="6E0E1C9B"/>
    <w:rsid w:val="6EA7498F"/>
    <w:rsid w:val="6F4A2A47"/>
    <w:rsid w:val="6F4D0D5F"/>
    <w:rsid w:val="701F03D6"/>
    <w:rsid w:val="70377929"/>
    <w:rsid w:val="70BF23E6"/>
    <w:rsid w:val="726C71D4"/>
    <w:rsid w:val="74455822"/>
    <w:rsid w:val="7477138E"/>
    <w:rsid w:val="75840BCD"/>
    <w:rsid w:val="776F0CB9"/>
    <w:rsid w:val="77B13F88"/>
    <w:rsid w:val="786E62ED"/>
    <w:rsid w:val="789D1A9C"/>
    <w:rsid w:val="78D173E0"/>
    <w:rsid w:val="7A0E2437"/>
    <w:rsid w:val="7AF836D2"/>
    <w:rsid w:val="7B0D1CA2"/>
    <w:rsid w:val="7B1350D0"/>
    <w:rsid w:val="7BF267D8"/>
    <w:rsid w:val="7CDC71BB"/>
    <w:rsid w:val="7EA35B9A"/>
    <w:rsid w:val="7FD82D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883" w:firstLineChars="200"/>
      <w:jc w:val="both"/>
    </w:pPr>
    <w:rPr>
      <w:rFonts w:ascii="Times New Roman" w:hAnsi="Times New Roman" w:cs="Times New Roman" w:eastAsiaTheme="minorEastAsia"/>
      <w:kern w:val="2"/>
      <w:sz w:val="21"/>
      <w:szCs w:val="21"/>
      <w:lang w:val="en-US" w:eastAsia="zh-CN" w:bidi="ar-SA"/>
    </w:rPr>
  </w:style>
  <w:style w:type="paragraph" w:styleId="2">
    <w:name w:val="heading 1"/>
    <w:basedOn w:val="1"/>
    <w:next w:val="1"/>
    <w:qFormat/>
    <w:uiPriority w:val="99"/>
    <w:pPr>
      <w:keepNext/>
      <w:keepLines/>
      <w:spacing w:before="260" w:after="260"/>
      <w:outlineLvl w:val="0"/>
    </w:pPr>
    <w:rPr>
      <w:b/>
      <w:bCs/>
      <w:kern w:val="44"/>
      <w:sz w:val="24"/>
      <w:szCs w:val="44"/>
    </w:rPr>
  </w:style>
  <w:style w:type="paragraph" w:styleId="3">
    <w:name w:val="heading 2"/>
    <w:basedOn w:val="1"/>
    <w:next w:val="1"/>
    <w:qFormat/>
    <w:uiPriority w:val="0"/>
    <w:pPr>
      <w:keepNext/>
      <w:keepLines/>
      <w:spacing w:before="100" w:after="100"/>
      <w:jc w:val="left"/>
      <w:outlineLvl w:val="1"/>
    </w:pPr>
    <w:rPr>
      <w:rFonts w:ascii="Cambria" w:hAnsi="Cambria"/>
      <w:b/>
      <w:bCs/>
      <w:kern w:val="0"/>
      <w:sz w:val="24"/>
      <w:szCs w:val="32"/>
    </w:rPr>
  </w:style>
  <w:style w:type="paragraph" w:styleId="4">
    <w:name w:val="heading 3"/>
    <w:basedOn w:val="1"/>
    <w:next w:val="1"/>
    <w:qFormat/>
    <w:uiPriority w:val="99"/>
    <w:pPr>
      <w:keepNext/>
      <w:keepLines/>
      <w:outlineLvl w:val="2"/>
    </w:pPr>
    <w:rPr>
      <w:rFonts w:ascii="仿宋_GB2312" w:hAnsi="仿宋_GB2312"/>
      <w:b/>
      <w:bCs/>
      <w:kern w:val="0"/>
      <w:szCs w:val="3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style>
  <w:style w:type="paragraph" w:styleId="6">
    <w:name w:val="toc 4"/>
    <w:basedOn w:val="1"/>
    <w:next w:val="1"/>
    <w:qFormat/>
    <w:uiPriority w:val="0"/>
    <w:pPr>
      <w:ind w:left="1260" w:leftChars="600"/>
    </w:pPr>
  </w:style>
  <w:style w:type="paragraph" w:styleId="7">
    <w:name w:val="caption"/>
    <w:basedOn w:val="1"/>
    <w:next w:val="1"/>
    <w:semiHidden/>
    <w:unhideWhenUsed/>
    <w:qFormat/>
    <w:uiPriority w:val="35"/>
    <w:rPr>
      <w:rFonts w:ascii="Arial" w:hAnsi="Arial" w:eastAsia="黑体"/>
      <w:sz w:val="20"/>
    </w:rPr>
  </w:style>
  <w:style w:type="paragraph" w:styleId="8">
    <w:name w:val="annotation text"/>
    <w:basedOn w:val="1"/>
    <w:link w:val="36"/>
    <w:unhideWhenUsed/>
    <w:qFormat/>
    <w:uiPriority w:val="99"/>
    <w:rPr>
      <w:rFonts w:ascii="Calibri" w:hAnsi="Calibri" w:eastAsia="仿宋"/>
      <w:kern w:val="0"/>
      <w:sz w:val="24"/>
      <w:szCs w:val="20"/>
    </w:rPr>
  </w:style>
  <w:style w:type="paragraph" w:styleId="9">
    <w:name w:val="Body Text"/>
    <w:basedOn w:val="1"/>
    <w:next w:val="10"/>
    <w:qFormat/>
    <w:uiPriority w:val="0"/>
  </w:style>
  <w:style w:type="paragraph" w:styleId="10">
    <w:name w:val="Body Text 2"/>
    <w:basedOn w:val="1"/>
    <w:qFormat/>
    <w:uiPriority w:val="0"/>
    <w:pPr>
      <w:spacing w:after="120" w:line="480" w:lineRule="auto"/>
    </w:pPr>
    <w:rPr>
      <w:rFonts w:eastAsia="宋体"/>
    </w:rPr>
  </w:style>
  <w:style w:type="paragraph" w:styleId="11">
    <w:name w:val="Body Text Indent"/>
    <w:basedOn w:val="1"/>
    <w:qFormat/>
    <w:uiPriority w:val="0"/>
    <w:pPr>
      <w:ind w:firstLine="570"/>
    </w:pPr>
    <w:rPr>
      <w:rFonts w:eastAsia="宋体"/>
      <w:sz w:val="24"/>
    </w:rPr>
  </w:style>
  <w:style w:type="paragraph" w:styleId="12">
    <w:name w:val="Balloon Text"/>
    <w:basedOn w:val="1"/>
    <w:link w:val="33"/>
    <w:semiHidden/>
    <w:unhideWhenUsed/>
    <w:qFormat/>
    <w:uiPriority w:val="99"/>
    <w:pPr>
      <w:spacing w:line="240" w:lineRule="auto"/>
    </w:pPr>
    <w:rPr>
      <w:sz w:val="18"/>
      <w:szCs w:val="18"/>
    </w:rPr>
  </w:style>
  <w:style w:type="paragraph" w:styleId="13">
    <w:name w:val="footer"/>
    <w:basedOn w:val="1"/>
    <w:link w:val="25"/>
    <w:unhideWhenUsed/>
    <w:qFormat/>
    <w:uiPriority w:val="99"/>
    <w:pPr>
      <w:tabs>
        <w:tab w:val="center" w:pos="4153"/>
        <w:tab w:val="right" w:pos="8306"/>
      </w:tabs>
      <w:jc w:val="left"/>
    </w:pPr>
    <w:rPr>
      <w:sz w:val="18"/>
      <w:szCs w:val="18"/>
    </w:rPr>
  </w:style>
  <w:style w:type="paragraph" w:styleId="14">
    <w:name w:val="header"/>
    <w:basedOn w:val="1"/>
    <w:link w:val="24"/>
    <w:unhideWhenUsed/>
    <w:qFormat/>
    <w:uiPriority w:val="99"/>
    <w:pPr>
      <w:pBdr>
        <w:bottom w:val="single" w:color="auto" w:sz="6" w:space="1"/>
      </w:pBdr>
      <w:tabs>
        <w:tab w:val="center" w:pos="4153"/>
        <w:tab w:val="right" w:pos="8306"/>
      </w:tabs>
      <w:jc w:val="center"/>
    </w:pPr>
    <w:rPr>
      <w:sz w:val="18"/>
      <w:szCs w:val="18"/>
    </w:rPr>
  </w:style>
  <w:style w:type="paragraph" w:styleId="15">
    <w:name w:val="toc 1"/>
    <w:basedOn w:val="1"/>
    <w:next w:val="1"/>
    <w:qFormat/>
    <w:uiPriority w:val="39"/>
    <w:pPr>
      <w:tabs>
        <w:tab w:val="right" w:leader="dot" w:pos="9356"/>
      </w:tabs>
      <w:ind w:firstLine="0" w:firstLineChars="0"/>
    </w:pPr>
    <w:rPr>
      <w:rFonts w:ascii="黑体" w:hAnsi="黑体" w:cs="仿宋_GB2312"/>
      <w:bCs/>
      <w:color w:val="000000"/>
      <w:kern w:val="0"/>
      <w:sz w:val="28"/>
      <w:szCs w:val="28"/>
    </w:rPr>
  </w:style>
  <w:style w:type="paragraph" w:styleId="16">
    <w:name w:val="toc 2"/>
    <w:basedOn w:val="1"/>
    <w:next w:val="1"/>
    <w:semiHidden/>
    <w:unhideWhenUsed/>
    <w:qFormat/>
    <w:uiPriority w:val="39"/>
    <w:pPr>
      <w:ind w:firstLine="663" w:firstLineChars="150"/>
    </w:pPr>
    <w:rPr>
      <w:sz w:val="24"/>
    </w:rPr>
  </w:style>
  <w:style w:type="paragraph" w:styleId="17">
    <w:name w:val="annotation subject"/>
    <w:basedOn w:val="8"/>
    <w:next w:val="8"/>
    <w:link w:val="37"/>
    <w:semiHidden/>
    <w:unhideWhenUsed/>
    <w:qFormat/>
    <w:uiPriority w:val="99"/>
    <w:pPr>
      <w:jc w:val="left"/>
    </w:pPr>
    <w:rPr>
      <w:rFonts w:ascii="Times New Roman" w:hAnsi="Times New Roman" w:eastAsiaTheme="minorEastAsia"/>
      <w:b/>
      <w:bCs/>
      <w:kern w:val="2"/>
      <w:sz w:val="21"/>
      <w:szCs w:val="21"/>
    </w:rPr>
  </w:style>
  <w:style w:type="paragraph" w:styleId="18">
    <w:name w:val="Body Text First Indent 2"/>
    <w:basedOn w:val="11"/>
    <w:qFormat/>
    <w:uiPriority w:val="0"/>
    <w:pPr>
      <w:ind w:firstLine="420"/>
    </w:pPr>
  </w:style>
  <w:style w:type="table" w:styleId="20">
    <w:name w:val="Table Grid"/>
    <w:basedOn w:val="1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page number"/>
    <w:basedOn w:val="21"/>
    <w:qFormat/>
    <w:uiPriority w:val="0"/>
  </w:style>
  <w:style w:type="character" w:styleId="23">
    <w:name w:val="annotation reference"/>
    <w:basedOn w:val="21"/>
    <w:semiHidden/>
    <w:unhideWhenUsed/>
    <w:qFormat/>
    <w:uiPriority w:val="99"/>
    <w:rPr>
      <w:sz w:val="21"/>
      <w:szCs w:val="21"/>
    </w:rPr>
  </w:style>
  <w:style w:type="character" w:customStyle="1" w:styleId="24">
    <w:name w:val="页眉 Char"/>
    <w:basedOn w:val="21"/>
    <w:link w:val="14"/>
    <w:qFormat/>
    <w:uiPriority w:val="99"/>
    <w:rPr>
      <w:sz w:val="18"/>
      <w:szCs w:val="18"/>
    </w:rPr>
  </w:style>
  <w:style w:type="character" w:customStyle="1" w:styleId="25">
    <w:name w:val="页脚 Char"/>
    <w:basedOn w:val="21"/>
    <w:link w:val="13"/>
    <w:qFormat/>
    <w:uiPriority w:val="99"/>
    <w:rPr>
      <w:sz w:val="18"/>
      <w:szCs w:val="18"/>
    </w:rPr>
  </w:style>
  <w:style w:type="paragraph" w:customStyle="1" w:styleId="26">
    <w:name w:val="闻政-正文二级标题"/>
    <w:basedOn w:val="3"/>
    <w:next w:val="27"/>
    <w:qFormat/>
    <w:uiPriority w:val="3"/>
    <w:pPr>
      <w:spacing w:before="120" w:after="60" w:line="500" w:lineRule="exact"/>
      <w:ind w:left="200" w:leftChars="200" w:firstLine="0" w:firstLineChars="0"/>
    </w:pPr>
    <w:rPr>
      <w:rFonts w:ascii="Times New Roman" w:hAnsi="Times New Roman"/>
      <w:sz w:val="28"/>
    </w:rPr>
  </w:style>
  <w:style w:type="paragraph" w:customStyle="1" w:styleId="27">
    <w:name w:val="闻政-正文段落文字"/>
    <w:basedOn w:val="1"/>
    <w:qFormat/>
    <w:uiPriority w:val="3"/>
    <w:pPr>
      <w:spacing w:line="500" w:lineRule="exact"/>
      <w:ind w:firstLine="200"/>
    </w:pPr>
    <w:rPr>
      <w:kern w:val="0"/>
      <w:szCs w:val="28"/>
    </w:rPr>
  </w:style>
  <w:style w:type="paragraph" w:customStyle="1" w:styleId="28">
    <w:name w:val="闻政-正文一级标题"/>
    <w:basedOn w:val="4"/>
    <w:next w:val="27"/>
    <w:qFormat/>
    <w:uiPriority w:val="3"/>
    <w:pPr>
      <w:spacing w:before="120" w:after="60" w:line="500" w:lineRule="exact"/>
      <w:ind w:firstLine="0" w:firstLineChars="0"/>
      <w:outlineLvl w:val="0"/>
    </w:pPr>
    <w:rPr>
      <w:rFonts w:ascii="黑体" w:hAnsi="黑体" w:eastAsia="黑体"/>
      <w:sz w:val="32"/>
    </w:rPr>
  </w:style>
  <w:style w:type="paragraph" w:styleId="29">
    <w:name w:val="List Paragraph"/>
    <w:basedOn w:val="1"/>
    <w:qFormat/>
    <w:uiPriority w:val="34"/>
    <w:pPr>
      <w:ind w:firstLine="420"/>
    </w:pPr>
  </w:style>
  <w:style w:type="paragraph" w:customStyle="1" w:styleId="30">
    <w:name w:val="正文 A"/>
    <w:qFormat/>
    <w:uiPriority w:val="99"/>
    <w:pPr>
      <w:widowControl w:val="0"/>
      <w:spacing w:before="50" w:after="50" w:line="360" w:lineRule="auto"/>
    </w:pPr>
    <w:rPr>
      <w:rFonts w:ascii="Times New Roman" w:hAnsi="Arial Unicode MS" w:eastAsia="Times New Roman" w:cs="Arial Unicode MS"/>
      <w:color w:val="000000"/>
      <w:kern w:val="2"/>
      <w:sz w:val="28"/>
      <w:szCs w:val="28"/>
      <w:u w:color="000000"/>
      <w:lang w:val="en-US" w:eastAsia="zh-CN" w:bidi="ar-SA"/>
    </w:rPr>
  </w:style>
  <w:style w:type="paragraph" w:customStyle="1" w:styleId="31">
    <w:name w:val="WPSOffice手动目录 1"/>
    <w:qFormat/>
    <w:uiPriority w:val="0"/>
    <w:rPr>
      <w:rFonts w:ascii="Times New Roman" w:hAnsi="Times New Roman" w:eastAsia="宋体" w:cs="Times New Roman"/>
      <w:lang w:val="en-US" w:eastAsia="zh-CN" w:bidi="ar-SA"/>
    </w:rPr>
  </w:style>
  <w:style w:type="paragraph" w:customStyle="1" w:styleId="32">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33">
    <w:name w:val="批注框文本 Char"/>
    <w:basedOn w:val="21"/>
    <w:link w:val="12"/>
    <w:semiHidden/>
    <w:qFormat/>
    <w:uiPriority w:val="99"/>
    <w:rPr>
      <w:rFonts w:eastAsiaTheme="minorEastAsia"/>
      <w:kern w:val="2"/>
      <w:sz w:val="18"/>
      <w:szCs w:val="18"/>
    </w:rPr>
  </w:style>
  <w:style w:type="character" w:customStyle="1" w:styleId="34">
    <w:name w:val="font31"/>
    <w:basedOn w:val="21"/>
    <w:qFormat/>
    <w:uiPriority w:val="0"/>
    <w:rPr>
      <w:rFonts w:hint="eastAsia" w:ascii="宋体" w:hAnsi="宋体" w:eastAsia="宋体" w:cs="宋体"/>
      <w:color w:val="000000"/>
      <w:sz w:val="20"/>
      <w:szCs w:val="20"/>
      <w:u w:val="none"/>
    </w:rPr>
  </w:style>
  <w:style w:type="character" w:customStyle="1" w:styleId="35">
    <w:name w:val="font21"/>
    <w:basedOn w:val="21"/>
    <w:qFormat/>
    <w:uiPriority w:val="0"/>
    <w:rPr>
      <w:rFonts w:hint="eastAsia" w:ascii="宋体" w:hAnsi="宋体" w:eastAsia="宋体" w:cs="宋体"/>
      <w:color w:val="000000"/>
      <w:sz w:val="20"/>
      <w:szCs w:val="20"/>
      <w:u w:val="none"/>
    </w:rPr>
  </w:style>
  <w:style w:type="character" w:customStyle="1" w:styleId="36">
    <w:name w:val="批注文字 Char"/>
    <w:basedOn w:val="21"/>
    <w:link w:val="8"/>
    <w:qFormat/>
    <w:uiPriority w:val="99"/>
    <w:rPr>
      <w:rFonts w:ascii="Calibri" w:hAnsi="Calibri" w:eastAsia="仿宋"/>
      <w:sz w:val="24"/>
    </w:rPr>
  </w:style>
  <w:style w:type="character" w:customStyle="1" w:styleId="37">
    <w:name w:val="批注主题 Char"/>
    <w:basedOn w:val="36"/>
    <w:link w:val="17"/>
    <w:semiHidden/>
    <w:qFormat/>
    <w:uiPriority w:val="99"/>
    <w:rPr>
      <w:rFonts w:ascii="Calibri" w:hAnsi="Calibri" w:eastAsiaTheme="minorEastAsia"/>
      <w:b/>
      <w:bCs/>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2.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8.jpeg"/><Relationship Id="rId21" Type="http://schemas.openxmlformats.org/officeDocument/2006/relationships/image" Target="media/image7.jpeg"/><Relationship Id="rId20" Type="http://schemas.openxmlformats.org/officeDocument/2006/relationships/image" Target="media/image6.jpeg"/><Relationship Id="rId2" Type="http://schemas.openxmlformats.org/officeDocument/2006/relationships/settings" Target="settings.xml"/><Relationship Id="rId19" Type="http://schemas.openxmlformats.org/officeDocument/2006/relationships/image" Target="media/image5.jpeg"/><Relationship Id="rId18" Type="http://schemas.openxmlformats.org/officeDocument/2006/relationships/image" Target="media/image4.jpeg"/><Relationship Id="rId17" Type="http://schemas.openxmlformats.org/officeDocument/2006/relationships/image" Target="media/image3.jpeg"/><Relationship Id="rId16" Type="http://schemas.openxmlformats.org/officeDocument/2006/relationships/image" Target="media/image2.jpeg"/><Relationship Id="rId15" Type="http://schemas.openxmlformats.org/officeDocument/2006/relationships/image" Target="media/image1.jpeg"/><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D331F9B-430C-49D7-B1DB-45CE166284B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40</Pages>
  <Words>32239</Words>
  <Characters>36382</Characters>
  <Lines>233</Lines>
  <Paragraphs>65</Paragraphs>
  <TotalTime>34</TotalTime>
  <ScaleCrop>false</ScaleCrop>
  <LinksUpToDate>false</LinksUpToDate>
  <CharactersWithSpaces>36507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2020-09-22T07:41:00Z</dcterms:created>
  <dc:creator>Lenovo</dc:creator>
  <cp:lastModifiedBy>Administrator</cp:lastModifiedBy>
  <cp:lastPrinted>2024-08-13T02:49:00Z</cp:lastPrinted>
  <dcterms:modified xsi:type="dcterms:W3CDTF">2024-09-09T04:57:59Z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67E776DFE46D48629168581FE81503E4_13</vt:lpwstr>
  </property>
</Properties>
</file>