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27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关于巴楚县2021年度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决算情况的报告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40" w:lineRule="exact"/>
        <w:ind w:left="10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7"/>
          <w:position w:val="16"/>
          <w:sz w:val="32"/>
          <w:szCs w:val="32"/>
        </w:rPr>
        <w:t>——2022年9月29日在巴楚县第17届人大常委会第7次会</w:t>
      </w:r>
      <w:r>
        <w:rPr>
          <w:rFonts w:hint="default" w:ascii="Times New Roman" w:hAnsi="Times New Roman" w:eastAsia="方正仿宋简体" w:cs="Times New Roman"/>
          <w:spacing w:val="-18"/>
          <w:position w:val="16"/>
          <w:sz w:val="32"/>
          <w:szCs w:val="32"/>
        </w:rPr>
        <w:t>议上</w:t>
      </w:r>
    </w:p>
    <w:p>
      <w:pPr>
        <w:pStyle w:val="2"/>
        <w:spacing w:line="228" w:lineRule="auto"/>
        <w:ind w:left="2548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巴楚县财政局局长朱燕</w:t>
      </w:r>
    </w:p>
    <w:p>
      <w:pPr>
        <w:spacing w:line="296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5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主任、各位副主任，各位委员：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根据《中华人民共和国预算法》和《中华人民共和国各级人民代表大会常务委员会监督法》的有关规定，我受县人民政府委托，向本次人大常委会议报告2021年度财政决算情况，请予审议。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一、2021年财政预算执行情况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（一）一般公共预算执行情况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收入情况：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2021年一般公共预算收入完成35212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完成年初预算38037万元的92.6%，比序时进度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下降7.4个百分点，比上年同期34579万元增加633万元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，增长1.83%,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其中</w:t>
      </w:r>
      <w:r>
        <w:rPr>
          <w:rFonts w:hint="eastAsia" w:ascii="Times New Roman" w:hAnsi="Times New Roman" w:eastAsia="方正仿宋简体" w:cs="Times New Roman"/>
          <w:spacing w:val="14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税收收入完成22938万元，完成预算21955万元的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104.48%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比上年19957万元增收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2981万元，增长14.94%，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占一般公共预算收入的比重为65%；非税收入完成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12274万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元，完成预算16082万元的76.32%，比上年14622万元减收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2348万元，下降16.06%，占一般公共预算收入的比重为35%，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较上年同期下降了7个百分点，收入质量有所提高。上级补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助收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545023万元，调入资金11362万元，一般债务转贷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收</w:t>
      </w: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20100万元。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支出情况：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一般公共预算支出完成574155万元，比上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年同期651606万元减少77451万元，下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降11.89%；上解上级支出1089万元，债务还本支出6168万元。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平衡情况：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收支相抵，年终结转48920万元，其中：结转下年支出48920万元，净结余为零。动用预算稳定调节基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金111万元，安排预算稳定调节基金275万元。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（二）政府性基金执行情况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收入情况：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2021年政府性基金收入21764万元，完成预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算19040万元的114.31%，比上年同期27270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万元减收5506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万元，下降20.19%。其中：国有土地使用权出让收入16783万元，比上年减收8990万元，下降34.88%；城市基础设施配套费收入342万元，比上年减收210万元，增长59.1%。上级补助收入862万元，专项债务转贷收入194000万元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支出情况：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政府性基金预算支出205345万元，完成年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初预算的1873.24%，比上年同期88158万元增支1171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87万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增长132.93%；上解上级支出16万元，调出资金366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平衡情况：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收支相抵，政府性基金年终结转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396万元。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（三）国有资本经营预算执行情况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收入情况：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国有资本经营预算收入完成1500万元。上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级补助收入4万元。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支出情况：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国有资本经营预算支出990万元，调出资金450万元。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638" w:leftChars="304" w:right="0" w:firstLine="0" w:firstLineChars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平衡情况：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收支相抵，国有资本经营年终结转64万元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（四）社会保险基金预算执行情况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收入情况：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社会保险基金收入41453万元。其中：城乡居民基本养老保险基金收入12028万元，机关事业单位基本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3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养老保险基金收入29425万元。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支出情况：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社会保险基金支出26998万元。其中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：城乡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居民基本养老保险基金支出5266万元，机关事业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单位基本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养老保险基金支出21732万元。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平衡情况：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收支相抵，社会保险基金本年结余14455万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元。年末滚存结余65974万元，其中：城乡居民基本养老保险基金滚存结余34224万元，机关事业单位基本养老保险基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金滚存结余31750万元。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72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（五）政府债务执行情况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截止2021年末，巴楚县政府债务余额304325万元，其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中</w:t>
      </w:r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发行政府一般债券225799万元，向外国政府借款866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发行政府专项债券77660万元。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2021年新增发行政府一般债券20100万元，新增发行政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府专项债券194000万元。政府一般债务还本支出6168万元，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政府专项债务还本支出366万元。向外国政府借款还款1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80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截止2021年末，巴楚县政府债务余额511711万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元，其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中</w:t>
      </w:r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发行政府一般债券239731万元，向外国政府借款686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万元，发行政府专项债券271294万元。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二、2021年部门决算收支情况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（一）部门收入情况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2021年各预算单位收入总额为772739.13万元（不含代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列支出49700.19万元</w:t>
      </w:r>
      <w:r>
        <w:rPr>
          <w:rFonts w:hint="default" w:ascii="Times New Roman" w:hAnsi="Times New Roman" w:eastAsia="方正仿宋简体" w:cs="Times New Roman"/>
          <w:spacing w:val="38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比上年同期数713733.57万元（不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含代列资金42623.05万元）增收59005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.56万元，同比增长</w:t>
      </w:r>
      <w:r>
        <w:rPr>
          <w:rFonts w:hint="default" w:ascii="Times New Roman" w:hAnsi="Times New Roman" w:eastAsia="方正仿宋简体" w:cs="Times New Roman"/>
          <w:spacing w:val="-1"/>
          <w:position w:val="1"/>
          <w:sz w:val="32"/>
          <w:szCs w:val="32"/>
        </w:rPr>
        <w:t>8.27%。包括：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1、2021年部门财政拨款收入730789.98万元（不含代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列资金49700.19万元</w:t>
      </w:r>
      <w:r>
        <w:rPr>
          <w:rFonts w:hint="default" w:ascii="Times New Roman" w:hAnsi="Times New Roman" w:eastAsia="方正仿宋简体" w:cs="Times New Roman"/>
          <w:spacing w:val="43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比上年同期数680247.10万元（不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含代列资金42623.05万元）增收50542.89万元，同比增长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7.43%。其中：一般公共预算财政拨款收入530133.8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5万元</w:t>
      </w:r>
      <w:r>
        <w:rPr>
          <w:rFonts w:hint="eastAsia" w:ascii="Times New Roman" w:hAnsi="Times New Roman" w:eastAsia="方正仿宋简体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所占财政拨款收入比重为72.54%，比上年数593246.13万元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减收63112.28万元，同比下降10.64%；政府性基金预算财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</w:rPr>
        <w:t>政拨款收入200655.66万元，所占财政拨款收入比重为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27.46%，比上年数87000.96万元增收113654.70万元，同比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增长130.64%。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、事业收入35419.23万元，比上年同期数30894.63万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元增收4524.60万元，同比增长14.65%。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3、其他收入6529.92万元，比上年同期数2591.84万元增收3938.08万元，同比增长151.94%。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（二）部门支出情况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2021年各预算单位支出总额为768226.74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万元（不含代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列支出49700.19万元</w:t>
      </w:r>
      <w:r>
        <w:rPr>
          <w:rFonts w:hint="default" w:ascii="Times New Roman" w:hAnsi="Times New Roman" w:eastAsia="方正仿宋简体" w:cs="Times New Roman"/>
          <w:spacing w:val="34"/>
          <w:sz w:val="32"/>
          <w:szCs w:val="32"/>
        </w:rPr>
        <w:t>），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比上年同期数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712088.87万元（不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含代列支出42623.05万元）增支56137.88万元，同比增长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7.88%。其中：基本支出为226,639.22万元，所占支出比重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为29.5%，比上年同期数211927.31万元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增支14711.92万元，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同比增长6.94%；项目支出为541587.52万元，所占支出比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重为70.5%，比上年同期数500161.56万元增支41425.96万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同比增长8.28%。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（三）部门结余情况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2021年部门年末结转结余为0万元，与上年同期数0万元相比，无变化。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（四）2021年全面实施预算绩效管理情况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2021年全面推进预算绩效管理工作，建立健全绩效评价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机制，推进预算绩效管理制度化、规范化，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提高财政资金使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用效益，加强结果应用，服务预算编制及执行，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主要完成对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55个一级预算单位的2021年度533个项目7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9.94亿元支出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绩效评价；67个一级预算单位2021年度部门单位整体支出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绩效评价；2021年6个项目的事前绩效评估、64个部门整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体目标、538个项目绩效目标编制，同时重点监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控工作任务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主要完成40个重点项目绩效评价，并抽取5个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项目在政府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网站专栏公开。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三、2021年“三公经费”情况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巴楚县认真贯彻中央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eastAsia="zh-CN"/>
        </w:rPr>
        <w:t>中央八项规定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，严格落实县委、县政府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厉行节约、反对浪费规定的有关要求，加强对公务用车购置、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维修、公务接待费用的管理，取得了明显成效。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2021年度一般公共预算“三公”经费支出决算429.78万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元，比上年436.52万元减少6.74万元，降低1.54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%，减少原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因是压减支出。其中，因公出国（境）费支出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0元，与上年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一致；公务用车购置及运行维护费支出388.11万元，占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"/>
          <w:position w:val="2"/>
          <w:sz w:val="32"/>
          <w:szCs w:val="32"/>
        </w:rPr>
        <w:t>90.3%，比上年385.88万元减少2</w:t>
      </w:r>
      <w:r>
        <w:rPr>
          <w:rFonts w:hint="default" w:ascii="Times New Roman" w:hAnsi="Times New Roman" w:eastAsia="方正仿宋简体" w:cs="Times New Roman"/>
          <w:position w:val="2"/>
          <w:sz w:val="32"/>
          <w:szCs w:val="32"/>
        </w:rPr>
        <w:t>.23万元，降低0.58%，减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少原因是压减支出；公务接待费支出41.67万元，占9.7%，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比上年50.64万元减少8.97万元，降低17.72%，减少原因是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压减支出。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四、2021年财政主要工作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47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spacing w:val="1"/>
          <w:positio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"/>
          <w:position w:val="2"/>
          <w:sz w:val="32"/>
          <w:szCs w:val="32"/>
        </w:rPr>
        <w:t>（一）始终抓好财源建设，实现新常态下财政收入平稳增长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我县认真贯彻落实自治区、地区、县委经济工作会议</w:t>
      </w:r>
      <w:r>
        <w:rPr>
          <w:rFonts w:hint="eastAsia" w:ascii="Times New Roman" w:hAnsi="Times New Roman" w:eastAsia="方正仿宋简体" w:cs="Times New Roman"/>
          <w:spacing w:val="1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财政工作会议精神，定期分析税收形势，加强各类税源管理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确保税收均衡入库。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牵头组织调度。定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期牵头组织专题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会议，充分调动国、地税和各综合治税单位的积极性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落实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责任、密切协作、强化督查。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加强税源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管理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强化各财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税收入部门之间的协调沟通，以及对重点税源管理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加大税收稽查力度和清欠力度，防止税源流失；坚持依法治税，严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格执行国家制定的财税优惠政策，加强非税收入收缴管理，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强化监管，挖掘增收潜力。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全面落实国家各项优惠政策。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从支持小微企业发展、优化企业服务环境、加大基础设施投入、优化财税发展环境等方面全力发掘收入增长点，开辟后续税源。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积极争取上级支持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及时与上级财政对接，研究吃透专项扶持政策，组织落实各类扶持资金，全力拓展经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济发展空间。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规范非税收入征缴，进一步加强财政部门和预算单位资金存放管理，将有限的资金发挥最大效益。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（二）切实加强财政支出管理，财政支出规模持续扩大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我县紧紧围绕社会稳定和长治久安总目标，坚持“保基本、保重点、保民生、压一般”的支出原则，积极向自治区争取一般性补助资金和项目资金，全力保障基本支出和重点支出，大力压减一般性支出。坚持倡导艰苦奋斗、“过紧日子”的思想，严格控制和压缩会议、购车、出国（境）等经费开支，严禁新建政府性楼堂馆所。深入贯彻中央改进工作作风、密切联系群众的“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lang w:eastAsia="zh-CN"/>
        </w:rPr>
        <w:t>中央八项规定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”和自治区“十条规定”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坚持财力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向民生和基层倾斜，始终坚持“劲往基层使、人往基层走、钱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往基层花”的原则，保障基层人员及经费支出</w:t>
      </w:r>
      <w:r>
        <w:rPr>
          <w:rFonts w:hint="eastAsia" w:ascii="Times New Roman" w:hAnsi="Times New Roman" w:eastAsia="方正仿宋简体" w:cs="Times New Roman"/>
          <w:spacing w:val="9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1年，全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县用于民生支29.39亿元，占一般公共预算支出比重51.2%，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其中：教育支出占比24.1%、文化旅游体育与传媒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支出占比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0.77%、社会保障和就业支出占比13.52%、卫生健康支出占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比10.32%、住房保障支出占比2.49%。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（三）扎实开展部门“预决算公开”，促进经济持续健康发展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部门预决算公开是政府信息公开的重要内容，是深化预算管理制度改革的核心要求，是实现国家治理体系和治理能力现代化的重要推动力。公开财政资金的来源和去向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是各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级政府应尽的职责。2021年，我县扎实开展部门决算公开工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作，建立健全规范公开透明的预决算制度，提高全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县142个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部门决算单位公开意识，使各级预算单位充分认识预决算公开的重要性和必要性，能积极主动的开展预决算公开工作，以公开稳预期、强监督、促落实、优服务，切实增强人民群众满意度、获得感，为促进经济持续健康发展和社会大局稳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定发挥积极作用。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以上财政决算收支数是依据巴楚县2021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年地方财政收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支财政总决算与部门决算上报地区并批复的数据。根据地区财政局对巴楚县的决算批复情况，恳请巴楚县人民政府批准</w:t>
      </w:r>
      <w:r>
        <w:rPr>
          <w:rFonts w:hint="default" w:ascii="Times New Roman" w:hAnsi="Times New Roman" w:eastAsia="方正仿宋简体" w:cs="Times New Roman"/>
          <w:spacing w:val="21"/>
          <w:sz w:val="32"/>
          <w:szCs w:val="32"/>
        </w:rPr>
        <w:t>同意财政局向县人大申请对以上财政收支决算数予以审核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批复。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主任、各位副主任，各位委员：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2021年度决算工作已圆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满完成，我们将在县委、县政府的正确领导下，在县人大监督指导和上级部门的关心支持下，以更加开阔的思路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更加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有效的举措、更加务实的作风，攻坚克难，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扎实工作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为更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好地完成2022年度财政工作努力奋斗。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以上报告，请予审议！</w:t>
      </w:r>
    </w:p>
    <w:sectPr>
      <w:footerReference r:id="rId4" w:type="default"/>
      <w:pgSz w:w="11906" w:h="16839"/>
      <w:pgMar w:top="1431" w:right="1785" w:bottom="1378" w:left="1785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EzZDJiNGRjZTcwMjVjNjgyZTg3MDU5MDRjNjc0Y2IifQ=="/>
  </w:docVars>
  <w:rsids>
    <w:rsidRoot w:val="00000000"/>
    <w:rsid w:val="11DD1CCB"/>
    <w:rsid w:val="21AC7DBD"/>
    <w:rsid w:val="50A75781"/>
    <w:rsid w:val="5508730C"/>
    <w:rsid w:val="59271EC7"/>
    <w:rsid w:val="639A0657"/>
    <w:rsid w:val="76992EF2"/>
    <w:rsid w:val="77725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3463</Words>
  <Characters>4255</Characters>
  <TotalTime>7</TotalTime>
  <ScaleCrop>false</ScaleCrop>
  <LinksUpToDate>false</LinksUpToDate>
  <CharactersWithSpaces>4741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2022-10-14T17:02:00Z</dcterms:created>
  <dc:creator>PC</dc:creator>
  <cp:lastModifiedBy>Administrator</cp:lastModifiedBy>
  <dcterms:modified xsi:type="dcterms:W3CDTF">2024-04-30T10:58:30Z</dcterms:modified>
  <dc:title>关于巴楚县2018年度财政决算情况的报告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2023-08-11T17:42:38Z</vt:filetime>
  </property>
  <property fmtid="{D5CDD505-2E9C-101B-9397-08002B2CF9AE}" pid="4" name="KSOProductBuildVer">
    <vt:lpwstr>2052-11.8.2.9022</vt:lpwstr>
  </property>
  <property fmtid="{D5CDD505-2E9C-101B-9397-08002B2CF9AE}" pid="5" name="ICV">
    <vt:lpwstr>B0A58D273CA244C49756D9E984C56E8F_12</vt:lpwstr>
  </property>
</Properties>
</file>