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hint="default" w:ascii="Times New Roman" w:hAnsi="Times New Roman" w:cs="Times New Roman"/>
          <w:sz w:val="21"/>
        </w:rPr>
      </w:pPr>
    </w:p>
    <w:p>
      <w:pPr>
        <w:spacing w:line="291" w:lineRule="auto"/>
        <w:rPr>
          <w:rFonts w:hint="default" w:ascii="Times New Roman" w:hAnsi="Times New Roman" w:cs="Times New Roman"/>
          <w:sz w:val="21"/>
        </w:rPr>
      </w:pPr>
    </w:p>
    <w:p>
      <w:pPr>
        <w:spacing w:line="240" w:lineRule="auto"/>
        <w:ind w:right="0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2021年度巴楚县政府性基金决算情况</w:t>
      </w:r>
    </w:p>
    <w:p>
      <w:pPr>
        <w:spacing w:line="240" w:lineRule="auto"/>
        <w:ind w:right="0"/>
        <w:jc w:val="center"/>
        <w:outlineLvl w:val="0"/>
        <w:rPr>
          <w:rFonts w:hint="default" w:ascii="Times New Roman" w:hAnsi="Times New Roman" w:cs="Times New Roman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line="341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676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政府性基金预算收入完成情况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Chars="0" w:right="0" w:rightChars="0" w:firstLine="684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政府性基金收入21764万元，比上年同期27270万元减收5506万元，增长20.19%。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主要增收原因是国有土地使用权出让收入减收8990万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元。城市基础设施配套费收入增收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10万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元，专项债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务对应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项目专项收入增收3323万元。</w:t>
      </w:r>
    </w:p>
    <w:p>
      <w:pPr>
        <w:spacing w:before="215" w:line="225" w:lineRule="auto"/>
        <w:ind w:left="68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（二）政府性基金预算支出完成情况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2021年政府性基金支出205345万元，比上年同期88158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万元增加117187万元，增长132.93% 。具体为：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1、新增专项债券194000万元，其中：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（1）资本金项目39000万元主要安排支付项目为：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——喀什地区巴楚县城供水厂建设项目12000万元；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巴楚县农村饮水安全管网及信息化改造工程（夏马勒乡）8000万元；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巴楚县农村饮水安全管网及信息化改造工程（琼库恰克乡）6000万元；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巴楚县色力布亚镇污水处理厂建设项目3000万元；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喀什地区巴楚县停车场建设项目5000万元；</w:t>
      </w:r>
    </w:p>
    <w:p>
      <w:pPr>
        <w:pStyle w:val="2"/>
        <w:spacing w:before="216" w:line="231" w:lineRule="auto"/>
        <w:ind w:left="37" w:firstLine="68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巴楚县垃圾分类、收集、转运一体化设施建设项目5000</w:t>
      </w:r>
      <w:r>
        <w:rPr>
          <w:rFonts w:hint="default" w:ascii="Times New Roman" w:hAnsi="Times New Roman" w:cs="Times New Roman"/>
          <w:spacing w:val="-2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4" w:firstLineChars="200"/>
        <w:textAlignment w:val="baseline"/>
        <w:rPr>
          <w:rFonts w:hint="default" w:ascii="Times New Roman" w:hAnsi="Times New Roman" w:eastAsia="方正仿宋简体" w:cs="Times New Roman"/>
          <w:spacing w:val="11"/>
          <w:sz w:val="32"/>
          <w:szCs w:val="32"/>
          <w:lang w:val="en-US" w:eastAsia="zh-CN"/>
        </w:rPr>
        <w:sectPr>
          <w:pgSz w:w="11906" w:h="16839"/>
          <w:pgMar w:top="1431" w:right="1508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（2）棚户区改造专项债券63000万元主要安排支付项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</w:rPr>
        <w:t>目为：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巴楚县2020年棚户区改造建设项目32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巴楚县2021年棚户区改造建设项目30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4" w:firstLineChars="200"/>
        <w:textAlignment w:val="baseline"/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巴楚县2019年棚户区改造建设项目1000万元。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（3）其他试点专项债券92000万元主要安排支付项目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724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21"/>
          <w:sz w:val="32"/>
          <w:szCs w:val="32"/>
        </w:rPr>
        <w:t>——喀什经济开发区巴楚县园区总部经济中心及附属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设施建设项目1000万元；喀什地区巴楚县色力布亚特色小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城镇集中供热改扩建项目2000万元；巴楚县老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旧小区改造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基础设施提升项目2000万元；巴楚县城南生活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污水处理厂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中水库建设项目6000万元；巴楚县乡镇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地埋式生活污水处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理示范工程项目1000万元；喀什地区巴楚县城南生活污水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处理厂提标扩容项目2000万元；巴楚县奶牛产业园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建设项目3000万元；巴楚县纺织城园区公共服务设施及就业厂房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改造项目2000万元；巴楚县工业园区纺织园区标准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厂房新</w:t>
      </w: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增配套附属建设项目1000万元；喀什地区巴楚县工业园区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20万锭纺纱厂建设项目5000万元；喀什经济开发区巴楚县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产业园厂房建设及附属设施项目6000万元；喀什地区巴楚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县果蔬产业融合示范园建设项目5000万元；巴楚县蔬菜产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业生产基地（一期）建设项目3000万元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；巴楚县蔬菜产业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生产基地（二期）建设项目2000万元；巴楚县设施农业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建设-色力布亚镇果蔬基地建设项目5000万元；喀什地区巴楚县人民医院综合楼（备战隔离病区）建设项目6000万元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巴楚县农产品交易中心提升改造建设项目4000万元；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sectPr>
          <w:pgSz w:w="11906" w:h="16839"/>
          <w:pgMar w:top="1431" w:right="1785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喀什地区巴楚县色力布亚特色小城镇基础设施建设项目15000万元；巴楚县工业园区劳动再就业厂房及附属设施建设项目8000万元；巴楚县琼库尔恰克乡民生产业园肉羊育肥场建设项目8000万元；喀什地区巴楚县人民医院分院南部片区传染病综合楼建设项目2000万元；喀什地区巴楚县民族公墓续建项目1000万元；喀什地区巴楚县公共配送中心建设项</w:t>
      </w:r>
      <w:r>
        <w:rPr>
          <w:rFonts w:hint="default" w:ascii="Times New Roman" w:hAnsi="Times New Roman" w:cs="Times New Roman"/>
          <w:spacing w:val="-8"/>
        </w:rPr>
        <w:t>目</w:t>
      </w:r>
      <w:r>
        <w:rPr>
          <w:rFonts w:hint="default" w:ascii="Times New Roman" w:hAnsi="Times New Roman" w:eastAsia="Times New Roman" w:cs="Times New Roman"/>
          <w:spacing w:val="-8"/>
        </w:rPr>
        <w:t>2000</w:t>
      </w:r>
      <w:r>
        <w:rPr>
          <w:rFonts w:hint="default" w:ascii="Times New Roman" w:hAnsi="Times New Roman" w:cs="Times New Roman"/>
          <w:spacing w:val="-8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4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2、国有土地使用权出让收入安排17690万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元，其中：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土地出让价款收入12498万元；划拨土地收入223万元；缴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纳新增建设用地土地有偿使用费-1318万元；其他土地出让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收入5380万元；城市公共设施59万元。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8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国有土地使用权出让收入安排的支出5909万元，其中：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征地和拆迁补偿支出2125万元；土地出让业务支出27万元；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棚户区改造支出3350万元；公共租赁住房支出121万</w:t>
      </w: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元；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其他国有土地使用权出让收入安排的支出286万元；城市公</w:t>
      </w:r>
      <w:r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  <w:t>共设施59万元。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3、彩票公益金安排的支出247万元，其中：用于社会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福利的彩票公益金支出116万元；用于体育事业的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彩票公益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金支出50万元；用于教育事业的彩票公益金支出11万元；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lang w:eastAsia="zh-CN"/>
        </w:rPr>
        <w:t>用于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残疾人事业的彩票公益金支出62万元；用于其他社会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公益事业的彩票公益金支出8万元。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6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4、债务付息支出4484万元。其中：用于棚户区改造专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项债券付息支出840万元；其他地方自行试点项目收益专项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债券付息支出3644万元；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88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债务发行费用支出72万元。其中：用于棚户区改造专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  <w:sectPr>
          <w:pgSz w:w="11906" w:h="16839"/>
          <w:pgMar w:top="1431" w:right="1713" w:bottom="0" w:left="1785" w:header="0" w:footer="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>项债券发行费用支出67万元；其他地方自行试点项目收益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专项债券发行费用支出138万元；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2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政府性基金支出增减因素分析：2021年政府性基金支出完成205345万元，完成年初预算的1873.24%，较上年增加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117187万元，增长132.93%，主要增加原因是受政府性基金</w:t>
      </w:r>
      <w:r>
        <w:rPr>
          <w:rFonts w:hint="default" w:ascii="Times New Roman" w:hAnsi="Times New Roman" w:eastAsia="方正仿宋简体" w:cs="Times New Roman"/>
          <w:spacing w:val="21"/>
          <w:sz w:val="32"/>
          <w:szCs w:val="32"/>
        </w:rPr>
        <w:t>收入本级收入增收因素及上级补助收入增加因素的双重影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响，且2021年政府性基上级补助的基金收入为862万元，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</w:rPr>
        <w:t>新增专项债券194000万元（较上年增加127000万元</w:t>
      </w:r>
      <w:r>
        <w:rPr>
          <w:rFonts w:hint="default" w:ascii="Times New Roman" w:hAnsi="Times New Roman" w:eastAsia="方正仿宋简体" w:cs="Times New Roman"/>
          <w:spacing w:val="-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72" w:firstLineChars="200"/>
        <w:textAlignment w:val="baseline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（三）收支结余情况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1、收入总计为216935万元，其中：当年政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</w:rPr>
        <w:t>府性基金预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</w:rPr>
        <w:t>算收入21764万元，上级补助收入862万元，新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增专项债券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>收入194000万元，上年结余为309万元。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2、支出总计为216935万元，其中：政府性基金支出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</w:rPr>
        <w:t>205345万元，上解支出16万元，调出资金10548万元，专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</w:rPr>
        <w:t>项债券还本366万元。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 w:right="0" w:firstLine="692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1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3、收支平衡情况：收支相抵政府性基金年终滚存结转结余为660万元，财政结余为结转下年支出的各类专项资金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lang w:eastAsia="zh-CN"/>
        </w:rPr>
        <w:t>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260534"/>
    <w:rsid w:val="2312593A"/>
    <w:rsid w:val="3DB74FF1"/>
    <w:rsid w:val="58AF6498"/>
    <w:rsid w:val="60E74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2022-10-14T12:55:00Z</dcterms:created>
  <dc:creator>admin</dc:creator>
  <cp:lastModifiedBy>admin</cp:lastModifiedBy>
  <dcterms:modified xsi:type="dcterms:W3CDTF">2023-08-16T04:46:35Z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2023-08-15T17:02:57Z</vt:filetime>
  </property>
  <property fmtid="{D5CDD505-2E9C-101B-9397-08002B2CF9AE}" pid="4" name="KSOProductBuildVer">
    <vt:lpwstr>2052-11.8.2.8875</vt:lpwstr>
  </property>
</Properties>
</file>