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0"/>
        <w:jc w:val="center"/>
        <w:outlineLvl w:val="0"/>
        <w:rPr>
          <w:rFonts w:hint="default" w:ascii="Times New Roman" w:hAnsi="Times New Roman" w:eastAsia="方正小标宋简体" w:cs="Times New Roman"/>
          <w:spacing w:val="8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2021年度巴楚县国有资本经营决算</w:t>
      </w:r>
    </w:p>
    <w:p>
      <w:pPr>
        <w:spacing w:line="240" w:lineRule="auto"/>
        <w:ind w:right="0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情况说明</w:t>
      </w:r>
    </w:p>
    <w:p>
      <w:pPr>
        <w:spacing w:line="341" w:lineRule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76" w:firstLineChars="200"/>
        <w:textAlignment w:val="baseline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（一）国有资本经营预算收入完成情况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国有资本经营预算收入1500万元，比上年同期增收450万元，增长42.86%。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主要增收原因是新疆水夫建设工程有限责任公司400万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中信虹雨建设工程有限公司350万元，圆薪劳务服务有限公司250万元，巴尔楚克众和农业投资发展有限公司300万元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神龙建筑公司170万元，园丰实业30万元。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76" w:firstLineChars="200"/>
        <w:textAlignment w:val="baseline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（二）国有资本经营预算支出完成情况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2021年国有资本经营预算支出990万元，比上年同期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701万元增加289万元，增长41.23%。</w:t>
      </w:r>
      <w:r>
        <w:rPr>
          <w:rFonts w:hint="default" w:ascii="Times New Roman" w:hAnsi="Times New Roman" w:eastAsia="方正仿宋简体" w:cs="Times New Roman"/>
          <w:spacing w:val="-4"/>
          <w:sz w:val="32"/>
          <w:szCs w:val="32"/>
        </w:rPr>
        <w:t>主要为：城投公司900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</w:rPr>
        <w:t>万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  <w:lang w:eastAsia="zh-CN"/>
        </w:rPr>
        <w:t>元，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</w:rPr>
        <w:t>楚盛货物运输有限公司30万元，全域文化旅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游投资有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限公司30万元，巴楚县园区投资开发有限公司30万元。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76" w:firstLineChars="200"/>
        <w:textAlignment w:val="baseline"/>
        <w:rPr>
          <w:rFonts w:hint="default" w:ascii="Times New Roman" w:hAnsi="Times New Roman" w:eastAsia="方正黑体简体" w:cs="Times New Roman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黑体简体" w:cs="Times New Roman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（三）收支结余情况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52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1、收入总计为1051万元，其中：其他国有资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本经营预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算企业利润收入1050万元，国有资本经营预算上级补助收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入4万元，国有资本经营预算调出资金450万元。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72" w:firstLineChars="200"/>
        <w:textAlignment w:val="baseline"/>
        <w:rPr>
          <w:rFonts w:hint="default" w:ascii="Times New Roman" w:hAnsi="Times New Roman" w:eastAsia="方正仿宋简体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2、支出总计为701万元，其中：其他国有企业资本金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textAlignment w:val="baseline"/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注入支出990万元。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72" w:firstLineChars="200"/>
        <w:textAlignment w:val="baseline"/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3、收支平衡情况：收支相抵政府性基金年终滚存结转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textAlignment w:val="baseline"/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结余为64万元，财政结余为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结转下年支出的各类专项资金。</w:t>
      </w:r>
    </w:p>
    <w:sectPr>
      <w:pgSz w:w="11906" w:h="16839"/>
      <w:pgMar w:top="1431" w:right="155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7B020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2022-10-14T17:21:00Z</dcterms:created>
  <dc:creator>Administrator</dc:creator>
  <cp:lastModifiedBy>admin</cp:lastModifiedBy>
  <dcterms:modified xsi:type="dcterms:W3CDTF">2023-08-15T10:06:32Z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2023-08-15T17:03:28Z</vt:filetime>
  </property>
  <property fmtid="{D5CDD505-2E9C-101B-9397-08002B2CF9AE}" pid="4" name="KSOProductBuildVer">
    <vt:lpwstr>2052-11.8.2.8875</vt:lpwstr>
  </property>
</Properties>
</file>