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outlineLvl w:val="9"/>
        <w:rPr>
          <w:rFonts w:hint="eastAsia" w:ascii="Times New Roman" w:hAnsi="Times New Roman" w:eastAsia="仿宋_GB2312" w:cs="Times New Roman"/>
          <w:b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巴楚县20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年度地方政府举债情况说明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为进一步完善地方政府债务管理，贯彻落实国务院、自治区、地区有关地方政府债务管理的相关规定，我县积极组织开展多次地方政府性债务自查核实工作，积极稳妥化解了地方政府债务风险，牢牢守住债务风险的底线。对政府债务实行规模控制和预算管理，制定了中长期债务风险化解规划和应急处置预案，加强债务风险防控。完善政府债务限额管理机制，由同级人大审议批复并按照要求纳入预算管理。现将我县20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年地方政府债务限额及债务情况说明如下：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一、地方政府债务基本情况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我县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2016年地区下达并经县人大审议批复的我县政府债务限额39433万元，地方政府债务余额为33217.97万元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2017年地区下达并经县人大审议批复的我县政府债务限额 96561万元，2017年末政府债务余额78716.76万元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2018年地区下达并经县人大审议批复的我县政府债务限额134411万元，2018年末政府债务余额116566.76万元；2019年地区下达并经县人大审议批复的我县政府债务限额178181万元，2019年末政府债务余额159851.86万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元。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2020年地区下达并经县人大审议批复的政府债务限额314966万元。实际债务余额为304324.77万元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二、20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年地方政府债务情况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年末自治区、地区下达并经县人大审议批复的政府债务限额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525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966万元。实际债务余额为511711.94万元，其中一般债务余额240418.19万元；专项债务余额为271293.75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万元。按照要求全部由同级人大审议批复并纳入预算管理。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三、20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 xml:space="preserve"> 年地方政府债券到位情况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截至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年12月末，自治区、地区下达并经县人大审议批复的202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年新增政府债务限额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2110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万元。202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年地方政府债券资金到位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2141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00万元，其中新增地方政府债券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2090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00万元，再融资债券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万元。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到位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再融资债券不占用政府债务限额。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巴楚县财政局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 202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3167A"/>
    <w:rsid w:val="1C43167A"/>
    <w:rsid w:val="1FFD3332"/>
    <w:rsid w:val="546663B1"/>
    <w:rsid w:val="60E01F92"/>
    <w:rsid w:val="616D1744"/>
    <w:rsid w:val="6AF50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kern w:val="0"/>
    </w:rPr>
  </w:style>
  <w:style w:type="character" w:default="1" w:styleId="4">
    <w:name w:val="Default Paragraph Font"/>
    <w:unhideWhenUsed/>
    <w:qFormat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14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2020-09-10T12:09:00Z</dcterms:created>
  <dc:creator>Administrator</dc:creator>
  <cp:lastModifiedBy>Administrator</cp:lastModifiedBy>
  <dcterms:modified xsi:type="dcterms:W3CDTF">2022-10-13T10:36:18Z</dcterms:modified>
  <dc:title>巴楚县2019年度地方政府举债情况说明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