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pBdr>
          <w:bottom w:val="dotDotDash" w:color="auto" w:sz="24" w:space="10"/>
        </w:pBdr>
        <w:kinsoku/>
        <w:wordWrap/>
        <w:overflowPunct/>
        <w:topLinePunct w:val="0"/>
        <w:autoSpaceDE/>
        <w:autoSpaceDN/>
        <w:bidi w:val="0"/>
        <w:adjustRightInd/>
        <w:spacing w:before="312" w:beforeLines="100" w:after="312" w:afterLines="100" w:line="360" w:lineRule="exact"/>
        <w:ind w:firstLine="0" w:firstLineChars="0"/>
        <w:rPr>
          <w:rFonts w:eastAsia="黑体"/>
          <w:b/>
          <w:color w:val="auto"/>
          <w:sz w:val="30"/>
          <w:szCs w:val="30"/>
          <w:highlight w:val="none"/>
        </w:rPr>
      </w:pPr>
    </w:p>
    <w:p>
      <w:pPr>
        <w:keepNext w:val="0"/>
        <w:keepLines w:val="0"/>
        <w:pageBreakBefore w:val="0"/>
        <w:widowControl w:val="0"/>
        <w:pBdr>
          <w:bottom w:val="dotDotDash" w:color="auto" w:sz="24" w:space="10"/>
        </w:pBdr>
        <w:kinsoku/>
        <w:wordWrap/>
        <w:overflowPunct/>
        <w:topLinePunct w:val="0"/>
        <w:autoSpaceDE/>
        <w:autoSpaceDN/>
        <w:bidi w:val="0"/>
        <w:adjustRightInd/>
        <w:snapToGrid w:val="0"/>
        <w:spacing w:before="312" w:beforeLines="100" w:after="312" w:afterLines="100" w:line="560" w:lineRule="exact"/>
        <w:ind w:firstLine="0" w:firstLineChars="0"/>
        <w:jc w:val="center"/>
        <w:rPr>
          <w:rFonts w:eastAsia="黑体"/>
          <w:b/>
          <w:color w:val="auto"/>
          <w:sz w:val="30"/>
          <w:szCs w:val="30"/>
          <w:highlight w:val="none"/>
        </w:rPr>
      </w:pPr>
    </w:p>
    <w:p>
      <w:pPr>
        <w:keepNext w:val="0"/>
        <w:keepLines w:val="0"/>
        <w:pageBreakBefore w:val="0"/>
        <w:widowControl w:val="0"/>
        <w:pBdr>
          <w:bottom w:val="dotDotDash" w:color="auto" w:sz="24" w:space="10"/>
        </w:pBdr>
        <w:kinsoku/>
        <w:wordWrap/>
        <w:overflowPunct/>
        <w:topLinePunct w:val="0"/>
        <w:autoSpaceDE/>
        <w:autoSpaceDN/>
        <w:bidi w:val="0"/>
        <w:adjustRightInd/>
        <w:snapToGrid w:val="0"/>
        <w:spacing w:before="156" w:beforeLines="50" w:after="312" w:afterLines="100" w:line="560" w:lineRule="exact"/>
        <w:ind w:firstLine="0" w:firstLineChars="0"/>
        <w:jc w:val="center"/>
        <w:textAlignment w:val="center"/>
        <w:rPr>
          <w:rFonts w:eastAsia="黑体"/>
          <w:b/>
          <w:color w:val="auto"/>
          <w:sz w:val="44"/>
          <w:szCs w:val="22"/>
          <w:highlight w:val="none"/>
        </w:rPr>
      </w:pPr>
      <w:r>
        <w:rPr>
          <w:rFonts w:hint="default" w:eastAsia="黑体"/>
          <w:b/>
          <w:color w:val="auto"/>
          <w:sz w:val="44"/>
          <w:szCs w:val="22"/>
          <w:highlight w:val="none"/>
        </w:rPr>
        <w:t>巴楚县农业农村局</w:t>
      </w:r>
    </w:p>
    <w:p>
      <w:pPr>
        <w:keepNext w:val="0"/>
        <w:keepLines w:val="0"/>
        <w:pageBreakBefore w:val="0"/>
        <w:widowControl w:val="0"/>
        <w:pBdr>
          <w:bottom w:val="dotDotDash" w:color="auto" w:sz="24" w:space="10"/>
        </w:pBdr>
        <w:kinsoku/>
        <w:wordWrap/>
        <w:overflowPunct/>
        <w:topLinePunct w:val="0"/>
        <w:autoSpaceDE/>
        <w:autoSpaceDN/>
        <w:bidi w:val="0"/>
        <w:adjustRightInd/>
        <w:snapToGrid w:val="0"/>
        <w:spacing w:before="156" w:beforeLines="50" w:after="312" w:afterLines="100" w:line="560" w:lineRule="exact"/>
        <w:ind w:firstLine="0" w:firstLineChars="0"/>
        <w:jc w:val="center"/>
        <w:textAlignment w:val="center"/>
        <w:rPr>
          <w:rFonts w:eastAsia="黑体"/>
          <w:b/>
          <w:color w:val="auto"/>
          <w:sz w:val="44"/>
          <w:szCs w:val="22"/>
          <w:highlight w:val="none"/>
        </w:rPr>
      </w:pPr>
      <w:r>
        <w:rPr>
          <w:rFonts w:hint="default" w:eastAsia="黑体"/>
          <w:b/>
          <w:color w:val="auto"/>
          <w:sz w:val="44"/>
          <w:szCs w:val="22"/>
          <w:highlight w:val="none"/>
        </w:rPr>
        <w:t>巴楚县2023年耕地地力保护补贴项目</w:t>
      </w:r>
    </w:p>
    <w:p>
      <w:pPr>
        <w:keepNext w:val="0"/>
        <w:keepLines w:val="0"/>
        <w:pageBreakBefore w:val="0"/>
        <w:widowControl w:val="0"/>
        <w:kinsoku/>
        <w:wordWrap/>
        <w:overflowPunct/>
        <w:topLinePunct w:val="0"/>
        <w:autoSpaceDE/>
        <w:autoSpaceDN/>
        <w:bidi w:val="0"/>
        <w:adjustRightInd/>
        <w:snapToGrid w:val="0"/>
        <w:spacing w:line="560" w:lineRule="exact"/>
        <w:ind w:firstLine="0" w:firstLineChars="0"/>
        <w:jc w:val="center"/>
        <w:rPr>
          <w:rFonts w:eastAsia="黑体"/>
          <w:color w:val="auto"/>
          <w:sz w:val="44"/>
          <w:szCs w:val="44"/>
          <w:highlight w:val="none"/>
        </w:rPr>
      </w:pPr>
      <w:r>
        <w:rPr>
          <w:rFonts w:eastAsia="黑体"/>
          <w:color w:val="auto"/>
          <w:spacing w:val="23"/>
          <w:kern w:val="0"/>
          <w:sz w:val="44"/>
          <w:szCs w:val="44"/>
          <w:highlight w:val="none"/>
          <w:fitText w:val="2872" w:id="1761568746"/>
        </w:rPr>
        <w:t>绩效评价报</w:t>
      </w:r>
      <w:r>
        <w:rPr>
          <w:rFonts w:eastAsia="黑体"/>
          <w:color w:val="auto"/>
          <w:spacing w:val="1"/>
          <w:kern w:val="0"/>
          <w:sz w:val="44"/>
          <w:szCs w:val="44"/>
          <w:highlight w:val="none"/>
          <w:fitText w:val="2872" w:id="1761568746"/>
        </w:rPr>
        <w:t>告</w:t>
      </w:r>
    </w:p>
    <w:p>
      <w:pPr>
        <w:pageBreakBefore w:val="0"/>
        <w:kinsoku/>
        <w:wordWrap/>
        <w:overflowPunct/>
        <w:topLinePunct w:val="0"/>
        <w:autoSpaceDE/>
        <w:autoSpaceDN/>
        <w:bidi w:val="0"/>
        <w:adjustRightInd/>
        <w:spacing w:line="360" w:lineRule="exact"/>
        <w:ind w:firstLine="0" w:firstLineChars="0"/>
        <w:jc w:val="center"/>
        <w:rPr>
          <w:color w:val="auto"/>
          <w:highlight w:val="none"/>
        </w:rPr>
      </w:pPr>
      <w:r>
        <w:rPr>
          <w:color w:val="auto"/>
          <w:highlight w:val="none"/>
        </w:rPr>
        <w:t>驰天会咨</w:t>
      </w:r>
      <w:r>
        <w:rPr>
          <w:rFonts w:ascii="Times New Roman" w:hAnsi="Times New Roman" w:cs="Times New Roman"/>
          <w:color w:val="auto"/>
          <w:highlight w:val="none"/>
        </w:rPr>
        <w:t>字</w:t>
      </w:r>
      <w:r>
        <w:rPr>
          <w:rFonts w:hint="eastAsia" w:ascii="Times New Roman" w:hAnsi="Times New Roman" w:cs="Times New Roman"/>
          <w:color w:val="auto"/>
          <w:highlight w:val="none"/>
        </w:rPr>
        <w:t>〔</w:t>
      </w:r>
      <w:r>
        <w:rPr>
          <w:rFonts w:ascii="Times New Roman" w:hAnsi="Times New Roman" w:cs="Times New Roman"/>
          <w:color w:val="auto"/>
          <w:highlight w:val="none"/>
        </w:rPr>
        <w:t>20</w:t>
      </w:r>
      <w:r>
        <w:rPr>
          <w:rFonts w:hint="default" w:ascii="Times New Roman" w:hAnsi="Times New Roman" w:cs="Times New Roman"/>
          <w:color w:val="auto"/>
          <w:highlight w:val="none"/>
          <w:lang w:val="en-US" w:eastAsia="zh-CN"/>
        </w:rPr>
        <w:t>24</w:t>
      </w:r>
      <w:r>
        <w:rPr>
          <w:rFonts w:hint="eastAsia" w:ascii="Times New Roman" w:hAnsi="Times New Roman" w:cs="Times New Roman"/>
          <w:color w:val="auto"/>
          <w:highlight w:val="none"/>
        </w:rPr>
        <w:t>〕</w:t>
      </w:r>
      <w:r>
        <w:rPr>
          <w:rFonts w:ascii="Times New Roman" w:hAnsi="Times New Roman" w:cs="Times New Roman"/>
          <w:color w:val="auto"/>
          <w:highlight w:val="none"/>
        </w:rPr>
        <w:t>1-</w:t>
      </w:r>
      <w:r>
        <w:rPr>
          <w:rFonts w:hint="default" w:ascii="Times New Roman" w:hAnsi="Times New Roman" w:cs="Times New Roman"/>
          <w:color w:val="auto"/>
          <w:highlight w:val="none"/>
          <w:lang w:val="en-US" w:eastAsia="zh-CN"/>
        </w:rPr>
        <w:t>014</w:t>
      </w:r>
      <w:r>
        <w:rPr>
          <w:rFonts w:hint="default" w:eastAsia="等线"/>
          <w:color w:val="auto"/>
          <w:highlight w:val="none"/>
          <w:lang w:val="en-US" w:eastAsia="zh-CN"/>
        </w:rPr>
        <w:t>3</w:t>
      </w:r>
      <w:r>
        <w:rPr>
          <w:color w:val="auto"/>
          <w:highlight w:val="none"/>
        </w:rPr>
        <w:t>号</w:t>
      </w:r>
    </w:p>
    <w:p>
      <w:pPr>
        <w:pageBreakBefore w:val="0"/>
        <w:kinsoku/>
        <w:wordWrap/>
        <w:overflowPunct/>
        <w:topLinePunct w:val="0"/>
        <w:autoSpaceDE/>
        <w:autoSpaceDN/>
        <w:bidi w:val="0"/>
        <w:adjustRightInd/>
        <w:spacing w:line="360" w:lineRule="exact"/>
        <w:ind w:firstLine="0" w:firstLineChars="0"/>
        <w:jc w:val="center"/>
        <w:rPr>
          <w:b/>
          <w:color w:val="auto"/>
          <w:sz w:val="32"/>
          <w:szCs w:val="22"/>
          <w:highlight w:val="none"/>
        </w:rPr>
      </w:pPr>
    </w:p>
    <w:p>
      <w:pPr>
        <w:pageBreakBefore w:val="0"/>
        <w:kinsoku/>
        <w:wordWrap/>
        <w:overflowPunct/>
        <w:topLinePunct w:val="0"/>
        <w:autoSpaceDE/>
        <w:autoSpaceDN/>
        <w:bidi w:val="0"/>
        <w:adjustRightInd/>
        <w:spacing w:line="360" w:lineRule="exact"/>
        <w:ind w:firstLine="0" w:firstLineChars="0"/>
        <w:jc w:val="center"/>
        <w:rPr>
          <w:b/>
          <w:color w:val="auto"/>
          <w:sz w:val="32"/>
          <w:szCs w:val="22"/>
          <w:highlight w:val="none"/>
        </w:rPr>
      </w:pPr>
    </w:p>
    <w:p>
      <w:pPr>
        <w:pageBreakBefore w:val="0"/>
        <w:kinsoku/>
        <w:wordWrap/>
        <w:overflowPunct/>
        <w:topLinePunct w:val="0"/>
        <w:autoSpaceDE/>
        <w:autoSpaceDN/>
        <w:bidi w:val="0"/>
        <w:adjustRightInd/>
        <w:spacing w:line="360" w:lineRule="exact"/>
        <w:ind w:firstLine="0" w:firstLineChars="0"/>
        <w:jc w:val="center"/>
        <w:rPr>
          <w:b/>
          <w:color w:val="auto"/>
          <w:sz w:val="32"/>
          <w:szCs w:val="22"/>
          <w:highlight w:val="none"/>
        </w:rPr>
      </w:pPr>
    </w:p>
    <w:p>
      <w:pPr>
        <w:pageBreakBefore w:val="0"/>
        <w:kinsoku/>
        <w:wordWrap/>
        <w:overflowPunct/>
        <w:topLinePunct w:val="0"/>
        <w:autoSpaceDE/>
        <w:autoSpaceDN/>
        <w:bidi w:val="0"/>
        <w:adjustRightInd/>
        <w:spacing w:line="360" w:lineRule="exact"/>
        <w:ind w:firstLine="0" w:firstLineChars="0"/>
        <w:jc w:val="center"/>
        <w:rPr>
          <w:b/>
          <w:color w:val="auto"/>
          <w:sz w:val="32"/>
          <w:szCs w:val="22"/>
          <w:highlight w:val="none"/>
        </w:rPr>
      </w:pPr>
    </w:p>
    <w:p>
      <w:pPr>
        <w:pageBreakBefore w:val="0"/>
        <w:kinsoku/>
        <w:wordWrap/>
        <w:overflowPunct/>
        <w:topLinePunct w:val="0"/>
        <w:autoSpaceDE/>
        <w:autoSpaceDN/>
        <w:bidi w:val="0"/>
        <w:adjustRightInd/>
        <w:spacing w:line="360" w:lineRule="exact"/>
        <w:ind w:firstLine="0" w:firstLineChars="0"/>
        <w:jc w:val="center"/>
        <w:rPr>
          <w:b/>
          <w:color w:val="auto"/>
          <w:sz w:val="32"/>
          <w:szCs w:val="22"/>
          <w:highlight w:val="none"/>
        </w:rPr>
      </w:pPr>
    </w:p>
    <w:p>
      <w:pPr>
        <w:pageBreakBefore w:val="0"/>
        <w:kinsoku/>
        <w:wordWrap/>
        <w:overflowPunct/>
        <w:topLinePunct w:val="0"/>
        <w:autoSpaceDE/>
        <w:autoSpaceDN/>
        <w:bidi w:val="0"/>
        <w:adjustRightInd/>
        <w:spacing w:line="360" w:lineRule="exact"/>
        <w:ind w:firstLine="0" w:firstLineChars="0"/>
        <w:jc w:val="center"/>
        <w:rPr>
          <w:b/>
          <w:color w:val="auto"/>
          <w:sz w:val="32"/>
          <w:szCs w:val="22"/>
          <w:highlight w:val="none"/>
        </w:rPr>
      </w:pPr>
    </w:p>
    <w:p>
      <w:pPr>
        <w:pageBreakBefore w:val="0"/>
        <w:kinsoku/>
        <w:wordWrap/>
        <w:overflowPunct/>
        <w:topLinePunct w:val="0"/>
        <w:autoSpaceDE/>
        <w:autoSpaceDN/>
        <w:bidi w:val="0"/>
        <w:adjustRightInd/>
        <w:spacing w:line="360" w:lineRule="exact"/>
        <w:ind w:firstLine="0" w:firstLineChars="0"/>
        <w:jc w:val="center"/>
        <w:rPr>
          <w:b/>
          <w:color w:val="auto"/>
          <w:sz w:val="32"/>
          <w:szCs w:val="22"/>
          <w:highlight w:val="none"/>
        </w:rPr>
      </w:pPr>
    </w:p>
    <w:p>
      <w:pPr>
        <w:pageBreakBefore w:val="0"/>
        <w:kinsoku/>
        <w:wordWrap/>
        <w:overflowPunct/>
        <w:topLinePunct w:val="0"/>
        <w:autoSpaceDE/>
        <w:autoSpaceDN/>
        <w:bidi w:val="0"/>
        <w:adjustRightInd/>
        <w:spacing w:line="360" w:lineRule="exact"/>
        <w:ind w:firstLine="0" w:firstLineChars="0"/>
        <w:jc w:val="center"/>
        <w:rPr>
          <w:b/>
          <w:color w:val="auto"/>
          <w:sz w:val="32"/>
          <w:szCs w:val="22"/>
          <w:highlight w:val="none"/>
        </w:rPr>
      </w:pPr>
    </w:p>
    <w:p>
      <w:pPr>
        <w:pageBreakBefore w:val="0"/>
        <w:kinsoku/>
        <w:wordWrap/>
        <w:overflowPunct/>
        <w:topLinePunct w:val="0"/>
        <w:autoSpaceDE/>
        <w:autoSpaceDN/>
        <w:bidi w:val="0"/>
        <w:adjustRightInd/>
        <w:spacing w:line="360" w:lineRule="exact"/>
        <w:ind w:firstLine="0" w:firstLineChars="0"/>
        <w:rPr>
          <w:b/>
          <w:color w:val="auto"/>
          <w:sz w:val="32"/>
          <w:szCs w:val="22"/>
          <w:highlight w:val="none"/>
        </w:rPr>
      </w:pPr>
    </w:p>
    <w:p>
      <w:pPr>
        <w:pStyle w:val="9"/>
        <w:pageBreakBefore w:val="0"/>
        <w:kinsoku/>
        <w:wordWrap/>
        <w:overflowPunct/>
        <w:topLinePunct w:val="0"/>
        <w:autoSpaceDE/>
        <w:autoSpaceDN/>
        <w:bidi w:val="0"/>
        <w:spacing w:line="360" w:lineRule="exact"/>
        <w:ind w:firstLine="643"/>
        <w:rPr>
          <w:b/>
          <w:color w:val="auto"/>
          <w:sz w:val="32"/>
          <w:szCs w:val="22"/>
          <w:highlight w:val="none"/>
        </w:rPr>
      </w:pPr>
    </w:p>
    <w:p>
      <w:pPr>
        <w:pStyle w:val="10"/>
        <w:pageBreakBefore w:val="0"/>
        <w:kinsoku/>
        <w:wordWrap/>
        <w:overflowPunct/>
        <w:topLinePunct w:val="0"/>
        <w:autoSpaceDE/>
        <w:autoSpaceDN/>
        <w:bidi w:val="0"/>
        <w:spacing w:line="360" w:lineRule="exact"/>
        <w:ind w:firstLine="420"/>
        <w:rPr>
          <w:color w:val="auto"/>
          <w:highlight w:val="none"/>
        </w:rPr>
      </w:pPr>
    </w:p>
    <w:p>
      <w:pPr>
        <w:pStyle w:val="10"/>
        <w:pageBreakBefore w:val="0"/>
        <w:kinsoku/>
        <w:wordWrap/>
        <w:overflowPunct/>
        <w:topLinePunct w:val="0"/>
        <w:autoSpaceDE/>
        <w:autoSpaceDN/>
        <w:bidi w:val="0"/>
        <w:spacing w:line="360" w:lineRule="exact"/>
        <w:ind w:firstLine="420"/>
        <w:rPr>
          <w:color w:val="auto"/>
          <w:highlight w:val="none"/>
        </w:rPr>
      </w:pPr>
    </w:p>
    <w:p>
      <w:pPr>
        <w:pStyle w:val="10"/>
        <w:pageBreakBefore w:val="0"/>
        <w:kinsoku/>
        <w:wordWrap/>
        <w:overflowPunct/>
        <w:topLinePunct w:val="0"/>
        <w:autoSpaceDE/>
        <w:autoSpaceDN/>
        <w:bidi w:val="0"/>
        <w:spacing w:line="360" w:lineRule="exact"/>
        <w:ind w:firstLine="420"/>
        <w:rPr>
          <w:color w:val="auto"/>
          <w:highlight w:val="none"/>
        </w:rPr>
      </w:pPr>
    </w:p>
    <w:p>
      <w:pPr>
        <w:pStyle w:val="10"/>
        <w:pageBreakBefore w:val="0"/>
        <w:kinsoku/>
        <w:wordWrap/>
        <w:overflowPunct/>
        <w:topLinePunct w:val="0"/>
        <w:autoSpaceDE/>
        <w:autoSpaceDN/>
        <w:bidi w:val="0"/>
        <w:spacing w:line="360" w:lineRule="exact"/>
        <w:ind w:firstLine="420"/>
        <w:rPr>
          <w:color w:val="auto"/>
          <w:highlight w:val="none"/>
        </w:rPr>
      </w:pPr>
    </w:p>
    <w:p>
      <w:pPr>
        <w:pStyle w:val="10"/>
        <w:pageBreakBefore w:val="0"/>
        <w:kinsoku/>
        <w:wordWrap/>
        <w:overflowPunct/>
        <w:topLinePunct w:val="0"/>
        <w:autoSpaceDE/>
        <w:autoSpaceDN/>
        <w:bidi w:val="0"/>
        <w:spacing w:line="360" w:lineRule="exact"/>
        <w:ind w:firstLine="420"/>
        <w:rPr>
          <w:color w:val="auto"/>
          <w:highlight w:val="none"/>
        </w:rPr>
      </w:pPr>
    </w:p>
    <w:p>
      <w:pPr>
        <w:pStyle w:val="10"/>
        <w:pageBreakBefore w:val="0"/>
        <w:kinsoku/>
        <w:wordWrap/>
        <w:overflowPunct/>
        <w:topLinePunct w:val="0"/>
        <w:autoSpaceDE/>
        <w:autoSpaceDN/>
        <w:bidi w:val="0"/>
        <w:spacing w:line="360" w:lineRule="exact"/>
        <w:ind w:firstLine="420"/>
        <w:rPr>
          <w:color w:val="auto"/>
          <w:highlight w:val="none"/>
        </w:rPr>
      </w:pPr>
    </w:p>
    <w:p>
      <w:pPr>
        <w:pStyle w:val="10"/>
        <w:pageBreakBefore w:val="0"/>
        <w:kinsoku/>
        <w:wordWrap/>
        <w:overflowPunct/>
        <w:topLinePunct w:val="0"/>
        <w:autoSpaceDE/>
        <w:autoSpaceDN/>
        <w:bidi w:val="0"/>
        <w:spacing w:line="360" w:lineRule="exact"/>
        <w:ind w:firstLine="420"/>
        <w:rPr>
          <w:color w:val="auto"/>
          <w:highlight w:val="none"/>
        </w:rPr>
      </w:pPr>
    </w:p>
    <w:p>
      <w:pPr>
        <w:pStyle w:val="10"/>
        <w:pageBreakBefore w:val="0"/>
        <w:kinsoku/>
        <w:wordWrap/>
        <w:overflowPunct/>
        <w:topLinePunct w:val="0"/>
        <w:autoSpaceDE/>
        <w:autoSpaceDN/>
        <w:bidi w:val="0"/>
        <w:spacing w:line="360" w:lineRule="exact"/>
        <w:ind w:firstLine="420"/>
        <w:rPr>
          <w:color w:val="auto"/>
          <w:highlight w:val="none"/>
        </w:rPr>
      </w:pPr>
    </w:p>
    <w:p>
      <w:pPr>
        <w:pStyle w:val="10"/>
        <w:pageBreakBefore w:val="0"/>
        <w:kinsoku/>
        <w:wordWrap/>
        <w:overflowPunct/>
        <w:topLinePunct w:val="0"/>
        <w:autoSpaceDE/>
        <w:autoSpaceDN/>
        <w:bidi w:val="0"/>
        <w:spacing w:line="360" w:lineRule="exact"/>
        <w:ind w:left="0" w:leftChars="0" w:firstLine="0" w:firstLineChars="0"/>
        <w:rPr>
          <w:color w:val="auto"/>
          <w:highlight w:val="none"/>
        </w:rPr>
      </w:pPr>
      <w:bookmarkStart w:id="156" w:name="_GoBack"/>
      <w:bookmarkEnd w:id="156"/>
    </w:p>
    <w:p>
      <w:pPr>
        <w:pageBreakBefore w:val="0"/>
        <w:kinsoku/>
        <w:wordWrap/>
        <w:overflowPunct/>
        <w:topLinePunct w:val="0"/>
        <w:autoSpaceDE/>
        <w:autoSpaceDN/>
        <w:bidi w:val="0"/>
        <w:adjustRightInd/>
        <w:spacing w:line="360" w:lineRule="exact"/>
        <w:ind w:firstLine="0" w:firstLineChars="0"/>
        <w:jc w:val="center"/>
        <w:rPr>
          <w:b/>
          <w:color w:val="auto"/>
          <w:sz w:val="32"/>
          <w:szCs w:val="22"/>
          <w:highlight w:val="none"/>
        </w:rPr>
      </w:pPr>
      <w:r>
        <w:rPr>
          <w:b/>
          <w:color w:val="auto"/>
          <w:sz w:val="32"/>
          <w:szCs w:val="22"/>
          <w:highlight w:val="none"/>
        </w:rPr>
        <w:t>新疆驰远天合有限责任会计师事务所</w:t>
      </w:r>
    </w:p>
    <w:p>
      <w:pPr>
        <w:pageBreakBefore w:val="0"/>
        <w:kinsoku/>
        <w:wordWrap/>
        <w:overflowPunct/>
        <w:topLinePunct w:val="0"/>
        <w:autoSpaceDE/>
        <w:autoSpaceDN/>
        <w:bidi w:val="0"/>
        <w:adjustRightInd/>
        <w:spacing w:line="360" w:lineRule="exact"/>
        <w:ind w:firstLine="0" w:firstLineChars="0"/>
        <w:jc w:val="center"/>
        <w:rPr>
          <w:rFonts w:eastAsia="等线"/>
          <w:b/>
          <w:color w:val="auto"/>
          <w:sz w:val="28"/>
          <w:szCs w:val="28"/>
          <w:highlight w:val="none"/>
        </w:rPr>
      </w:pPr>
      <w:r>
        <w:rPr>
          <w:rFonts w:eastAsia="等线"/>
          <w:b/>
          <w:color w:val="auto"/>
          <w:sz w:val="28"/>
          <w:szCs w:val="28"/>
          <w:highlight w:val="none"/>
        </w:rPr>
        <w:t>XIN JIANG CHI YUAN TIAN HE</w:t>
      </w:r>
    </w:p>
    <w:p>
      <w:pPr>
        <w:pageBreakBefore w:val="0"/>
        <w:kinsoku/>
        <w:wordWrap/>
        <w:overflowPunct/>
        <w:topLinePunct w:val="0"/>
        <w:autoSpaceDE/>
        <w:autoSpaceDN/>
        <w:bidi w:val="0"/>
        <w:adjustRightInd/>
        <w:spacing w:line="360" w:lineRule="exact"/>
        <w:ind w:firstLine="0" w:firstLineChars="0"/>
        <w:jc w:val="center"/>
        <w:rPr>
          <w:rFonts w:eastAsia="等线"/>
          <w:b/>
          <w:color w:val="auto"/>
          <w:highlight w:val="none"/>
        </w:rPr>
      </w:pPr>
      <w:r>
        <w:rPr>
          <w:rFonts w:eastAsia="等线"/>
          <w:b/>
          <w:color w:val="auto"/>
          <w:highlight w:val="none"/>
        </w:rPr>
        <w:t>Certified Public Accountants Co.</w:t>
      </w:r>
      <w:r>
        <w:rPr>
          <w:rFonts w:hint="eastAsia" w:eastAsia="等线"/>
          <w:b/>
          <w:color w:val="auto"/>
          <w:highlight w:val="none"/>
          <w:lang w:eastAsia="zh-CN"/>
        </w:rPr>
        <w:t>，</w:t>
      </w:r>
      <w:r>
        <w:rPr>
          <w:rFonts w:eastAsia="等线"/>
          <w:b/>
          <w:color w:val="auto"/>
          <w:highlight w:val="none"/>
        </w:rPr>
        <w:t>Ltd.</w:t>
      </w:r>
    </w:p>
    <w:p>
      <w:pPr>
        <w:pageBreakBefore w:val="0"/>
        <w:kinsoku/>
        <w:wordWrap/>
        <w:overflowPunct/>
        <w:topLinePunct w:val="0"/>
        <w:autoSpaceDE/>
        <w:autoSpaceDN/>
        <w:bidi w:val="0"/>
        <w:spacing w:line="360" w:lineRule="exact"/>
        <w:ind w:firstLine="0" w:firstLineChars="0"/>
        <w:rPr>
          <w:rFonts w:eastAsia="黑体"/>
          <w:bCs/>
          <w:color w:val="auto"/>
          <w:sz w:val="24"/>
          <w:szCs w:val="24"/>
          <w:highlight w:val="none"/>
        </w:rPr>
      </w:pPr>
      <w:r>
        <w:rPr>
          <w:rFonts w:eastAsia="黑体"/>
          <w:bCs/>
          <w:color w:val="auto"/>
          <w:sz w:val="24"/>
          <w:szCs w:val="24"/>
          <w:highlight w:val="none"/>
        </w:rPr>
        <w:t>项目名称：巴楚县2023年耕地地力保护补贴项目</w:t>
      </w:r>
    </w:p>
    <w:p>
      <w:pPr>
        <w:pageBreakBefore w:val="0"/>
        <w:widowControl/>
        <w:kinsoku/>
        <w:wordWrap/>
        <w:overflowPunct/>
        <w:topLinePunct w:val="0"/>
        <w:autoSpaceDE/>
        <w:autoSpaceDN/>
        <w:bidi w:val="0"/>
        <w:spacing w:line="360" w:lineRule="exact"/>
        <w:ind w:firstLine="0" w:firstLineChars="0"/>
        <w:rPr>
          <w:rFonts w:eastAsia="黑体"/>
          <w:bCs/>
          <w:color w:val="auto"/>
          <w:sz w:val="24"/>
          <w:szCs w:val="24"/>
          <w:highlight w:val="none"/>
        </w:rPr>
      </w:pPr>
      <w:r>
        <w:rPr>
          <w:rFonts w:eastAsia="黑体"/>
          <w:bCs/>
          <w:color w:val="auto"/>
          <w:sz w:val="24"/>
          <w:szCs w:val="24"/>
          <w:highlight w:val="none"/>
        </w:rPr>
        <w:t>委托单位：巴楚县财政局</w:t>
      </w:r>
    </w:p>
    <w:p>
      <w:pPr>
        <w:pageBreakBefore w:val="0"/>
        <w:widowControl/>
        <w:kinsoku/>
        <w:wordWrap/>
        <w:overflowPunct/>
        <w:topLinePunct w:val="0"/>
        <w:autoSpaceDE/>
        <w:autoSpaceDN/>
        <w:bidi w:val="0"/>
        <w:spacing w:line="360" w:lineRule="exact"/>
        <w:ind w:firstLine="0" w:firstLineChars="0"/>
        <w:rPr>
          <w:rFonts w:eastAsia="黑体"/>
          <w:bCs/>
          <w:color w:val="auto"/>
          <w:sz w:val="24"/>
          <w:szCs w:val="24"/>
          <w:highlight w:val="none"/>
        </w:rPr>
      </w:pPr>
      <w:r>
        <w:rPr>
          <w:rFonts w:eastAsia="黑体"/>
          <w:bCs/>
          <w:color w:val="auto"/>
          <w:sz w:val="24"/>
          <w:szCs w:val="24"/>
          <w:highlight w:val="none"/>
        </w:rPr>
        <w:t>评价机构：新疆驰远天合有限责任会计师事务所</w:t>
      </w:r>
    </w:p>
    <w:p>
      <w:pPr>
        <w:pageBreakBefore w:val="0"/>
        <w:widowControl/>
        <w:kinsoku/>
        <w:wordWrap/>
        <w:overflowPunct/>
        <w:topLinePunct w:val="0"/>
        <w:autoSpaceDE/>
        <w:autoSpaceDN/>
        <w:bidi w:val="0"/>
        <w:spacing w:line="360" w:lineRule="exact"/>
        <w:ind w:firstLine="0" w:firstLineChars="0"/>
        <w:rPr>
          <w:rFonts w:eastAsia="黑体"/>
          <w:bCs/>
          <w:color w:val="auto"/>
          <w:sz w:val="24"/>
          <w:szCs w:val="24"/>
          <w:highlight w:val="none"/>
        </w:rPr>
      </w:pPr>
      <w:r>
        <w:rPr>
          <w:rFonts w:eastAsia="黑体"/>
          <w:bCs/>
          <w:color w:val="auto"/>
          <w:sz w:val="24"/>
          <w:szCs w:val="24"/>
          <w:highlight w:val="none"/>
        </w:rPr>
        <w:t>机构负责人：孙卫红</w:t>
      </w:r>
    </w:p>
    <w:p>
      <w:pPr>
        <w:pageBreakBefore w:val="0"/>
        <w:widowControl/>
        <w:kinsoku/>
        <w:wordWrap/>
        <w:overflowPunct/>
        <w:topLinePunct w:val="0"/>
        <w:autoSpaceDE/>
        <w:autoSpaceDN/>
        <w:bidi w:val="0"/>
        <w:spacing w:line="360" w:lineRule="exact"/>
        <w:ind w:firstLine="0" w:firstLineChars="0"/>
        <w:rPr>
          <w:rFonts w:eastAsia="黑体"/>
          <w:bCs/>
          <w:color w:val="auto"/>
          <w:sz w:val="24"/>
          <w:szCs w:val="24"/>
          <w:highlight w:val="none"/>
        </w:rPr>
      </w:pPr>
      <w:r>
        <w:rPr>
          <w:rFonts w:eastAsia="黑体"/>
          <w:bCs/>
          <w:color w:val="auto"/>
          <w:sz w:val="24"/>
          <w:szCs w:val="24"/>
          <w:highlight w:val="none"/>
        </w:rPr>
        <w:t>联系方式：0991-2835917、0991-2831583</w:t>
      </w:r>
    </w:p>
    <w:p>
      <w:pPr>
        <w:pageBreakBefore w:val="0"/>
        <w:widowControl/>
        <w:kinsoku/>
        <w:wordWrap/>
        <w:overflowPunct/>
        <w:topLinePunct w:val="0"/>
        <w:autoSpaceDE/>
        <w:autoSpaceDN/>
        <w:bidi w:val="0"/>
        <w:spacing w:line="360" w:lineRule="exact"/>
        <w:ind w:firstLine="0" w:firstLineChars="0"/>
        <w:rPr>
          <w:rFonts w:eastAsia="黑体"/>
          <w:bCs/>
          <w:color w:val="auto"/>
          <w:sz w:val="24"/>
          <w:szCs w:val="24"/>
          <w:highlight w:val="none"/>
        </w:rPr>
      </w:pPr>
      <w:r>
        <w:rPr>
          <w:rFonts w:eastAsia="黑体"/>
          <w:bCs/>
          <w:color w:val="auto"/>
          <w:sz w:val="24"/>
          <w:szCs w:val="24"/>
          <w:highlight w:val="none"/>
        </w:rPr>
        <w:t>通讯地址：新疆乌鲁木齐市天山区新华南路9号汇源大厦13楼</w:t>
      </w:r>
    </w:p>
    <w:p>
      <w:pPr>
        <w:pageBreakBefore w:val="0"/>
        <w:widowControl/>
        <w:kinsoku/>
        <w:wordWrap/>
        <w:overflowPunct/>
        <w:topLinePunct w:val="0"/>
        <w:autoSpaceDE/>
        <w:autoSpaceDN/>
        <w:bidi w:val="0"/>
        <w:spacing w:line="360" w:lineRule="exact"/>
        <w:ind w:firstLine="0" w:firstLineChars="0"/>
        <w:rPr>
          <w:rFonts w:eastAsia="黑体"/>
          <w:bCs/>
          <w:color w:val="auto"/>
          <w:sz w:val="24"/>
          <w:szCs w:val="24"/>
          <w:highlight w:val="none"/>
        </w:rPr>
      </w:pPr>
      <w:r>
        <w:rPr>
          <w:rFonts w:eastAsia="黑体"/>
          <w:bCs/>
          <w:color w:val="auto"/>
          <w:sz w:val="24"/>
          <w:szCs w:val="24"/>
          <w:highlight w:val="none"/>
        </w:rPr>
        <w:t>邮政编码：830004</w:t>
      </w:r>
    </w:p>
    <w:p>
      <w:pPr>
        <w:pageBreakBefore w:val="0"/>
        <w:widowControl/>
        <w:kinsoku/>
        <w:wordWrap/>
        <w:overflowPunct/>
        <w:topLinePunct w:val="0"/>
        <w:autoSpaceDE/>
        <w:autoSpaceDN/>
        <w:bidi w:val="0"/>
        <w:spacing w:line="360" w:lineRule="exact"/>
        <w:ind w:firstLine="0" w:firstLineChars="0"/>
        <w:rPr>
          <w:rFonts w:eastAsia="黑体"/>
          <w:bCs/>
          <w:color w:val="auto"/>
          <w:sz w:val="24"/>
          <w:szCs w:val="24"/>
          <w:highlight w:val="none"/>
        </w:rPr>
      </w:pPr>
    </w:p>
    <w:p>
      <w:pPr>
        <w:pageBreakBefore w:val="0"/>
        <w:widowControl/>
        <w:kinsoku/>
        <w:wordWrap/>
        <w:overflowPunct/>
        <w:topLinePunct w:val="0"/>
        <w:autoSpaceDE/>
        <w:autoSpaceDN/>
        <w:bidi w:val="0"/>
        <w:spacing w:line="360" w:lineRule="exact"/>
        <w:ind w:firstLine="0" w:firstLineChars="0"/>
        <w:rPr>
          <w:rFonts w:eastAsia="黑体"/>
          <w:bCs/>
          <w:color w:val="auto"/>
          <w:sz w:val="24"/>
          <w:szCs w:val="24"/>
          <w:highlight w:val="none"/>
        </w:rPr>
      </w:pPr>
    </w:p>
    <w:p>
      <w:pPr>
        <w:pageBreakBefore w:val="0"/>
        <w:widowControl/>
        <w:kinsoku/>
        <w:wordWrap/>
        <w:overflowPunct/>
        <w:topLinePunct w:val="0"/>
        <w:autoSpaceDE/>
        <w:autoSpaceDN/>
        <w:bidi w:val="0"/>
        <w:spacing w:line="360" w:lineRule="exact"/>
        <w:ind w:firstLine="0" w:firstLineChars="0"/>
        <w:rPr>
          <w:rFonts w:eastAsia="黑体"/>
          <w:bCs/>
          <w:color w:val="auto"/>
          <w:sz w:val="24"/>
          <w:szCs w:val="24"/>
          <w:highlight w:val="none"/>
        </w:rPr>
      </w:pPr>
    </w:p>
    <w:p>
      <w:pPr>
        <w:pageBreakBefore w:val="0"/>
        <w:widowControl/>
        <w:kinsoku/>
        <w:wordWrap/>
        <w:overflowPunct/>
        <w:topLinePunct w:val="0"/>
        <w:autoSpaceDE/>
        <w:autoSpaceDN/>
        <w:bidi w:val="0"/>
        <w:spacing w:line="360" w:lineRule="exact"/>
        <w:ind w:firstLine="0" w:firstLineChars="0"/>
        <w:rPr>
          <w:rFonts w:eastAsia="黑体"/>
          <w:bCs/>
          <w:color w:val="auto"/>
          <w:sz w:val="24"/>
          <w:szCs w:val="24"/>
          <w:highlight w:val="none"/>
        </w:rPr>
      </w:pPr>
      <w:r>
        <w:rPr>
          <w:rFonts w:eastAsia="黑体"/>
          <w:bCs/>
          <w:color w:val="auto"/>
          <w:sz w:val="24"/>
          <w:szCs w:val="24"/>
          <w:highlight w:val="none"/>
        </w:rPr>
        <w:t>项目评价小组成员：</w:t>
      </w:r>
    </w:p>
    <w:p>
      <w:pPr>
        <w:pageBreakBefore w:val="0"/>
        <w:widowControl/>
        <w:kinsoku/>
        <w:wordWrap/>
        <w:overflowPunct/>
        <w:topLinePunct w:val="0"/>
        <w:autoSpaceDE/>
        <w:autoSpaceDN/>
        <w:bidi w:val="0"/>
        <w:spacing w:line="360" w:lineRule="exact"/>
        <w:ind w:firstLine="720" w:firstLineChars="300"/>
        <w:rPr>
          <w:rFonts w:eastAsia="黑体"/>
          <w:bCs/>
          <w:color w:val="auto"/>
          <w:sz w:val="24"/>
          <w:szCs w:val="24"/>
          <w:highlight w:val="none"/>
        </w:rPr>
      </w:pPr>
      <w:r>
        <w:rPr>
          <w:rFonts w:eastAsia="黑体"/>
          <w:bCs/>
          <w:color w:val="auto"/>
          <w:sz w:val="24"/>
          <w:szCs w:val="24"/>
          <w:highlight w:val="none"/>
        </w:rPr>
        <w:t>项目主评人：冯延萍</w:t>
      </w:r>
      <w:r>
        <w:rPr>
          <w:rFonts w:hint="default" w:eastAsia="黑体"/>
          <w:bCs/>
          <w:color w:val="auto"/>
          <w:sz w:val="24"/>
          <w:szCs w:val="24"/>
          <w:highlight w:val="none"/>
        </w:rPr>
        <w:t xml:space="preserve">  注册会计师、注册评估师</w:t>
      </w:r>
    </w:p>
    <w:p>
      <w:pPr>
        <w:pageBreakBefore w:val="0"/>
        <w:widowControl/>
        <w:kinsoku/>
        <w:wordWrap/>
        <w:overflowPunct/>
        <w:topLinePunct w:val="0"/>
        <w:autoSpaceDE/>
        <w:autoSpaceDN/>
        <w:bidi w:val="0"/>
        <w:spacing w:line="360" w:lineRule="exact"/>
        <w:ind w:firstLine="720" w:firstLineChars="300"/>
        <w:rPr>
          <w:rFonts w:eastAsia="黑体"/>
          <w:bCs/>
          <w:color w:val="auto"/>
          <w:sz w:val="24"/>
          <w:szCs w:val="24"/>
          <w:highlight w:val="none"/>
        </w:rPr>
      </w:pPr>
    </w:p>
    <w:p>
      <w:pPr>
        <w:pageBreakBefore w:val="0"/>
        <w:widowControl/>
        <w:kinsoku/>
        <w:wordWrap/>
        <w:overflowPunct/>
        <w:topLinePunct w:val="0"/>
        <w:autoSpaceDE/>
        <w:autoSpaceDN/>
        <w:bidi w:val="0"/>
        <w:spacing w:line="360" w:lineRule="exact"/>
        <w:ind w:firstLine="720" w:firstLineChars="300"/>
        <w:rPr>
          <w:rFonts w:eastAsia="黑体"/>
          <w:bCs/>
          <w:color w:val="auto"/>
          <w:sz w:val="24"/>
          <w:szCs w:val="24"/>
          <w:highlight w:val="none"/>
        </w:rPr>
      </w:pPr>
      <w:r>
        <w:rPr>
          <w:rFonts w:hint="default" w:eastAsia="黑体"/>
          <w:bCs/>
          <w:color w:val="auto"/>
          <w:sz w:val="24"/>
          <w:szCs w:val="24"/>
          <w:highlight w:val="none"/>
          <w:lang w:val="en-US" w:eastAsia="zh-CN"/>
        </w:rPr>
        <w:t>报告</w:t>
      </w:r>
      <w:r>
        <w:rPr>
          <w:rFonts w:eastAsia="黑体"/>
          <w:bCs/>
          <w:color w:val="auto"/>
          <w:sz w:val="24"/>
          <w:szCs w:val="24"/>
          <w:highlight w:val="none"/>
        </w:rPr>
        <w:t>复核人：腊晓林</w:t>
      </w:r>
    </w:p>
    <w:p>
      <w:pPr>
        <w:pageBreakBefore w:val="0"/>
        <w:widowControl/>
        <w:kinsoku/>
        <w:wordWrap/>
        <w:overflowPunct/>
        <w:topLinePunct w:val="0"/>
        <w:autoSpaceDE/>
        <w:autoSpaceDN/>
        <w:bidi w:val="0"/>
        <w:spacing w:line="360" w:lineRule="exact"/>
        <w:ind w:firstLine="720" w:firstLineChars="300"/>
        <w:rPr>
          <w:rFonts w:eastAsia="黑体"/>
          <w:bCs/>
          <w:color w:val="auto"/>
          <w:sz w:val="24"/>
          <w:szCs w:val="24"/>
          <w:highlight w:val="none"/>
        </w:rPr>
      </w:pPr>
    </w:p>
    <w:p>
      <w:pPr>
        <w:pageBreakBefore w:val="0"/>
        <w:widowControl/>
        <w:kinsoku/>
        <w:wordWrap/>
        <w:overflowPunct/>
        <w:topLinePunct w:val="0"/>
        <w:autoSpaceDE/>
        <w:autoSpaceDN/>
        <w:bidi w:val="0"/>
        <w:spacing w:line="360" w:lineRule="exact"/>
        <w:ind w:firstLine="720" w:firstLineChars="300"/>
        <w:rPr>
          <w:rFonts w:eastAsia="黑体"/>
          <w:bCs/>
          <w:color w:val="auto"/>
          <w:sz w:val="24"/>
          <w:szCs w:val="24"/>
          <w:highlight w:val="none"/>
        </w:rPr>
      </w:pPr>
      <w:r>
        <w:rPr>
          <w:rFonts w:eastAsia="黑体"/>
          <w:bCs/>
          <w:color w:val="auto"/>
          <w:sz w:val="24"/>
          <w:szCs w:val="24"/>
          <w:highlight w:val="none"/>
        </w:rPr>
        <w:t>项目负责人：赵夏清</w:t>
      </w:r>
    </w:p>
    <w:p>
      <w:pPr>
        <w:pageBreakBefore w:val="0"/>
        <w:widowControl/>
        <w:kinsoku/>
        <w:wordWrap/>
        <w:overflowPunct/>
        <w:topLinePunct w:val="0"/>
        <w:autoSpaceDE/>
        <w:autoSpaceDN/>
        <w:bidi w:val="0"/>
        <w:spacing w:line="360" w:lineRule="exact"/>
        <w:ind w:firstLine="720" w:firstLineChars="300"/>
        <w:rPr>
          <w:rFonts w:eastAsia="黑体"/>
          <w:bCs/>
          <w:color w:val="auto"/>
          <w:sz w:val="24"/>
          <w:szCs w:val="24"/>
          <w:highlight w:val="none"/>
        </w:rPr>
      </w:pPr>
    </w:p>
    <w:p>
      <w:pPr>
        <w:pageBreakBefore w:val="0"/>
        <w:widowControl/>
        <w:kinsoku/>
        <w:wordWrap/>
        <w:overflowPunct/>
        <w:topLinePunct w:val="0"/>
        <w:autoSpaceDE/>
        <w:autoSpaceDN/>
        <w:bidi w:val="0"/>
        <w:spacing w:line="360" w:lineRule="exact"/>
        <w:ind w:firstLine="720" w:firstLineChars="300"/>
        <w:rPr>
          <w:rFonts w:eastAsia="黑体"/>
          <w:bCs/>
          <w:color w:val="auto"/>
          <w:sz w:val="24"/>
          <w:szCs w:val="24"/>
          <w:highlight w:val="none"/>
        </w:rPr>
      </w:pPr>
      <w:r>
        <w:rPr>
          <w:rFonts w:eastAsia="黑体"/>
          <w:bCs/>
          <w:color w:val="auto"/>
          <w:sz w:val="24"/>
          <w:szCs w:val="24"/>
          <w:highlight w:val="none"/>
        </w:rPr>
        <w:t>项目组成员：郭璐璐</w:t>
      </w:r>
    </w:p>
    <w:p>
      <w:pPr>
        <w:keepNext/>
        <w:keepLines/>
        <w:pageBreakBefore w:val="0"/>
        <w:kinsoku/>
        <w:wordWrap/>
        <w:overflowPunct/>
        <w:topLinePunct w:val="0"/>
        <w:autoSpaceDE/>
        <w:autoSpaceDN/>
        <w:bidi w:val="0"/>
        <w:adjustRightInd/>
        <w:spacing w:line="360" w:lineRule="exact"/>
        <w:ind w:firstLine="0" w:firstLineChars="0"/>
        <w:rPr>
          <w:rFonts w:ascii="Times New Roman" w:hAnsi="Times New Roman" w:eastAsia="黑体" w:cs="Times New Roman"/>
          <w:bCs/>
          <w:color w:val="auto"/>
          <w:sz w:val="24"/>
          <w:szCs w:val="24"/>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fmt="upperRoman" w:start="1"/>
          <w:cols w:space="720" w:num="1"/>
          <w:docGrid w:type="lines" w:linePitch="312" w:charSpace="0"/>
        </w:sectPr>
      </w:pPr>
    </w:p>
    <w:p>
      <w:pPr>
        <w:pStyle w:val="2"/>
        <w:pageBreakBefore w:val="0"/>
        <w:kinsoku/>
        <w:wordWrap/>
        <w:overflowPunct/>
        <w:topLinePunct w:val="0"/>
        <w:autoSpaceDE/>
        <w:autoSpaceDN/>
        <w:bidi w:val="0"/>
        <w:spacing w:line="360" w:lineRule="exact"/>
        <w:ind w:firstLine="0" w:firstLineChars="0"/>
        <w:jc w:val="center"/>
        <w:rPr>
          <w:color w:val="auto"/>
          <w:highlight w:val="none"/>
        </w:rPr>
      </w:pPr>
      <w:bookmarkStart w:id="0" w:name="_Toc26712"/>
      <w:bookmarkStart w:id="1" w:name="_Toc13486"/>
      <w:bookmarkStart w:id="2" w:name="_Toc17859"/>
      <w:bookmarkStart w:id="3" w:name="_Toc3797"/>
      <w:bookmarkStart w:id="4" w:name="_Toc10808"/>
      <w:bookmarkStart w:id="5" w:name="_Toc27606"/>
      <w:bookmarkStart w:id="6" w:name="_Toc16666"/>
      <w:bookmarkStart w:id="7" w:name="_Toc10292"/>
      <w:bookmarkStart w:id="8" w:name="_Toc9680"/>
      <w:r>
        <w:rPr>
          <w:color w:val="auto"/>
          <w:szCs w:val="32"/>
          <w:highlight w:val="none"/>
        </w:rPr>
        <w:t>报告摘要</w:t>
      </w:r>
      <w:bookmarkEnd w:id="0"/>
      <w:bookmarkEnd w:id="1"/>
      <w:bookmarkEnd w:id="2"/>
      <w:bookmarkEnd w:id="3"/>
      <w:bookmarkEnd w:id="4"/>
      <w:bookmarkEnd w:id="5"/>
      <w:bookmarkEnd w:id="6"/>
      <w:bookmarkEnd w:id="7"/>
      <w:bookmarkEnd w:id="8"/>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受巴楚县财政局委托，新疆驰远天合有限责任会计师事务所以第三方社会评价机构的身份，对巴楚县农业农村局实施的巴楚县2023年耕地地力保护补贴项目开展了绩效评价工作并形成绩效评价报告，评价情况如下：</w:t>
      </w:r>
    </w:p>
    <w:p>
      <w:pPr>
        <w:pageBreakBefore w:val="0"/>
        <w:kinsoku/>
        <w:wordWrap/>
        <w:overflowPunct/>
        <w:topLinePunct w:val="0"/>
        <w:autoSpaceDE/>
        <w:autoSpaceDN/>
        <w:bidi w:val="0"/>
        <w:spacing w:line="360" w:lineRule="exact"/>
        <w:ind w:firstLine="482"/>
        <w:rPr>
          <w:b/>
          <w:bCs/>
          <w:color w:val="auto"/>
          <w:sz w:val="24"/>
          <w:szCs w:val="28"/>
          <w:highlight w:val="none"/>
        </w:rPr>
      </w:pPr>
      <w:r>
        <w:rPr>
          <w:b/>
          <w:bCs/>
          <w:color w:val="auto"/>
          <w:sz w:val="24"/>
          <w:szCs w:val="28"/>
          <w:highlight w:val="none"/>
        </w:rPr>
        <w:t>一、基本情况</w:t>
      </w:r>
    </w:p>
    <w:p>
      <w:pPr>
        <w:pageBreakBefore w:val="0"/>
        <w:kinsoku/>
        <w:wordWrap/>
        <w:overflowPunct/>
        <w:topLinePunct w:val="0"/>
        <w:autoSpaceDE/>
        <w:autoSpaceDN/>
        <w:bidi w:val="0"/>
        <w:spacing w:line="360" w:lineRule="exact"/>
        <w:ind w:firstLine="482"/>
        <w:rPr>
          <w:b/>
          <w:bCs/>
          <w:color w:val="auto"/>
          <w:sz w:val="24"/>
          <w:szCs w:val="28"/>
          <w:highlight w:val="none"/>
        </w:rPr>
      </w:pPr>
      <w:r>
        <w:rPr>
          <w:rFonts w:hint="default"/>
          <w:b/>
          <w:bCs/>
          <w:color w:val="auto"/>
          <w:sz w:val="24"/>
          <w:szCs w:val="28"/>
          <w:highlight w:val="none"/>
        </w:rPr>
        <w:t>（一）</w:t>
      </w:r>
      <w:r>
        <w:rPr>
          <w:b/>
          <w:bCs/>
          <w:color w:val="auto"/>
          <w:sz w:val="24"/>
          <w:szCs w:val="28"/>
          <w:highlight w:val="none"/>
        </w:rPr>
        <w:t>项目背景</w:t>
      </w:r>
    </w:p>
    <w:p>
      <w:pPr>
        <w:pageBreakBefore w:val="0"/>
        <w:kinsoku/>
        <w:wordWrap/>
        <w:overflowPunct/>
        <w:topLinePunct w:val="0"/>
        <w:autoSpaceDE/>
        <w:autoSpaceDN/>
        <w:bidi w:val="0"/>
        <w:spacing w:line="360" w:lineRule="exact"/>
        <w:ind w:firstLine="420"/>
        <w:rPr>
          <w:rFonts w:hint="default"/>
          <w:color w:val="auto"/>
          <w:highlight w:val="none"/>
        </w:rPr>
      </w:pPr>
      <w:r>
        <w:rPr>
          <w:rFonts w:hint="default"/>
          <w:color w:val="auto"/>
          <w:highlight w:val="none"/>
          <w:lang w:val="en-US" w:eastAsia="zh-CN"/>
        </w:rPr>
        <w:t>按照中央“稳增长、促改革、调结构、惠民生、防风险”总体部署，推进农业“三项补贴”，鼓励农民主动保护耕地地力，实现“藏粮于地”的战略目标，国家财政部、农业部将原农作物“良种补贴、种粮农民直接补贴和农资综合补贴”合并为“农业支持保护补贴”，政策调整后主要支持内容为耕地地力保护和粮食适度规模经营。</w:t>
      </w:r>
      <w:r>
        <w:rPr>
          <w:rFonts w:hint="default"/>
          <w:color w:val="auto"/>
          <w:highlight w:val="none"/>
        </w:rPr>
        <w:t>为切实做好农业支持保护补贴工作，支持耕地地力保护，根据喀什地区财政局《关于提前下达2023年中央农业生产发展资金</w:t>
      </w:r>
      <w:r>
        <w:rPr>
          <w:rFonts w:hint="eastAsia"/>
          <w:color w:val="auto"/>
          <w:highlight w:val="none"/>
          <w:lang w:eastAsia="zh-CN"/>
        </w:rPr>
        <w:t>（耕地保护补贴）</w:t>
      </w:r>
      <w:r>
        <w:rPr>
          <w:rFonts w:hint="default"/>
          <w:color w:val="auto"/>
          <w:highlight w:val="none"/>
        </w:rPr>
        <w:t>预算的通知》（喀地财农〔2022〕31号）、《关于提前下达2023年自治区农业发展资金（耕地地力保护补贴）预算的通知）》（喀地财农〔2022〕40号）等</w:t>
      </w:r>
      <w:r>
        <w:rPr>
          <w:rFonts w:hint="default"/>
          <w:color w:val="auto"/>
          <w:highlight w:val="none"/>
          <w:lang w:val="en-US" w:eastAsia="zh-CN"/>
        </w:rPr>
        <w:t>文件要求</w:t>
      </w:r>
      <w:r>
        <w:rPr>
          <w:rFonts w:hint="default"/>
          <w:color w:val="auto"/>
          <w:highlight w:val="none"/>
        </w:rPr>
        <w:t>，</w:t>
      </w:r>
      <w:r>
        <w:rPr>
          <w:rFonts w:hint="default"/>
          <w:color w:val="auto"/>
          <w:highlight w:val="none"/>
          <w:lang w:val="en-US" w:eastAsia="zh-CN"/>
        </w:rPr>
        <w:t>巴楚县开展实施2023年度</w:t>
      </w:r>
      <w:r>
        <w:rPr>
          <w:rFonts w:hint="default"/>
          <w:color w:val="auto"/>
          <w:highlight w:val="none"/>
        </w:rPr>
        <w:t>耕地地力保护补贴</w:t>
      </w:r>
      <w:r>
        <w:rPr>
          <w:rFonts w:hint="default"/>
          <w:color w:val="auto"/>
          <w:highlight w:val="none"/>
          <w:lang w:val="en-US" w:eastAsia="zh-CN"/>
        </w:rPr>
        <w:t>项目</w:t>
      </w:r>
      <w:r>
        <w:rPr>
          <w:rFonts w:hint="default"/>
          <w:color w:val="auto"/>
          <w:highlight w:val="none"/>
        </w:rPr>
        <w:t>，完善耕地地力保护补贴政策体系，引导农民自觉提升耕地地力，推动粮食生产能力稳步提升，提高农民收入。</w:t>
      </w:r>
    </w:p>
    <w:p>
      <w:pPr>
        <w:pageBreakBefore w:val="0"/>
        <w:kinsoku/>
        <w:wordWrap/>
        <w:overflowPunct/>
        <w:topLinePunct w:val="0"/>
        <w:autoSpaceDE/>
        <w:autoSpaceDN/>
        <w:bidi w:val="0"/>
        <w:spacing w:line="360" w:lineRule="exact"/>
        <w:ind w:firstLine="482"/>
        <w:rPr>
          <w:b/>
          <w:bCs/>
          <w:color w:val="auto"/>
          <w:sz w:val="24"/>
          <w:szCs w:val="28"/>
          <w:highlight w:val="none"/>
        </w:rPr>
      </w:pPr>
      <w:r>
        <w:rPr>
          <w:b/>
          <w:bCs/>
          <w:color w:val="auto"/>
          <w:sz w:val="24"/>
          <w:szCs w:val="28"/>
          <w:highlight w:val="none"/>
        </w:rPr>
        <w:t>（</w:t>
      </w:r>
      <w:r>
        <w:rPr>
          <w:rFonts w:hint="default"/>
          <w:b/>
          <w:bCs/>
          <w:color w:val="auto"/>
          <w:sz w:val="24"/>
          <w:szCs w:val="28"/>
          <w:highlight w:val="none"/>
        </w:rPr>
        <w:t>二</w:t>
      </w:r>
      <w:r>
        <w:rPr>
          <w:b/>
          <w:bCs/>
          <w:color w:val="auto"/>
          <w:sz w:val="24"/>
          <w:szCs w:val="28"/>
          <w:highlight w:val="none"/>
        </w:rPr>
        <w:t>）项目概况</w:t>
      </w:r>
    </w:p>
    <w:p>
      <w:pPr>
        <w:pageBreakBefore w:val="0"/>
        <w:kinsoku/>
        <w:wordWrap/>
        <w:overflowPunct/>
        <w:topLinePunct w:val="0"/>
        <w:autoSpaceDE/>
        <w:autoSpaceDN/>
        <w:bidi w:val="0"/>
        <w:spacing w:line="360" w:lineRule="exact"/>
        <w:ind w:firstLine="420"/>
        <w:rPr>
          <w:b w:val="0"/>
          <w:bCs w:val="0"/>
          <w:color w:val="auto"/>
          <w:highlight w:val="none"/>
        </w:rPr>
      </w:pPr>
      <w:r>
        <w:rPr>
          <w:rFonts w:hint="default"/>
          <w:b w:val="0"/>
          <w:bCs w:val="0"/>
          <w:color w:val="auto"/>
          <w:szCs w:val="22"/>
          <w:highlight w:val="none"/>
        </w:rPr>
        <w:t>项目名称：</w:t>
      </w:r>
      <w:r>
        <w:rPr>
          <w:b w:val="0"/>
          <w:bCs w:val="0"/>
          <w:color w:val="auto"/>
          <w:highlight w:val="none"/>
        </w:rPr>
        <w:t>巴楚县2023年耕地地力保护补贴项目</w:t>
      </w:r>
    </w:p>
    <w:p>
      <w:pPr>
        <w:pageBreakBefore w:val="0"/>
        <w:kinsoku/>
        <w:wordWrap/>
        <w:overflowPunct/>
        <w:topLinePunct w:val="0"/>
        <w:autoSpaceDE/>
        <w:autoSpaceDN/>
        <w:bidi w:val="0"/>
        <w:spacing w:line="360" w:lineRule="exact"/>
        <w:ind w:firstLine="420"/>
        <w:rPr>
          <w:rFonts w:hint="default" w:eastAsiaTheme="minorEastAsia"/>
          <w:b w:val="0"/>
          <w:bCs w:val="0"/>
          <w:color w:val="auto"/>
          <w:highlight w:val="none"/>
          <w:lang w:val="en-US" w:eastAsia="zh-CN"/>
        </w:rPr>
      </w:pPr>
      <w:r>
        <w:rPr>
          <w:rFonts w:hint="eastAsia"/>
          <w:b w:val="0"/>
          <w:bCs w:val="0"/>
          <w:color w:val="auto"/>
          <w:highlight w:val="none"/>
          <w:lang w:val="en-US" w:eastAsia="zh-CN"/>
        </w:rPr>
        <w:t>项目预算单位：</w:t>
      </w:r>
      <w:r>
        <w:rPr>
          <w:rFonts w:hint="default"/>
          <w:b w:val="0"/>
          <w:bCs w:val="0"/>
          <w:color w:val="auto"/>
          <w:szCs w:val="22"/>
          <w:highlight w:val="none"/>
        </w:rPr>
        <w:t>巴楚县</w:t>
      </w:r>
      <w:r>
        <w:rPr>
          <w:rFonts w:hint="default"/>
          <w:b w:val="0"/>
          <w:bCs w:val="0"/>
          <w:color w:val="auto"/>
          <w:szCs w:val="22"/>
          <w:highlight w:val="none"/>
          <w:lang w:val="en-US" w:eastAsia="zh-CN"/>
        </w:rPr>
        <w:t>农业农村局</w:t>
      </w:r>
    </w:p>
    <w:p>
      <w:pPr>
        <w:pageBreakBefore w:val="0"/>
        <w:kinsoku/>
        <w:wordWrap/>
        <w:overflowPunct/>
        <w:topLinePunct w:val="0"/>
        <w:autoSpaceDE/>
        <w:autoSpaceDN/>
        <w:bidi w:val="0"/>
        <w:spacing w:line="360" w:lineRule="exact"/>
        <w:ind w:firstLine="420"/>
        <w:rPr>
          <w:rFonts w:hint="default"/>
          <w:b w:val="0"/>
          <w:bCs w:val="0"/>
          <w:color w:val="auto"/>
          <w:szCs w:val="22"/>
          <w:highlight w:val="none"/>
          <w:lang w:val="en-US" w:eastAsia="zh-CN"/>
        </w:rPr>
      </w:pPr>
      <w:r>
        <w:rPr>
          <w:rFonts w:hint="default"/>
          <w:b w:val="0"/>
          <w:bCs w:val="0"/>
          <w:color w:val="auto"/>
          <w:szCs w:val="22"/>
          <w:highlight w:val="none"/>
        </w:rPr>
        <w:t>项目实施主体：巴楚县</w:t>
      </w:r>
      <w:r>
        <w:rPr>
          <w:rFonts w:hint="default"/>
          <w:b w:val="0"/>
          <w:bCs w:val="0"/>
          <w:color w:val="auto"/>
          <w:szCs w:val="22"/>
          <w:highlight w:val="none"/>
          <w:lang w:val="en-US" w:eastAsia="zh-CN"/>
        </w:rPr>
        <w:t>农业农村局</w:t>
      </w:r>
    </w:p>
    <w:p>
      <w:pPr>
        <w:pStyle w:val="4"/>
        <w:pageBreakBefore w:val="0"/>
        <w:kinsoku/>
        <w:wordWrap/>
        <w:overflowPunct/>
        <w:topLinePunct w:val="0"/>
        <w:autoSpaceDE/>
        <w:autoSpaceDN/>
        <w:bidi w:val="0"/>
        <w:spacing w:line="360" w:lineRule="exact"/>
        <w:rPr>
          <w:rFonts w:hint="default" w:ascii="Times New Roman" w:hAnsi="Times New Roman"/>
          <w:b w:val="0"/>
          <w:bCs w:val="0"/>
          <w:color w:val="auto"/>
          <w:highlight w:val="none"/>
        </w:rPr>
      </w:pPr>
      <w:r>
        <w:rPr>
          <w:rFonts w:hint="default" w:ascii="Times New Roman" w:hAnsi="Times New Roman"/>
          <w:b w:val="0"/>
          <w:bCs w:val="0"/>
          <w:color w:val="auto"/>
          <w:highlight w:val="none"/>
        </w:rPr>
        <w:t>补助对象</w:t>
      </w:r>
      <w:r>
        <w:rPr>
          <w:rFonts w:hint="default" w:ascii="Times New Roman" w:hAnsi="Times New Roman"/>
          <w:b w:val="0"/>
          <w:bCs w:val="0"/>
          <w:color w:val="auto"/>
          <w:highlight w:val="none"/>
          <w:lang w:val="en-US" w:eastAsia="zh-CN"/>
        </w:rPr>
        <w:t>及内容：</w:t>
      </w:r>
      <w:r>
        <w:rPr>
          <w:rFonts w:hint="default" w:ascii="Times New Roman" w:hAnsi="Times New Roman"/>
          <w:b w:val="0"/>
          <w:bCs w:val="0"/>
          <w:color w:val="auto"/>
          <w:highlight w:val="none"/>
        </w:rPr>
        <w:t>全</w:t>
      </w:r>
      <w:r>
        <w:rPr>
          <w:rFonts w:hint="default" w:ascii="Times New Roman" w:hAnsi="Times New Roman"/>
          <w:b w:val="0"/>
          <w:bCs w:val="0"/>
          <w:color w:val="auto"/>
          <w:highlight w:val="none"/>
          <w:lang w:val="en-US" w:eastAsia="zh-CN"/>
        </w:rPr>
        <w:t>县</w:t>
      </w:r>
      <w:r>
        <w:rPr>
          <w:rFonts w:hint="default" w:ascii="Times New Roman" w:hAnsi="Times New Roman"/>
          <w:b w:val="0"/>
          <w:bCs w:val="0"/>
          <w:color w:val="auto"/>
          <w:highlight w:val="none"/>
        </w:rPr>
        <w:t>各乡镇所有合法的实际农业种植者（含农场职工）。</w:t>
      </w:r>
      <w:r>
        <w:rPr>
          <w:rFonts w:hint="default" w:ascii="Times New Roman" w:hAnsi="Times New Roman"/>
          <w:b w:val="0"/>
          <w:bCs w:val="0"/>
          <w:color w:val="auto"/>
          <w:highlight w:val="none"/>
          <w:lang w:val="en-US" w:eastAsia="zh-CN"/>
        </w:rPr>
        <w:t>巴楚县11个乡镇耕地地力保护补贴</w:t>
      </w:r>
      <w:r>
        <w:rPr>
          <w:rFonts w:hint="default" w:ascii="Times New Roman" w:hAnsi="Times New Roman" w:cs="Times New Roman"/>
          <w:b w:val="0"/>
          <w:bCs w:val="0"/>
          <w:color w:val="auto"/>
          <w:highlight w:val="none"/>
          <w:lang w:val="en-US" w:eastAsia="zh-CN"/>
        </w:rPr>
        <w:t>面积共计</w:t>
      </w:r>
      <w:r>
        <w:rPr>
          <w:rFonts w:hint="eastAsia" w:ascii="Times New Roman" w:hAnsi="Times New Roman" w:cs="Times New Roman"/>
          <w:b w:val="0"/>
          <w:bCs w:val="0"/>
          <w:color w:val="auto"/>
          <w:highlight w:val="none"/>
          <w:lang w:val="en-US" w:eastAsia="zh-CN"/>
        </w:rPr>
        <w:t>271800.18亩</w:t>
      </w:r>
      <w:r>
        <w:rPr>
          <w:rFonts w:hint="default" w:ascii="Times New Roman" w:hAnsi="Times New Roman" w:cs="Times New Roman"/>
          <w:b w:val="0"/>
          <w:bCs w:val="0"/>
          <w:color w:val="auto"/>
          <w:highlight w:val="none"/>
          <w:lang w:val="en-US" w:eastAsia="zh-CN"/>
        </w:rPr>
        <w:t>，其中</w:t>
      </w:r>
      <w:r>
        <w:rPr>
          <w:rFonts w:hint="default" w:ascii="Times New Roman" w:hAnsi="Times New Roman"/>
          <w:b w:val="0"/>
          <w:bCs w:val="0"/>
          <w:color w:val="auto"/>
          <w:highlight w:val="none"/>
          <w:lang w:val="en-US" w:eastAsia="zh-CN"/>
        </w:rPr>
        <w:t>：</w:t>
      </w:r>
      <w:r>
        <w:rPr>
          <w:rFonts w:hint="default" w:ascii="Times New Roman" w:hAnsi="Times New Roman"/>
          <w:b w:val="0"/>
          <w:bCs w:val="0"/>
          <w:color w:val="auto"/>
          <w:highlight w:val="none"/>
        </w:rPr>
        <w:t>冬小麦补助面积</w:t>
      </w:r>
      <w:r>
        <w:rPr>
          <w:rFonts w:hint="eastAsia" w:ascii="Times New Roman" w:hAnsi="Times New Roman"/>
          <w:b w:val="0"/>
          <w:bCs w:val="0"/>
          <w:color w:val="auto"/>
          <w:highlight w:val="none"/>
          <w:lang w:eastAsia="zh-CN"/>
        </w:rPr>
        <w:t>269060.8亩</w:t>
      </w:r>
      <w:r>
        <w:rPr>
          <w:rFonts w:hint="default" w:ascii="Times New Roman" w:hAnsi="Times New Roman"/>
          <w:b w:val="0"/>
          <w:bCs w:val="0"/>
          <w:color w:val="auto"/>
          <w:highlight w:val="none"/>
        </w:rPr>
        <w:t>；春小麦补助面积</w:t>
      </w:r>
      <w:r>
        <w:rPr>
          <w:rFonts w:hint="eastAsia" w:ascii="Times New Roman" w:hAnsi="Times New Roman"/>
          <w:b w:val="0"/>
          <w:bCs w:val="0"/>
          <w:color w:val="auto"/>
          <w:highlight w:val="none"/>
          <w:lang w:eastAsia="zh-CN"/>
        </w:rPr>
        <w:t>2739.38亩</w:t>
      </w:r>
      <w:r>
        <w:rPr>
          <w:rFonts w:hint="default" w:ascii="Times New Roman" w:hAnsi="Times New Roman"/>
          <w:b w:val="0"/>
          <w:bCs w:val="0"/>
          <w:color w:val="auto"/>
          <w:highlight w:val="none"/>
        </w:rPr>
        <w:t>。</w:t>
      </w:r>
    </w:p>
    <w:p>
      <w:pPr>
        <w:pStyle w:val="4"/>
        <w:pageBreakBefore w:val="0"/>
        <w:kinsoku/>
        <w:wordWrap/>
        <w:overflowPunct/>
        <w:topLinePunct w:val="0"/>
        <w:autoSpaceDE/>
        <w:autoSpaceDN/>
        <w:bidi w:val="0"/>
        <w:spacing w:line="360" w:lineRule="exact"/>
        <w:rPr>
          <w:rFonts w:hint="default" w:ascii="Times New Roman" w:hAnsi="Times New Roman" w:cs="Times New Roman"/>
          <w:b w:val="0"/>
          <w:bCs w:val="0"/>
          <w:color w:val="auto"/>
          <w:highlight w:val="none"/>
          <w:lang w:val="en-US" w:eastAsia="zh-CN"/>
        </w:rPr>
      </w:pPr>
      <w:r>
        <w:rPr>
          <w:rFonts w:hint="default" w:ascii="Times New Roman" w:hAnsi="Times New Roman"/>
          <w:b w:val="0"/>
          <w:bCs w:val="0"/>
          <w:color w:val="auto"/>
          <w:highlight w:val="none"/>
        </w:rPr>
        <w:t>补助标准</w:t>
      </w:r>
      <w:r>
        <w:rPr>
          <w:rFonts w:hint="default" w:ascii="Times New Roman" w:hAnsi="Times New Roman"/>
          <w:b w:val="0"/>
          <w:bCs w:val="0"/>
          <w:color w:val="auto"/>
          <w:highlight w:val="none"/>
          <w:lang w:eastAsia="zh-CN"/>
        </w:rPr>
        <w:t>：</w:t>
      </w:r>
      <w:r>
        <w:rPr>
          <w:rFonts w:hint="default" w:ascii="Times New Roman" w:hAnsi="Times New Roman" w:cs="Times New Roman"/>
          <w:b w:val="0"/>
          <w:bCs w:val="0"/>
          <w:color w:val="auto"/>
          <w:highlight w:val="none"/>
        </w:rPr>
        <w:t>中央财政安排耕地地力保护补贴资金，对种植冬小麦的耕地，每亩补贴220元；对种植春小麦的耕地，每亩补贴115元。自治区财政安排农业生产发展（耕地地力保护补贴）资金在补齐中央财政耕地地力保护补贴资金缺口后，实施小麦种植一次性补贴，对种植冬小麦的耕地，每亩补贴10元；对种植春小麦的耕地，每亩补贴115元。亩均补助合计共230元。</w:t>
      </w:r>
    </w:p>
    <w:p>
      <w:pPr>
        <w:pStyle w:val="4"/>
        <w:pageBreakBefore w:val="0"/>
        <w:kinsoku/>
        <w:wordWrap/>
        <w:overflowPunct/>
        <w:topLinePunct w:val="0"/>
        <w:autoSpaceDE/>
        <w:autoSpaceDN/>
        <w:bidi w:val="0"/>
        <w:spacing w:line="360" w:lineRule="exact"/>
        <w:rPr>
          <w:rFonts w:hint="default" w:ascii="Times New Roman" w:hAnsi="Times New Roman" w:cs="Times New Roman"/>
          <w:b w:val="0"/>
          <w:bCs w:val="0"/>
          <w:color w:val="auto"/>
          <w:highlight w:val="none"/>
        </w:rPr>
      </w:pPr>
      <w:r>
        <w:rPr>
          <w:rFonts w:hint="default" w:ascii="Times New Roman" w:hAnsi="Times New Roman" w:cs="Times New Roman"/>
          <w:b w:val="0"/>
          <w:bCs w:val="0"/>
          <w:color w:val="auto"/>
          <w:highlight w:val="none"/>
          <w:lang w:val="en-US" w:eastAsia="zh-CN"/>
        </w:rPr>
        <w:t>补助程序：</w:t>
      </w:r>
      <w:r>
        <w:rPr>
          <w:rFonts w:hint="default" w:ascii="Times New Roman" w:hAnsi="Times New Roman" w:cs="Times New Roman"/>
          <w:b w:val="0"/>
          <w:bCs w:val="0"/>
          <w:color w:val="auto"/>
          <w:highlight w:val="none"/>
        </w:rPr>
        <w:t>建立实名公示制度，实行严格管理，概括为“农户申报、核实公示、乡镇复核、核实认定、二次公示、发放补贴、录入系统”。</w:t>
      </w:r>
    </w:p>
    <w:p>
      <w:pPr>
        <w:pStyle w:val="5"/>
        <w:pageBreakBefore w:val="0"/>
        <w:kinsoku/>
        <w:wordWrap/>
        <w:overflowPunct/>
        <w:topLinePunct w:val="0"/>
        <w:autoSpaceDE/>
        <w:autoSpaceDN/>
        <w:bidi w:val="0"/>
        <w:spacing w:line="360" w:lineRule="exact"/>
        <w:rPr>
          <w:rFonts w:hint="default" w:ascii="Times New Roman" w:hAnsi="Times New Roman" w:cs="Times New Roman"/>
          <w:b w:val="0"/>
          <w:bCs w:val="0"/>
          <w:color w:val="auto"/>
          <w:szCs w:val="22"/>
          <w:highlight w:val="none"/>
          <w:lang w:val="en-US" w:eastAsia="zh-CN"/>
        </w:rPr>
      </w:pPr>
      <w:r>
        <w:rPr>
          <w:rFonts w:hint="default" w:ascii="Times New Roman" w:hAnsi="Times New Roman" w:cs="Times New Roman"/>
          <w:b w:val="0"/>
          <w:bCs w:val="0"/>
          <w:color w:val="auto"/>
          <w:szCs w:val="22"/>
          <w:highlight w:val="none"/>
          <w:lang w:val="en-US" w:eastAsia="zh-CN"/>
        </w:rPr>
        <w:t>补贴兑付时间：2023年6月30日前</w:t>
      </w:r>
    </w:p>
    <w:p>
      <w:pPr>
        <w:pStyle w:val="6"/>
        <w:pageBreakBefore w:val="0"/>
        <w:kinsoku/>
        <w:wordWrap/>
        <w:overflowPunct/>
        <w:topLinePunct w:val="0"/>
        <w:autoSpaceDE/>
        <w:autoSpaceDN/>
        <w:bidi w:val="0"/>
        <w:spacing w:line="360" w:lineRule="exact"/>
        <w:ind w:left="0" w:leftChars="0" w:firstLine="420" w:firstLineChars="200"/>
        <w:rPr>
          <w:rFonts w:hint="default"/>
          <w:color w:val="auto"/>
          <w:highlight w:val="none"/>
          <w:lang w:val="en-US" w:eastAsia="zh-CN"/>
        </w:rPr>
      </w:pPr>
      <w:r>
        <w:rPr>
          <w:rFonts w:hint="eastAsia" w:cs="Times New Roman"/>
          <w:b w:val="0"/>
          <w:bCs w:val="0"/>
          <w:color w:val="auto"/>
          <w:szCs w:val="22"/>
          <w:highlight w:val="none"/>
          <w:lang w:val="en-US" w:eastAsia="zh-CN"/>
        </w:rPr>
        <w:t>项目评价时间：2024年7月</w:t>
      </w:r>
    </w:p>
    <w:p>
      <w:pPr>
        <w:pageBreakBefore w:val="0"/>
        <w:kinsoku/>
        <w:wordWrap/>
        <w:overflowPunct/>
        <w:topLinePunct w:val="0"/>
        <w:autoSpaceDE/>
        <w:autoSpaceDN/>
        <w:bidi w:val="0"/>
        <w:spacing w:line="360" w:lineRule="exact"/>
        <w:ind w:firstLine="482"/>
        <w:rPr>
          <w:rFonts w:hint="default"/>
          <w:b/>
          <w:bCs/>
          <w:color w:val="auto"/>
          <w:sz w:val="24"/>
          <w:szCs w:val="28"/>
          <w:highlight w:val="none"/>
        </w:rPr>
      </w:pPr>
      <w:r>
        <w:rPr>
          <w:rFonts w:hint="eastAsia"/>
          <w:b/>
          <w:bCs/>
          <w:color w:val="auto"/>
          <w:sz w:val="24"/>
          <w:szCs w:val="28"/>
          <w:highlight w:val="none"/>
          <w:lang w:eastAsia="zh-CN"/>
        </w:rPr>
        <w:t>（三）</w:t>
      </w:r>
      <w:r>
        <w:rPr>
          <w:rFonts w:hint="default"/>
          <w:b/>
          <w:bCs/>
          <w:color w:val="auto"/>
          <w:sz w:val="24"/>
          <w:szCs w:val="28"/>
          <w:highlight w:val="none"/>
        </w:rPr>
        <w:t>资金使用情况</w:t>
      </w:r>
    </w:p>
    <w:p>
      <w:pPr>
        <w:pageBreakBefore w:val="0"/>
        <w:kinsoku/>
        <w:wordWrap/>
        <w:overflowPunct/>
        <w:topLinePunct w:val="0"/>
        <w:autoSpaceDE/>
        <w:autoSpaceDN/>
        <w:bidi w:val="0"/>
        <w:spacing w:line="360" w:lineRule="exact"/>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项目预算资金总额为5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821.11万元，其中：中央直达资金5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496</w:t>
      </w:r>
      <w:r>
        <w:rPr>
          <w:rFonts w:hint="eastAsia" w:cs="Times New Roman"/>
          <w:b w:val="0"/>
          <w:bCs w:val="0"/>
          <w:color w:val="auto"/>
          <w:highlight w:val="none"/>
          <w:lang w:val="en-US" w:eastAsia="zh-CN"/>
        </w:rPr>
        <w:t>.7</w:t>
      </w:r>
      <w:r>
        <w:rPr>
          <w:rFonts w:hint="default" w:ascii="Times New Roman" w:hAnsi="Times New Roman" w:cs="Times New Roman"/>
          <w:b w:val="0"/>
          <w:bCs w:val="0"/>
          <w:color w:val="auto"/>
          <w:highlight w:val="none"/>
          <w:lang w:val="en-US" w:eastAsia="zh-CN"/>
        </w:rPr>
        <w:t>万元，自治区直达资金276</w:t>
      </w:r>
      <w:r>
        <w:rPr>
          <w:rFonts w:hint="eastAsia" w:cs="Times New Roman"/>
          <w:b w:val="0"/>
          <w:bCs w:val="0"/>
          <w:color w:val="auto"/>
          <w:highlight w:val="none"/>
          <w:lang w:val="en-US" w:eastAsia="zh-CN"/>
        </w:rPr>
        <w:t>.6</w:t>
      </w:r>
      <w:r>
        <w:rPr>
          <w:rFonts w:hint="default" w:ascii="Times New Roman" w:hAnsi="Times New Roman" w:cs="Times New Roman"/>
          <w:b w:val="0"/>
          <w:bCs w:val="0"/>
          <w:color w:val="auto"/>
          <w:highlight w:val="none"/>
          <w:lang w:val="en-US" w:eastAsia="zh-CN"/>
        </w:rPr>
        <w:t>万元，历年结余资金47.81万元。实际到位资金5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821.11万元，资金到位率为100%。</w:t>
      </w:r>
    </w:p>
    <w:p>
      <w:pPr>
        <w:pageBreakBefore w:val="0"/>
        <w:kinsoku/>
        <w:wordWrap/>
        <w:overflowPunct/>
        <w:topLinePunct w:val="0"/>
        <w:autoSpaceDE/>
        <w:autoSpaceDN/>
        <w:bidi w:val="0"/>
        <w:spacing w:line="360" w:lineRule="exact"/>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截至2023年12月，项目实际支出资金总额为5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821.11万元，其中支付农户冬小麦补贴费用5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758.11万元，春小麦补贴63万元。预算资金执行率为100%。</w:t>
      </w:r>
    </w:p>
    <w:p>
      <w:pPr>
        <w:pageBreakBefore w:val="0"/>
        <w:kinsoku/>
        <w:wordWrap/>
        <w:overflowPunct/>
        <w:topLinePunct w:val="0"/>
        <w:autoSpaceDE/>
        <w:autoSpaceDN/>
        <w:bidi w:val="0"/>
        <w:spacing w:line="360" w:lineRule="exact"/>
        <w:ind w:firstLine="482"/>
        <w:rPr>
          <w:b/>
          <w:bCs/>
          <w:color w:val="auto"/>
          <w:sz w:val="24"/>
          <w:szCs w:val="28"/>
          <w:highlight w:val="none"/>
        </w:rPr>
      </w:pPr>
      <w:r>
        <w:rPr>
          <w:rFonts w:hint="eastAsia"/>
          <w:b/>
          <w:bCs/>
          <w:color w:val="auto"/>
          <w:sz w:val="24"/>
          <w:szCs w:val="28"/>
          <w:highlight w:val="none"/>
          <w:lang w:eastAsia="zh-CN"/>
        </w:rPr>
        <w:t>二</w:t>
      </w:r>
      <w:r>
        <w:rPr>
          <w:b/>
          <w:bCs/>
          <w:color w:val="auto"/>
          <w:sz w:val="24"/>
          <w:szCs w:val="28"/>
          <w:highlight w:val="none"/>
        </w:rPr>
        <w:t>、评价结论</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eastAsia="宋体" w:cs="Times New Roman"/>
          <w:color w:val="auto"/>
          <w:highlight w:val="none"/>
        </w:rPr>
        <w:t>经评价分析，</w:t>
      </w:r>
      <w:r>
        <w:rPr>
          <w:rFonts w:hint="default" w:ascii="Times New Roman" w:hAnsi="Times New Roman" w:eastAsia="宋体" w:cs="Times New Roman"/>
          <w:color w:val="auto"/>
          <w:highlight w:val="none"/>
          <w:lang w:val="zh-TW" w:eastAsia="zh-CN"/>
        </w:rPr>
        <w:t>项目总体实施情况</w:t>
      </w:r>
      <w:r>
        <w:rPr>
          <w:rFonts w:hint="default" w:ascii="Times New Roman" w:hAnsi="Times New Roman" w:eastAsia="宋体" w:cs="Times New Roman"/>
          <w:color w:val="auto"/>
          <w:highlight w:val="none"/>
          <w:lang w:val="en-US" w:eastAsia="zh-CN"/>
        </w:rPr>
        <w:t>较好</w:t>
      </w:r>
      <w:r>
        <w:rPr>
          <w:rFonts w:hint="default" w:ascii="Times New Roman" w:hAnsi="Times New Roman" w:eastAsia="宋体" w:cs="Times New Roman"/>
          <w:color w:val="auto"/>
          <w:highlight w:val="none"/>
        </w:rPr>
        <w:t>，项目实施单位按要求编制实施方案，并指导</w:t>
      </w:r>
      <w:r>
        <w:rPr>
          <w:rFonts w:hint="default" w:ascii="Times New Roman" w:hAnsi="Times New Roman" w:eastAsia="宋体" w:cs="Times New Roman"/>
          <w:color w:val="auto"/>
          <w:highlight w:val="none"/>
          <w:lang w:val="en-US" w:eastAsia="zh-CN"/>
        </w:rPr>
        <w:t>乡镇按程序开展前期数据汇总、核定、公示等各项工作</w:t>
      </w:r>
      <w:r>
        <w:rPr>
          <w:rFonts w:hint="default" w:ascii="Times New Roman" w:hAnsi="Times New Roman" w:eastAsia="宋体" w:cs="Times New Roman"/>
          <w:color w:val="auto"/>
          <w:highlight w:val="none"/>
        </w:rPr>
        <w:t>，按期完成了</w:t>
      </w:r>
      <w:r>
        <w:rPr>
          <w:rFonts w:hint="default" w:ascii="Times New Roman" w:hAnsi="Times New Roman" w:eastAsia="宋体" w:cs="Times New Roman"/>
          <w:color w:val="auto"/>
          <w:highlight w:val="none"/>
          <w:lang w:val="en-US" w:eastAsia="zh-CN"/>
        </w:rPr>
        <w:t>11个乡镇耕地地力保护补贴资金的兑付</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实际完成冬小麦补助面积</w:t>
      </w:r>
      <w:r>
        <w:rPr>
          <w:rFonts w:hint="eastAsia" w:cs="Times New Roman"/>
          <w:color w:val="auto"/>
          <w:highlight w:val="none"/>
          <w:lang w:val="en-US" w:eastAsia="zh-CN"/>
        </w:rPr>
        <w:t>269060.8亩</w:t>
      </w:r>
      <w:r>
        <w:rPr>
          <w:rFonts w:hint="default" w:ascii="Times New Roman" w:hAnsi="Times New Roman" w:cs="Times New Roman"/>
          <w:color w:val="auto"/>
          <w:highlight w:val="none"/>
          <w:lang w:val="en-US" w:eastAsia="zh-CN"/>
        </w:rPr>
        <w:t>，惠及</w:t>
      </w:r>
      <w:r>
        <w:rPr>
          <w:rFonts w:hint="eastAsia" w:cs="Times New Roman"/>
          <w:color w:val="auto"/>
          <w:highlight w:val="none"/>
          <w:lang w:val="en-US" w:eastAsia="zh-CN"/>
        </w:rPr>
        <w:t>25321人</w:t>
      </w:r>
      <w:r>
        <w:rPr>
          <w:rFonts w:hint="default" w:ascii="Times New Roman" w:hAnsi="Times New Roman" w:cs="Times New Roman"/>
          <w:color w:val="auto"/>
          <w:highlight w:val="none"/>
          <w:lang w:val="en-US" w:eastAsia="zh-CN"/>
        </w:rPr>
        <w:t>；实际完成春小麦补助面积</w:t>
      </w:r>
      <w:r>
        <w:rPr>
          <w:rFonts w:hint="eastAsia" w:cs="Times New Roman"/>
          <w:color w:val="auto"/>
          <w:highlight w:val="none"/>
          <w:lang w:val="en-US" w:eastAsia="zh-CN"/>
        </w:rPr>
        <w:t>2739.38亩</w:t>
      </w:r>
      <w:r>
        <w:rPr>
          <w:rFonts w:hint="default" w:ascii="Times New Roman" w:hAnsi="Times New Roman" w:cs="Times New Roman"/>
          <w:color w:val="auto"/>
          <w:highlight w:val="none"/>
          <w:lang w:val="en-US" w:eastAsia="zh-CN"/>
        </w:rPr>
        <w:t>，惠及463人</w:t>
      </w:r>
      <w:r>
        <w:rPr>
          <w:rFonts w:hint="eastAsia" w:cs="Times New Roman"/>
          <w:color w:val="auto"/>
          <w:highlight w:val="none"/>
          <w:lang w:val="en-US" w:eastAsia="zh-CN"/>
        </w:rPr>
        <w:t>；</w:t>
      </w:r>
      <w:r>
        <w:rPr>
          <w:rFonts w:hint="default" w:ascii="Times New Roman" w:hAnsi="Times New Roman" w:cs="Times New Roman"/>
          <w:color w:val="auto"/>
          <w:highlight w:val="none"/>
        </w:rPr>
        <w:t>促进</w:t>
      </w:r>
      <w:r>
        <w:rPr>
          <w:rFonts w:hint="default" w:ascii="Times New Roman" w:hAnsi="Times New Roman" w:cs="Times New Roman"/>
          <w:color w:val="auto"/>
          <w:highlight w:val="none"/>
          <w:lang w:val="en-US" w:eastAsia="zh-CN"/>
        </w:rPr>
        <w:t>巴楚县</w:t>
      </w:r>
      <w:r>
        <w:rPr>
          <w:rFonts w:hint="default" w:ascii="Times New Roman" w:hAnsi="Times New Roman" w:cs="Times New Roman"/>
          <w:color w:val="auto"/>
          <w:highlight w:val="none"/>
        </w:rPr>
        <w:t>种植业结构合理调整</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引导农民自觉提升耕地地力</w:t>
      </w:r>
      <w:r>
        <w:rPr>
          <w:rFonts w:hint="default" w:ascii="Times New Roman" w:hAnsi="Times New Roman" w:eastAsia="宋体" w:cs="Times New Roman"/>
          <w:color w:val="auto"/>
          <w:highlight w:val="none"/>
          <w:lang w:val="en-US" w:eastAsia="zh-CN"/>
        </w:rPr>
        <w:t>，促进了农民增收。</w:t>
      </w:r>
      <w:r>
        <w:rPr>
          <w:rFonts w:hint="default" w:ascii="Times New Roman" w:hAnsi="Times New Roman" w:eastAsia="宋体" w:cs="Times New Roman"/>
          <w:color w:val="auto"/>
          <w:highlight w:val="none"/>
        </w:rPr>
        <w:t>但在实施过程中也存在一些不足：</w:t>
      </w:r>
      <w:r>
        <w:rPr>
          <w:rFonts w:hint="default" w:ascii="Times New Roman" w:hAnsi="Times New Roman" w:cs="Times New Roman"/>
          <w:color w:val="auto"/>
          <w:highlight w:val="none"/>
          <w:lang w:val="en-US" w:eastAsia="zh-CN"/>
        </w:rPr>
        <w:t>补贴发放程序实施不到位，自治区耕地地力保护补贴实时</w:t>
      </w:r>
      <w:r>
        <w:rPr>
          <w:rFonts w:hint="eastAsia" w:cs="Times New Roman"/>
          <w:color w:val="auto"/>
          <w:highlight w:val="none"/>
          <w:lang w:val="en-US" w:eastAsia="zh-CN"/>
        </w:rPr>
        <w:t>监测系统录入工作未全部完成</w:t>
      </w:r>
      <w:r>
        <w:rPr>
          <w:rFonts w:hint="default" w:ascii="Times New Roman" w:hAnsi="Times New Roman" w:cs="Times New Roman"/>
          <w:color w:val="auto"/>
          <w:highlight w:val="none"/>
          <w:lang w:val="en-US" w:eastAsia="zh-CN"/>
        </w:rPr>
        <w:t>等</w:t>
      </w:r>
      <w:r>
        <w:rPr>
          <w:rFonts w:hint="default" w:ascii="Times New Roman" w:hAnsi="Times New Roman" w:cs="Times New Roman"/>
          <w:color w:val="auto"/>
          <w:highlight w:val="none"/>
        </w:rPr>
        <w:t>。</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ascii="Times New Roman" w:hAnsi="Times New Roman" w:cs="Times New Roman"/>
          <w:color w:val="auto"/>
          <w:highlight w:val="none"/>
          <w:lang w:val="zh-TW" w:eastAsia="zh-TW"/>
        </w:rPr>
        <w:t>通过调研、数据分析、访谈等方式，</w:t>
      </w:r>
      <w:r>
        <w:rPr>
          <w:rFonts w:hint="eastAsia" w:cs="Times New Roman"/>
          <w:color w:val="auto"/>
          <w:highlight w:val="none"/>
          <w:lang w:val="en-US" w:eastAsia="zh-CN"/>
        </w:rPr>
        <w:t>1</w:t>
      </w:r>
      <w:r>
        <w:rPr>
          <w:rFonts w:ascii="Times New Roman" w:hAnsi="Times New Roman" w:cs="Times New Roman"/>
          <w:color w:val="auto"/>
          <w:highlight w:val="none"/>
          <w:lang w:val="zh-TW" w:eastAsia="zh-TW"/>
        </w:rPr>
        <w:t>根据工作方案确定的指标体系及评分标准，对“巴楚县2023年耕地地力保护补贴项目”绩效进行客观评价</w:t>
      </w:r>
      <w:r>
        <w:rPr>
          <w:rFonts w:ascii="Times New Roman" w:hAnsi="Times New Roman" w:cs="Times New Roman"/>
          <w:color w:val="auto"/>
          <w:highlight w:val="none"/>
        </w:rPr>
        <w:t>，项目最终得分为</w:t>
      </w:r>
      <w:r>
        <w:rPr>
          <w:rFonts w:hint="eastAsia" w:cs="Times New Roman"/>
          <w:color w:val="auto"/>
          <w:highlight w:val="none"/>
          <w:lang w:eastAsia="zh-CN"/>
        </w:rPr>
        <w:t>93.31</w:t>
      </w:r>
      <w:r>
        <w:rPr>
          <w:rFonts w:ascii="Times New Roman" w:hAnsi="Times New Roman" w:cs="Times New Roman"/>
          <w:color w:val="auto"/>
          <w:highlight w:val="none"/>
        </w:rPr>
        <w:t>分，评价级别属于“优秀”。</w:t>
      </w:r>
    </w:p>
    <w:p>
      <w:pPr>
        <w:pStyle w:val="29"/>
        <w:pageBreakBefore w:val="0"/>
        <w:kinsoku/>
        <w:wordWrap/>
        <w:overflowPunct/>
        <w:topLinePunct w:val="0"/>
        <w:autoSpaceDE/>
        <w:autoSpaceDN/>
        <w:bidi w:val="0"/>
        <w:spacing w:before="0" w:after="0" w:line="360" w:lineRule="exact"/>
        <w:jc w:val="center"/>
        <w:rPr>
          <w:rFonts w:ascii="Times New Roman" w:hAnsi="Times New Roman" w:eastAsia="黑体" w:cs="Times New Roman"/>
          <w:bCs/>
          <w:color w:val="auto"/>
          <w:sz w:val="21"/>
          <w:szCs w:val="21"/>
          <w:highlight w:val="none"/>
        </w:rPr>
      </w:pPr>
      <w:r>
        <w:rPr>
          <w:rFonts w:ascii="Times New Roman" w:hAnsi="Times New Roman" w:eastAsia="黑体" w:cs="Times New Roman"/>
          <w:bCs/>
          <w:color w:val="auto"/>
          <w:sz w:val="21"/>
          <w:szCs w:val="21"/>
          <w:highlight w:val="none"/>
          <w:lang w:val="zh-TW" w:eastAsia="zh-TW"/>
        </w:rPr>
        <w:t>表</w:t>
      </w:r>
      <w:r>
        <w:rPr>
          <w:rFonts w:hint="default" w:ascii="Times New Roman" w:hAnsi="Times New Roman" w:eastAsia="黑体" w:cs="Times New Roman"/>
          <w:bCs/>
          <w:color w:val="auto"/>
          <w:sz w:val="21"/>
          <w:szCs w:val="21"/>
          <w:highlight w:val="none"/>
          <w:lang w:val="en-US" w:eastAsia="zh-CN"/>
        </w:rPr>
        <w:t>1</w:t>
      </w:r>
      <w:r>
        <w:rPr>
          <w:rFonts w:ascii="Times New Roman" w:hAnsi="Times New Roman" w:eastAsia="黑体" w:cs="Times New Roman"/>
          <w:bCs/>
          <w:color w:val="auto"/>
          <w:sz w:val="21"/>
          <w:szCs w:val="21"/>
          <w:highlight w:val="none"/>
          <w:lang w:val="zh-TW"/>
        </w:rPr>
        <w:t>：</w:t>
      </w:r>
      <w:r>
        <w:rPr>
          <w:rFonts w:ascii="Times New Roman" w:hAnsi="Times New Roman" w:eastAsia="黑体" w:cs="Times New Roman"/>
          <w:bCs/>
          <w:color w:val="auto"/>
          <w:sz w:val="21"/>
          <w:szCs w:val="21"/>
          <w:highlight w:val="none"/>
        </w:rPr>
        <w:t>巴楚县2023年耕地地力保护补贴项目</w:t>
      </w:r>
      <w:r>
        <w:rPr>
          <w:rFonts w:ascii="Times New Roman" w:hAnsi="Times New Roman" w:eastAsia="黑体" w:cs="Times New Roman"/>
          <w:bCs/>
          <w:color w:val="auto"/>
          <w:sz w:val="21"/>
          <w:szCs w:val="21"/>
          <w:highlight w:val="none"/>
          <w:lang w:val="zh-TW"/>
        </w:rPr>
        <w:t>得分表</w:t>
      </w:r>
    </w:p>
    <w:tbl>
      <w:tblPr>
        <w:tblStyle w:val="18"/>
        <w:tblW w:w="846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4"/>
        <w:gridCol w:w="1614"/>
        <w:gridCol w:w="1614"/>
        <w:gridCol w:w="1614"/>
        <w:gridCol w:w="1614"/>
        <w:gridCol w:w="112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88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指标</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项目决策类</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过程</w:t>
            </w:r>
            <w:r>
              <w:rPr>
                <w:rFonts w:ascii="Times New Roman" w:hAnsi="Times New Roman" w:eastAsia="宋体" w:cs="Times New Roman"/>
                <w:b/>
                <w:bCs/>
                <w:color w:val="auto"/>
                <w:sz w:val="21"/>
                <w:szCs w:val="21"/>
                <w:highlight w:val="none"/>
                <w:lang w:val="zh-TW" w:eastAsia="zh-TW"/>
              </w:rPr>
              <w:t>类</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产出</w:t>
            </w:r>
            <w:r>
              <w:rPr>
                <w:rFonts w:ascii="Times New Roman" w:hAnsi="Times New Roman" w:eastAsia="宋体" w:cs="Times New Roman"/>
                <w:b/>
                <w:bCs/>
                <w:color w:val="auto"/>
                <w:sz w:val="21"/>
                <w:szCs w:val="21"/>
                <w:highlight w:val="none"/>
                <w:lang w:val="zh-TW" w:eastAsia="zh-TW"/>
              </w:rPr>
              <w:t>类</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b/>
                <w:bCs/>
                <w:color w:val="auto"/>
                <w:sz w:val="21"/>
                <w:szCs w:val="21"/>
                <w:highlight w:val="none"/>
                <w:lang w:val="zh-TW" w:eastAsia="zh-TW"/>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效益</w:t>
            </w:r>
            <w:r>
              <w:rPr>
                <w:rFonts w:ascii="Times New Roman" w:hAnsi="Times New Roman" w:eastAsia="宋体" w:cs="Times New Roman"/>
                <w:b/>
                <w:bCs/>
                <w:color w:val="auto"/>
                <w:sz w:val="21"/>
                <w:szCs w:val="21"/>
                <w:highlight w:val="none"/>
                <w:lang w:val="zh-TW" w:eastAsia="zh-TW"/>
              </w:rPr>
              <w:t>类</w:t>
            </w:r>
          </w:p>
        </w:tc>
        <w:tc>
          <w:tcPr>
            <w:tcW w:w="112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88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权重</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rPr>
              <w:t>10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rPr>
              <w:t>25</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rPr>
              <w:t>30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rPr>
              <w:t>35</w:t>
            </w:r>
          </w:p>
        </w:tc>
        <w:tc>
          <w:tcPr>
            <w:tcW w:w="11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88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rPr>
              <w:t>10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rPr>
              <w:t>23</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rPr>
              <w:t>30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ascii="Times New Roman"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lang w:eastAsia="zh-CN"/>
              </w:rPr>
              <w:t>30.31</w:t>
            </w:r>
          </w:p>
        </w:tc>
        <w:tc>
          <w:tcPr>
            <w:tcW w:w="11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ascii="Times New Roman"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lang w:eastAsia="zh-CN"/>
              </w:rPr>
              <w:t>93.31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88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得分率</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100%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92%</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100%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eastAsia="zh-CN"/>
              </w:rPr>
              <w:t>86.6</w:t>
            </w:r>
            <w:r>
              <w:rPr>
                <w:rFonts w:hint="default" w:ascii="Times New Roman" w:hAnsi="Times New Roman" w:eastAsia="宋体" w:cs="Times New Roman"/>
                <w:color w:val="auto"/>
                <w:sz w:val="21"/>
                <w:szCs w:val="21"/>
                <w:highlight w:val="none"/>
              </w:rPr>
              <w:t>%</w:t>
            </w:r>
          </w:p>
        </w:tc>
        <w:tc>
          <w:tcPr>
            <w:tcW w:w="11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eastAsia="zh-CN"/>
              </w:rPr>
              <w:t>93.31</w:t>
            </w:r>
            <w:r>
              <w:rPr>
                <w:rFonts w:hint="default" w:ascii="Times New Roman" w:hAnsi="Times New Roman" w:eastAsia="宋体" w:cs="Times New Roman"/>
                <w:color w:val="auto"/>
                <w:sz w:val="21"/>
                <w:szCs w:val="21"/>
                <w:highlight w:val="none"/>
              </w:rPr>
              <w:t>%</w:t>
            </w:r>
          </w:p>
        </w:tc>
      </w:tr>
    </w:tbl>
    <w:p>
      <w:pPr>
        <w:pageBreakBefore w:val="0"/>
        <w:kinsoku/>
        <w:wordWrap/>
        <w:overflowPunct/>
        <w:topLinePunct w:val="0"/>
        <w:autoSpaceDE/>
        <w:autoSpaceDN/>
        <w:bidi w:val="0"/>
        <w:spacing w:line="360" w:lineRule="exact"/>
        <w:ind w:firstLine="422"/>
        <w:rPr>
          <w:rFonts w:ascii="Times New Roman" w:hAnsi="Times New Roman" w:cs="Times New Roman"/>
          <w:b/>
          <w:bCs/>
          <w:color w:val="auto"/>
          <w:highlight w:val="none"/>
          <w:lang w:val="zh-TW"/>
        </w:rPr>
      </w:pPr>
    </w:p>
    <w:p>
      <w:pPr>
        <w:pageBreakBefore w:val="0"/>
        <w:kinsoku/>
        <w:wordWrap/>
        <w:overflowPunct/>
        <w:topLinePunct w:val="0"/>
        <w:autoSpaceDE/>
        <w:autoSpaceDN/>
        <w:bidi w:val="0"/>
        <w:spacing w:line="360" w:lineRule="exact"/>
        <w:ind w:firstLine="482"/>
        <w:rPr>
          <w:b/>
          <w:bCs/>
          <w:color w:val="auto"/>
          <w:sz w:val="24"/>
          <w:szCs w:val="28"/>
          <w:highlight w:val="none"/>
        </w:rPr>
      </w:pPr>
      <w:r>
        <w:rPr>
          <w:rFonts w:hint="eastAsia"/>
          <w:b/>
          <w:bCs/>
          <w:color w:val="auto"/>
          <w:sz w:val="24"/>
          <w:szCs w:val="28"/>
          <w:highlight w:val="none"/>
          <w:lang w:eastAsia="zh-CN"/>
        </w:rPr>
        <w:t>三</w:t>
      </w:r>
      <w:r>
        <w:rPr>
          <w:b/>
          <w:bCs/>
          <w:color w:val="auto"/>
          <w:sz w:val="24"/>
          <w:szCs w:val="28"/>
          <w:highlight w:val="none"/>
        </w:rPr>
        <w:t>、取得的业绩、存在的问题和改进的建议</w:t>
      </w:r>
    </w:p>
    <w:p>
      <w:pPr>
        <w:pageBreakBefore w:val="0"/>
        <w:kinsoku/>
        <w:wordWrap/>
        <w:overflowPunct/>
        <w:topLinePunct w:val="0"/>
        <w:autoSpaceDE/>
        <w:autoSpaceDN/>
        <w:bidi w:val="0"/>
        <w:spacing w:line="360" w:lineRule="exact"/>
        <w:ind w:firstLine="482"/>
        <w:rPr>
          <w:b/>
          <w:bCs/>
          <w:color w:val="auto"/>
          <w:sz w:val="24"/>
          <w:szCs w:val="28"/>
          <w:highlight w:val="none"/>
        </w:rPr>
      </w:pPr>
      <w:bookmarkStart w:id="9" w:name="_Toc5502"/>
      <w:r>
        <w:rPr>
          <w:b/>
          <w:bCs/>
          <w:color w:val="auto"/>
          <w:sz w:val="24"/>
          <w:szCs w:val="28"/>
          <w:highlight w:val="none"/>
        </w:rPr>
        <w:t>（一）主要经验及做法</w:t>
      </w:r>
      <w:bookmarkEnd w:id="9"/>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项目实施单位严格落实政策要求</w:t>
      </w:r>
      <w:r>
        <w:rPr>
          <w:rFonts w:hint="default" w:ascii="Times New Roman" w:hAnsi="Times New Roman" w:cs="Times New Roman"/>
          <w:color w:val="auto"/>
          <w:highlight w:val="none"/>
          <w:lang w:eastAsia="zh-CN"/>
        </w:rPr>
        <w:t>，</w:t>
      </w:r>
      <w:r>
        <w:rPr>
          <w:rFonts w:hint="eastAsia" w:ascii="Times New Roman" w:hAnsi="Times New Roman" w:cs="Times New Roman"/>
          <w:color w:val="auto"/>
          <w:highlight w:val="none"/>
          <w:lang w:eastAsia="zh-CN"/>
        </w:rPr>
        <w:t>依据</w:t>
      </w:r>
      <w:r>
        <w:rPr>
          <w:rFonts w:hint="default" w:ascii="Times New Roman" w:hAnsi="Times New Roman" w:cs="Times New Roman"/>
          <w:color w:val="auto"/>
          <w:highlight w:val="none"/>
        </w:rPr>
        <w:t>自治区农业农村厅下发的《2023年自治区耕地地力保护补贴实施方案》文件精神</w:t>
      </w:r>
      <w:r>
        <w:rPr>
          <w:rFonts w:hint="default" w:ascii="Times New Roman" w:hAnsi="Times New Roman" w:cs="Times New Roman"/>
          <w:color w:val="auto"/>
          <w:highlight w:val="none"/>
          <w:lang w:val="en-US" w:eastAsia="zh-CN"/>
        </w:rPr>
        <w:t>及喀什地区农业农村局要求</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认真开展数据核查工作，</w:t>
      </w:r>
      <w:r>
        <w:rPr>
          <w:rFonts w:hint="default" w:ascii="Times New Roman" w:hAnsi="Times New Roman" w:cs="Times New Roman"/>
          <w:color w:val="auto"/>
          <w:highlight w:val="none"/>
        </w:rPr>
        <w:t>对各乡镇确定的耕地补助面积及相关材料进行实地核实，确保面积</w:t>
      </w:r>
      <w:r>
        <w:rPr>
          <w:rFonts w:hint="default" w:ascii="Times New Roman" w:hAnsi="Times New Roman" w:cs="Times New Roman"/>
          <w:color w:val="auto"/>
          <w:highlight w:val="none"/>
          <w:lang w:val="en-US" w:eastAsia="zh-CN"/>
        </w:rPr>
        <w:t>统计数据准确</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完成</w:t>
      </w:r>
      <w:r>
        <w:rPr>
          <w:rFonts w:hint="default" w:ascii="Times New Roman" w:hAnsi="Times New Roman" w:cs="Times New Roman"/>
          <w:color w:val="auto"/>
          <w:highlight w:val="none"/>
        </w:rPr>
        <w:t>编制《巴楚县2023年耕地地力保护补贴实施方案》，明确项目补助对象、</w:t>
      </w:r>
      <w:r>
        <w:rPr>
          <w:rFonts w:hint="default" w:ascii="Times New Roman" w:hAnsi="Times New Roman" w:cs="Times New Roman"/>
          <w:color w:val="auto"/>
          <w:highlight w:val="none"/>
          <w:lang w:val="en-US" w:eastAsia="zh-CN"/>
        </w:rPr>
        <w:t>补助标准</w:t>
      </w:r>
      <w:r>
        <w:rPr>
          <w:rFonts w:hint="default" w:ascii="Times New Roman" w:hAnsi="Times New Roman" w:cs="Times New Roman"/>
          <w:color w:val="auto"/>
          <w:highlight w:val="none"/>
        </w:rPr>
        <w:t>、补助内容、</w:t>
      </w:r>
      <w:r>
        <w:rPr>
          <w:rFonts w:hint="default" w:ascii="Times New Roman" w:hAnsi="Times New Roman" w:cs="Times New Roman"/>
          <w:color w:val="auto"/>
          <w:highlight w:val="none"/>
          <w:lang w:val="en-US" w:eastAsia="zh-CN"/>
        </w:rPr>
        <w:t>补助程序、兑付时间</w:t>
      </w:r>
      <w:r>
        <w:rPr>
          <w:rFonts w:hint="default" w:ascii="Times New Roman" w:hAnsi="Times New Roman" w:cs="Times New Roman"/>
          <w:color w:val="auto"/>
          <w:highlight w:val="none"/>
        </w:rPr>
        <w:t>等内容，有效指导项目实施补助政策。该项目的补助政策实施引导农民自觉提升耕地地力，推动粮食生产能力稳步提升，促进</w:t>
      </w:r>
      <w:r>
        <w:rPr>
          <w:rFonts w:hint="default" w:ascii="Times New Roman" w:hAnsi="Times New Roman" w:cs="Times New Roman"/>
          <w:color w:val="auto"/>
          <w:highlight w:val="none"/>
          <w:lang w:val="en-US" w:eastAsia="zh-CN"/>
        </w:rPr>
        <w:t>巴楚县</w:t>
      </w:r>
      <w:r>
        <w:rPr>
          <w:rFonts w:hint="default" w:ascii="Times New Roman" w:hAnsi="Times New Roman" w:cs="Times New Roman"/>
          <w:color w:val="auto"/>
          <w:highlight w:val="none"/>
        </w:rPr>
        <w:t>种植业结构合理调整。</w:t>
      </w:r>
    </w:p>
    <w:p>
      <w:pPr>
        <w:pageBreakBefore w:val="0"/>
        <w:kinsoku/>
        <w:wordWrap/>
        <w:overflowPunct/>
        <w:topLinePunct w:val="0"/>
        <w:autoSpaceDE/>
        <w:autoSpaceDN/>
        <w:bidi w:val="0"/>
        <w:spacing w:line="360" w:lineRule="exact"/>
        <w:ind w:firstLine="482"/>
        <w:rPr>
          <w:b/>
          <w:bCs/>
          <w:color w:val="auto"/>
          <w:sz w:val="24"/>
          <w:szCs w:val="28"/>
          <w:highlight w:val="none"/>
        </w:rPr>
      </w:pPr>
      <w:bookmarkStart w:id="10" w:name="_Toc17494"/>
      <w:r>
        <w:rPr>
          <w:b/>
          <w:bCs/>
          <w:color w:val="auto"/>
          <w:sz w:val="24"/>
          <w:szCs w:val="28"/>
          <w:highlight w:val="none"/>
        </w:rPr>
        <w:t>（二）存在的问题</w:t>
      </w:r>
      <w:bookmarkEnd w:id="10"/>
    </w:p>
    <w:p>
      <w:pPr>
        <w:pageBreakBefore w:val="0"/>
        <w:kinsoku/>
        <w:wordWrap/>
        <w:overflowPunct/>
        <w:topLinePunct w:val="0"/>
        <w:autoSpaceDE/>
        <w:autoSpaceDN/>
        <w:bidi w:val="0"/>
        <w:spacing w:line="360" w:lineRule="exact"/>
        <w:ind w:firstLine="482"/>
        <w:rPr>
          <w:rFonts w:ascii="Times New Roman" w:hAnsi="Times New Roman" w:cs="Times New Roman"/>
          <w:color w:val="auto"/>
          <w:highlight w:val="none"/>
        </w:rPr>
      </w:pPr>
      <w:r>
        <w:rPr>
          <w:rFonts w:hint="default" w:ascii="Times New Roman" w:hAnsi="Times New Roman" w:cs="Times New Roman"/>
          <w:color w:val="auto"/>
          <w:highlight w:val="none"/>
          <w:lang w:val="en-US" w:eastAsia="zh-CN"/>
        </w:rPr>
        <w:t>项目补助程序实施不完整，监督管理工作不到位。</w:t>
      </w:r>
      <w:r>
        <w:rPr>
          <w:rFonts w:hint="default" w:ascii="Times New Roman" w:hAnsi="Times New Roman" w:cs="Times New Roman"/>
          <w:color w:val="auto"/>
          <w:highlight w:val="none"/>
        </w:rPr>
        <w:t>根据项目实施方案，进行</w:t>
      </w:r>
      <w:r>
        <w:rPr>
          <w:rFonts w:hint="default" w:ascii="Times New Roman" w:hAnsi="Times New Roman" w:cs="Times New Roman"/>
          <w:color w:val="auto"/>
          <w:highlight w:val="none"/>
          <w:lang w:val="en-US" w:eastAsia="zh-CN"/>
        </w:rPr>
        <w:t>补贴</w:t>
      </w:r>
      <w:r>
        <w:rPr>
          <w:rFonts w:hint="default" w:ascii="Times New Roman" w:hAnsi="Times New Roman" w:cs="Times New Roman"/>
          <w:color w:val="auto"/>
          <w:highlight w:val="none"/>
        </w:rPr>
        <w:t>兑付前，要按照分户清册向农民发放补贴兑现通知书，农民领取补贴兑现通知书时在分户清册上签字、按手印。经了解，项目实施过程未开展该项工作，巴楚县农业农村局对补助面积及内容抽查核实通过后，执行国库集中支付程序，拨付补贴至农户“一卡通”账户。</w:t>
      </w:r>
      <w:r>
        <w:rPr>
          <w:rFonts w:hint="default" w:ascii="Times New Roman" w:hAnsi="Times New Roman" w:cs="Times New Roman"/>
          <w:color w:val="auto"/>
          <w:highlight w:val="none"/>
          <w:lang w:val="en-US" w:eastAsia="zh-CN"/>
        </w:rPr>
        <w:t>此外，</w:t>
      </w:r>
      <w:r>
        <w:rPr>
          <w:rFonts w:hint="default" w:ascii="Times New Roman" w:hAnsi="Times New Roman" w:cs="Times New Roman"/>
          <w:color w:val="auto"/>
          <w:highlight w:val="none"/>
        </w:rPr>
        <w:t>完成</w:t>
      </w:r>
      <w:r>
        <w:rPr>
          <w:rFonts w:hint="default" w:ascii="Times New Roman" w:hAnsi="Times New Roman" w:cs="Times New Roman"/>
          <w:color w:val="auto"/>
          <w:highlight w:val="none"/>
          <w:lang w:val="en-US" w:eastAsia="zh-CN"/>
        </w:rPr>
        <w:t>补贴</w:t>
      </w:r>
      <w:r>
        <w:rPr>
          <w:rFonts w:hint="default" w:ascii="Times New Roman" w:hAnsi="Times New Roman" w:cs="Times New Roman"/>
          <w:color w:val="auto"/>
          <w:highlight w:val="none"/>
        </w:rPr>
        <w:t>兑付后，各乡镇</w:t>
      </w:r>
      <w:r>
        <w:rPr>
          <w:rFonts w:hint="default" w:ascii="Times New Roman" w:hAnsi="Times New Roman" w:cs="Times New Roman"/>
          <w:color w:val="auto"/>
          <w:highlight w:val="none"/>
          <w:lang w:val="en-US" w:eastAsia="zh-CN"/>
        </w:rPr>
        <w:t>未按实施方案要求</w:t>
      </w:r>
      <w:r>
        <w:rPr>
          <w:rFonts w:hint="default" w:ascii="Times New Roman" w:hAnsi="Times New Roman" w:cs="Times New Roman"/>
          <w:color w:val="auto"/>
          <w:highlight w:val="none"/>
        </w:rPr>
        <w:t>及时对照发放清单录入自治区耕地地力保护补贴实时监测系统，巴楚县农业农村局监督</w:t>
      </w:r>
      <w:r>
        <w:rPr>
          <w:rFonts w:hint="default" w:ascii="Times New Roman" w:hAnsi="Times New Roman" w:cs="Times New Roman"/>
          <w:color w:val="auto"/>
          <w:highlight w:val="none"/>
          <w:lang w:val="en-US" w:eastAsia="zh-CN"/>
        </w:rPr>
        <w:t>管理职责履行不到位</w:t>
      </w:r>
      <w:r>
        <w:rPr>
          <w:rFonts w:hint="default" w:ascii="Times New Roman" w:hAnsi="Times New Roman" w:cs="Times New Roman"/>
          <w:color w:val="auto"/>
          <w:highlight w:val="none"/>
        </w:rPr>
        <w:t>。</w:t>
      </w:r>
    </w:p>
    <w:p>
      <w:pPr>
        <w:pageBreakBefore w:val="0"/>
        <w:kinsoku/>
        <w:wordWrap/>
        <w:overflowPunct/>
        <w:topLinePunct w:val="0"/>
        <w:autoSpaceDE/>
        <w:autoSpaceDN/>
        <w:bidi w:val="0"/>
        <w:spacing w:line="360" w:lineRule="exact"/>
        <w:ind w:firstLine="482"/>
        <w:rPr>
          <w:b/>
          <w:bCs/>
          <w:color w:val="auto"/>
          <w:sz w:val="24"/>
          <w:szCs w:val="28"/>
          <w:highlight w:val="none"/>
          <w:lang w:val="en-US" w:eastAsia="zh-CN"/>
        </w:rPr>
      </w:pPr>
      <w:bookmarkStart w:id="11" w:name="_Toc10880"/>
      <w:r>
        <w:rPr>
          <w:b/>
          <w:bCs/>
          <w:color w:val="auto"/>
          <w:sz w:val="24"/>
          <w:szCs w:val="28"/>
          <w:highlight w:val="none"/>
        </w:rPr>
        <w:t>（</w:t>
      </w:r>
      <w:r>
        <w:rPr>
          <w:b/>
          <w:bCs/>
          <w:color w:val="auto"/>
          <w:sz w:val="24"/>
          <w:szCs w:val="28"/>
          <w:highlight w:val="none"/>
          <w:lang w:val="en-US" w:eastAsia="zh-CN"/>
        </w:rPr>
        <w:t>三）有关建议</w:t>
      </w:r>
      <w:bookmarkEnd w:id="11"/>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建议项目实施单位严格落实</w:t>
      </w:r>
      <w:r>
        <w:rPr>
          <w:rFonts w:hint="default" w:ascii="Times New Roman" w:hAnsi="Times New Roman" w:cs="Times New Roman"/>
          <w:color w:val="auto"/>
          <w:highlight w:val="none"/>
          <w:lang w:val="en-US" w:eastAsia="zh-CN"/>
        </w:rPr>
        <w:t>项目补助程序，结合当地实际，</w:t>
      </w:r>
      <w:r>
        <w:rPr>
          <w:rFonts w:hint="default" w:ascii="Times New Roman" w:hAnsi="Times New Roman" w:cs="Times New Roman"/>
          <w:color w:val="auto"/>
          <w:highlight w:val="none"/>
        </w:rPr>
        <w:t>完善项目</w:t>
      </w:r>
      <w:r>
        <w:rPr>
          <w:rFonts w:hint="default" w:ascii="Times New Roman" w:hAnsi="Times New Roman" w:cs="Times New Roman"/>
          <w:color w:val="auto"/>
          <w:highlight w:val="none"/>
          <w:lang w:val="en-US" w:eastAsia="zh-CN"/>
        </w:rPr>
        <w:t>补助资金发放流程</w:t>
      </w:r>
      <w:r>
        <w:rPr>
          <w:rFonts w:hint="default" w:ascii="Times New Roman" w:hAnsi="Times New Roman" w:cs="Times New Roman"/>
          <w:color w:val="auto"/>
          <w:highlight w:val="none"/>
        </w:rPr>
        <w:t>，确保政策补助实施程序规范。建议项目实施单位和行业主管部门加强对补助对象认定、资金拨付、后续跟踪监测等关键环节监管，做好项目后期</w:t>
      </w:r>
      <w:r>
        <w:rPr>
          <w:rFonts w:hint="default" w:ascii="Times New Roman" w:hAnsi="Times New Roman" w:cs="Times New Roman"/>
          <w:color w:val="auto"/>
          <w:highlight w:val="none"/>
          <w:lang w:val="en-US" w:eastAsia="zh-CN"/>
        </w:rPr>
        <w:t>工作、</w:t>
      </w:r>
      <w:r>
        <w:rPr>
          <w:rFonts w:hint="default" w:ascii="Times New Roman" w:hAnsi="Times New Roman" w:cs="Times New Roman"/>
          <w:color w:val="auto"/>
          <w:highlight w:val="none"/>
        </w:rPr>
        <w:t>效益跟踪监测</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压实主管单位监督职责，及时督促完成相关系统录入工作</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完善农业项目数据，</w:t>
      </w:r>
      <w:r>
        <w:rPr>
          <w:rFonts w:hint="default" w:ascii="Times New Roman" w:hAnsi="Times New Roman" w:cs="Times New Roman"/>
          <w:color w:val="auto"/>
          <w:highlight w:val="none"/>
        </w:rPr>
        <w:t>充分掌握补助政策的实施效益并做好资料归档，作为今后同类型项目实施的重要参考依据。</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p>
    <w:p>
      <w:pPr>
        <w:pageBreakBefore w:val="0"/>
        <w:widowControl/>
        <w:kinsoku/>
        <w:wordWrap/>
        <w:overflowPunct/>
        <w:topLinePunct w:val="0"/>
        <w:autoSpaceDE/>
        <w:autoSpaceDN/>
        <w:bidi w:val="0"/>
        <w:snapToGrid/>
        <w:spacing w:line="360" w:lineRule="exact"/>
        <w:ind w:firstLine="420"/>
        <w:rPr>
          <w:rFonts w:ascii="Times New Roman" w:hAnsi="Times New Roman" w:cs="Times New Roman"/>
          <w:color w:val="auto"/>
          <w:highlight w:val="none"/>
        </w:rPr>
      </w:pPr>
    </w:p>
    <w:p>
      <w:pPr>
        <w:pStyle w:val="15"/>
        <w:pageBreakBefore w:val="0"/>
        <w:tabs>
          <w:tab w:val="right" w:leader="dot" w:pos="8879"/>
          <w:tab w:val="clear" w:pos="9356"/>
        </w:tabs>
        <w:kinsoku/>
        <w:wordWrap/>
        <w:overflowPunct/>
        <w:topLinePunct w:val="0"/>
        <w:autoSpaceDE/>
        <w:autoSpaceDN/>
        <w:bidi w:val="0"/>
        <w:spacing w:line="360" w:lineRule="exact"/>
        <w:rPr>
          <w:rFonts w:ascii="Times New Roman" w:hAnsi="Times New Roman" w:cs="Times New Roman"/>
          <w:color w:val="auto"/>
          <w:highlight w:val="none"/>
        </w:rPr>
        <w:sectPr>
          <w:headerReference r:id="rId9" w:type="default"/>
          <w:footerReference r:id="rId10" w:type="default"/>
          <w:pgSz w:w="11906" w:h="16838"/>
          <w:pgMar w:top="1440" w:right="1797" w:bottom="1440" w:left="1797" w:header="851" w:footer="992" w:gutter="0"/>
          <w:pgNumType w:fmt="upperRoman" w:start="1"/>
          <w:cols w:space="720" w:num="1"/>
          <w:docGrid w:type="lines" w:linePitch="312" w:charSpace="0"/>
        </w:sectPr>
      </w:pPr>
    </w:p>
    <w:p>
      <w:pPr>
        <w:pStyle w:val="15"/>
        <w:pageBreakBefore w:val="0"/>
        <w:tabs>
          <w:tab w:val="right" w:leader="dot" w:pos="8306"/>
          <w:tab w:val="clear" w:pos="9356"/>
        </w:tabs>
        <w:kinsoku/>
        <w:wordWrap/>
        <w:overflowPunct/>
        <w:topLinePunct w:val="0"/>
        <w:autoSpaceDE/>
        <w:autoSpaceDN/>
        <w:bidi w:val="0"/>
        <w:spacing w:line="360" w:lineRule="exact"/>
        <w:jc w:val="center"/>
        <w:rPr>
          <w:color w:val="auto"/>
          <w:highlight w:val="none"/>
        </w:rPr>
      </w:pPr>
      <w:r>
        <w:rPr>
          <w:rFonts w:ascii="Times New Roman" w:hAnsi="Times New Roman" w:eastAsia="宋体" w:cs="Times New Roman"/>
          <w:b/>
          <w:bCs/>
          <w:color w:val="auto"/>
          <w:sz w:val="28"/>
          <w:szCs w:val="32"/>
          <w:highlight w:val="none"/>
        </w:rPr>
        <w:t>目录</w:t>
      </w:r>
      <w:r>
        <w:rPr>
          <w:rFonts w:ascii="Times New Roman" w:hAnsi="Times New Roman" w:eastAsia="宋体" w:cs="Times New Roman"/>
          <w:color w:val="auto"/>
          <w:highlight w:val="none"/>
        </w:rPr>
        <w:fldChar w:fldCharType="begin"/>
      </w:r>
      <w:r>
        <w:rPr>
          <w:rFonts w:ascii="Times New Roman" w:hAnsi="Times New Roman" w:eastAsia="宋体" w:cs="Times New Roman"/>
          <w:color w:val="auto"/>
          <w:highlight w:val="none"/>
        </w:rPr>
        <w:instrText xml:space="preserve">TOC \o "1-2" \h \u </w:instrText>
      </w:r>
      <w:r>
        <w:rPr>
          <w:rFonts w:ascii="Times New Roman" w:hAnsi="Times New Roman" w:eastAsia="宋体" w:cs="Times New Roman"/>
          <w:color w:val="auto"/>
          <w:highlight w:val="none"/>
        </w:rPr>
        <w:fldChar w:fldCharType="separate"/>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_Toc20584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一、项目基本情况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_Toc20584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_Toc1900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（一）项目背景及立项</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_Toc1900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_Toc547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lang w:val="en-US" w:eastAsia="zh-CN"/>
        </w:rPr>
        <w:t>（二）项目组织管理</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_Toc547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_Toc20390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lang w:val="en-US" w:eastAsia="zh-CN"/>
        </w:rPr>
        <w:t>（三）</w:t>
      </w:r>
      <w:r>
        <w:rPr>
          <w:rFonts w:hint="eastAsia" w:ascii="宋体" w:hAnsi="宋体" w:eastAsia="宋体" w:cs="宋体"/>
          <w:color w:val="auto"/>
          <w:sz w:val="22"/>
          <w:szCs w:val="22"/>
          <w:highlight w:val="none"/>
        </w:rPr>
        <w:t>资金投入和使用情况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_Toc20390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_Toc5973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二、项目绩效目标</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_Toc5973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_Toc13333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三、绩效评价工作开展情况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_Toc13333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4</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_Toc13597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（一）绩效评价依据</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_Toc13597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4</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_Toc21529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（二）绩效评价目的、对象和范围</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_Toc21529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5</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_Toc22808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（三）绩效评价原则</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_Toc22808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_Toc2996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（四）绩效评价指标体系设计</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_Toc2996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_Toc14540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（五）绩效评价方法</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_Toc14540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_Toc1455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（六）绩效评价</w:t>
      </w:r>
      <w:r>
        <w:rPr>
          <w:rFonts w:hint="eastAsia" w:ascii="宋体" w:hAnsi="宋体" w:eastAsia="宋体" w:cs="宋体"/>
          <w:color w:val="auto"/>
          <w:sz w:val="22"/>
          <w:szCs w:val="22"/>
          <w:highlight w:val="none"/>
          <w:lang w:val="en-US" w:eastAsia="zh-CN"/>
        </w:rPr>
        <w:t>标准</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_Toc1455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8</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_Toc31152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七</w:t>
      </w:r>
      <w:r>
        <w:rPr>
          <w:rFonts w:hint="eastAsia" w:ascii="宋体" w:hAnsi="宋体" w:eastAsia="宋体" w:cs="宋体"/>
          <w:color w:val="auto"/>
          <w:sz w:val="22"/>
          <w:szCs w:val="22"/>
          <w:highlight w:val="none"/>
        </w:rPr>
        <w:t>）绩效评价工作过程</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_Toc31152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8</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_Toc18458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四、综合评价情况及评价结论</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_Toc18458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9</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_Toc28232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（一）评价得分情况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_Toc28232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9</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_Toc21869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（二）综合评价结论</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_Toc21869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10</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_Toc10526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五、绩效评价指标分析</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_Toc10526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10</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_Toc4122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（一）项目决策情况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_Toc4122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10</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_Toc31917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（二）项目过程情况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_Toc31917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13</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_Toc15186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（三）项目产出情况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_Toc15186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15</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_Toc30581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（四）项目效益情况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_Toc30581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_Toc2888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六、主要经验及做法、存在的问题及原因分析</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_Toc2888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17</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_Toc9676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（一）主要经验及做法</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_Toc9676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17</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_Toc2105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（二）存在的问题</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_Toc2105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18</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_Toc28465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七、有关建议</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_Toc28465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18</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_Toc25344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八、其他需要说明的问题</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_Toc25344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18</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_Toc21281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九、绩效评价结果应用建议</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_Toc21281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18</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_Toc28422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附件1：绩效评价指标体系及综合评价表</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_Toc28422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20</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_Toc26858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附件2：基础表</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_Toc26858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ageBreakBefore w:val="0"/>
        <w:kinsoku/>
        <w:wordWrap/>
        <w:overflowPunct/>
        <w:topLinePunct w:val="0"/>
        <w:autoSpaceDE/>
        <w:autoSpaceDN/>
        <w:bidi w:val="0"/>
        <w:spacing w:line="360" w:lineRule="exact"/>
        <w:ind w:firstLine="482"/>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_Toc4744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附件3：问卷调查分析报告</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_Toc4744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27</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ageBreakBefore w:val="0"/>
        <w:kinsoku/>
        <w:wordWrap/>
        <w:overflowPunct/>
        <w:topLinePunct w:val="0"/>
        <w:autoSpaceDE/>
        <w:autoSpaceDN/>
        <w:bidi w:val="0"/>
        <w:spacing w:line="360" w:lineRule="exact"/>
        <w:ind w:firstLine="482"/>
        <w:rPr>
          <w:rFonts w:hint="eastAsia" w:ascii="宋体" w:hAnsi="宋体" w:eastAsia="宋体" w:cs="宋体"/>
          <w:color w:val="auto"/>
          <w:sz w:val="22"/>
          <w:szCs w:val="22"/>
          <w:highlight w:val="none"/>
        </w:rPr>
      </w:pPr>
    </w:p>
    <w:p>
      <w:pPr>
        <w:pageBreakBefore w:val="0"/>
        <w:kinsoku/>
        <w:wordWrap/>
        <w:overflowPunct/>
        <w:topLinePunct w:val="0"/>
        <w:autoSpaceDE/>
        <w:autoSpaceDN/>
        <w:bidi w:val="0"/>
        <w:spacing w:line="360" w:lineRule="exact"/>
        <w:ind w:firstLine="482"/>
        <w:rPr>
          <w:rFonts w:hint="eastAsia" w:ascii="宋体" w:hAnsi="宋体" w:eastAsia="宋体" w:cs="宋体"/>
          <w:color w:val="auto"/>
          <w:sz w:val="22"/>
          <w:szCs w:val="22"/>
          <w:highlight w:val="none"/>
        </w:rPr>
      </w:pPr>
    </w:p>
    <w:p>
      <w:pPr>
        <w:pageBreakBefore w:val="0"/>
        <w:kinsoku/>
        <w:wordWrap/>
        <w:overflowPunct/>
        <w:topLinePunct w:val="0"/>
        <w:autoSpaceDE/>
        <w:autoSpaceDN/>
        <w:bidi w:val="0"/>
        <w:spacing w:line="360" w:lineRule="exact"/>
        <w:ind w:firstLine="482"/>
        <w:rPr>
          <w:rFonts w:hint="eastAsia" w:ascii="宋体" w:hAnsi="宋体" w:eastAsia="宋体" w:cs="宋体"/>
          <w:color w:val="auto"/>
          <w:sz w:val="22"/>
          <w:szCs w:val="22"/>
          <w:highlight w:val="none"/>
        </w:rPr>
      </w:pPr>
    </w:p>
    <w:p>
      <w:pPr>
        <w:pageBreakBefore w:val="0"/>
        <w:kinsoku/>
        <w:wordWrap/>
        <w:overflowPunct/>
        <w:topLinePunct w:val="0"/>
        <w:autoSpaceDE/>
        <w:autoSpaceDN/>
        <w:bidi w:val="0"/>
        <w:spacing w:line="360" w:lineRule="exact"/>
        <w:ind w:firstLine="482"/>
        <w:rPr>
          <w:rFonts w:hint="eastAsia" w:ascii="宋体" w:hAnsi="宋体" w:eastAsia="宋体" w:cs="宋体"/>
          <w:color w:val="auto"/>
          <w:sz w:val="22"/>
          <w:szCs w:val="22"/>
          <w:highlight w:val="none"/>
        </w:rPr>
      </w:pPr>
    </w:p>
    <w:p>
      <w:pPr>
        <w:pageBreakBefore w:val="0"/>
        <w:kinsoku/>
        <w:wordWrap/>
        <w:overflowPunct/>
        <w:topLinePunct w:val="0"/>
        <w:autoSpaceDE/>
        <w:autoSpaceDN/>
        <w:bidi w:val="0"/>
        <w:spacing w:line="360" w:lineRule="exact"/>
        <w:ind w:firstLine="482"/>
        <w:rPr>
          <w:rFonts w:hint="eastAsia" w:ascii="宋体" w:hAnsi="宋体" w:eastAsia="宋体" w:cs="宋体"/>
          <w:color w:val="auto"/>
          <w:sz w:val="22"/>
          <w:szCs w:val="22"/>
          <w:highlight w:val="none"/>
        </w:rPr>
      </w:pPr>
    </w:p>
    <w:p>
      <w:pPr>
        <w:pageBreakBefore w:val="0"/>
        <w:kinsoku/>
        <w:wordWrap/>
        <w:overflowPunct/>
        <w:topLinePunct w:val="0"/>
        <w:autoSpaceDE/>
        <w:autoSpaceDN/>
        <w:bidi w:val="0"/>
        <w:spacing w:line="360" w:lineRule="exact"/>
        <w:ind w:firstLine="482"/>
        <w:rPr>
          <w:rFonts w:hint="eastAsia" w:ascii="宋体" w:hAnsi="宋体" w:eastAsia="宋体" w:cs="宋体"/>
          <w:color w:val="auto"/>
          <w:sz w:val="22"/>
          <w:szCs w:val="22"/>
          <w:highlight w:val="none"/>
        </w:rPr>
      </w:pPr>
    </w:p>
    <w:p>
      <w:pPr>
        <w:pageBreakBefore w:val="0"/>
        <w:kinsoku/>
        <w:wordWrap/>
        <w:overflowPunct/>
        <w:topLinePunct w:val="0"/>
        <w:autoSpaceDE/>
        <w:autoSpaceDN/>
        <w:bidi w:val="0"/>
        <w:spacing w:line="360" w:lineRule="exact"/>
        <w:ind w:firstLine="482"/>
        <w:rPr>
          <w:rFonts w:hint="eastAsia" w:ascii="宋体" w:hAnsi="宋体" w:eastAsia="宋体" w:cs="宋体"/>
          <w:color w:val="auto"/>
          <w:sz w:val="22"/>
          <w:szCs w:val="22"/>
          <w:highlight w:val="none"/>
        </w:rPr>
      </w:pPr>
    </w:p>
    <w:p>
      <w:pPr>
        <w:keepNext w:val="0"/>
        <w:keepLines w:val="0"/>
        <w:pageBreakBefore w:val="0"/>
        <w:widowControl w:val="0"/>
        <w:kinsoku/>
        <w:wordWrap/>
        <w:overflowPunct/>
        <w:topLinePunct w:val="0"/>
        <w:autoSpaceDE/>
        <w:autoSpaceDN/>
        <w:bidi w:val="0"/>
        <w:adjustRightInd/>
        <w:snapToGrid/>
        <w:spacing w:line="700" w:lineRule="exact"/>
        <w:ind w:left="0" w:leftChars="0" w:firstLine="0" w:firstLineChars="0"/>
        <w:jc w:val="left"/>
        <w:textAlignment w:val="auto"/>
        <w:outlineLvl w:val="9"/>
        <w:rPr>
          <w:rFonts w:ascii="Times New Roman" w:hAnsi="Times New Roman" w:eastAsia="楷体_GB2312" w:cs="Times New Roman"/>
          <w:b/>
          <w:color w:val="auto"/>
          <w:sz w:val="48"/>
          <w:szCs w:val="48"/>
          <w:highlight w:val="none"/>
        </w:rPr>
      </w:pPr>
      <w:r>
        <w:rPr>
          <w:rFonts w:ascii="Times New Roman" w:hAnsi="Times New Roman" w:eastAsia="宋体" w:cs="Times New Roman"/>
          <w:b/>
          <w:color w:val="auto"/>
          <w:highlight w:val="none"/>
        </w:rPr>
        <w:fldChar w:fldCharType="end"/>
      </w:r>
      <w:bookmarkStart w:id="12" w:name="_Toc25378"/>
      <w:bookmarkStart w:id="13" w:name="_Toc26455"/>
      <w:bookmarkStart w:id="14" w:name="_Toc5622"/>
      <w:bookmarkStart w:id="15" w:name="_Toc30731"/>
      <w:bookmarkStart w:id="16" w:name="_Toc11873"/>
      <w:bookmarkStart w:id="17" w:name="_Toc17971"/>
      <w:r>
        <w:rPr>
          <w:rFonts w:ascii="Times New Roman" w:hAnsi="Times New Roman" w:eastAsia="仿宋_GB2312" w:cs="Times New Roman"/>
          <w:b/>
          <w:color w:val="auto"/>
          <w:sz w:val="48"/>
          <w:szCs w:val="48"/>
          <w:highlight w:val="none"/>
        </w:rPr>
        <w:t>新疆驰远天合有限责任会计师事务所</w:t>
      </w:r>
      <w:bookmarkEnd w:id="12"/>
      <w:bookmarkEnd w:id="13"/>
      <w:bookmarkEnd w:id="14"/>
      <w:bookmarkEnd w:id="15"/>
      <w:bookmarkEnd w:id="16"/>
      <w:bookmarkEnd w:id="17"/>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Xinjiang Chiyuantianhe Certified Public Accountants Co.</w:t>
      </w:r>
      <w:r>
        <w:rPr>
          <w:rFonts w:hint="eastAsia" w:eastAsia="宋体" w:cs="Times New Roman"/>
          <w:color w:val="auto"/>
          <w:sz w:val="24"/>
          <w:szCs w:val="24"/>
          <w:highlight w:val="none"/>
          <w:lang w:eastAsia="zh-CN"/>
        </w:rPr>
        <w:t>，</w:t>
      </w:r>
      <w:r>
        <w:rPr>
          <w:rFonts w:ascii="Times New Roman" w:hAnsi="Times New Roman" w:eastAsia="宋体" w:cs="Times New Roman"/>
          <w:color w:val="auto"/>
          <w:sz w:val="24"/>
          <w:szCs w:val="24"/>
          <w:highlight w:val="none"/>
        </w:rPr>
        <w:t>Ltd.</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outlineLvl w:val="0"/>
        <w:rPr>
          <w:rFonts w:ascii="Times New Roman" w:hAnsi="Times New Roman" w:eastAsia="宋体" w:cs="Times New Roman"/>
          <w:color w:val="auto"/>
          <w:highlight w:val="none"/>
        </w:rPr>
      </w:pPr>
      <w:bookmarkStart w:id="18" w:name="_Toc23718"/>
      <w:bookmarkStart w:id="19" w:name="_Toc29028"/>
      <w:bookmarkStart w:id="20" w:name="_Toc4177"/>
      <w:bookmarkStart w:id="21" w:name="_Toc21607"/>
      <w:bookmarkStart w:id="22" w:name="_Toc5204"/>
      <w:bookmarkStart w:id="23" w:name="_Toc11722"/>
      <w:r>
        <w:rPr>
          <w:rFonts w:ascii="Times New Roman" w:hAnsi="Times New Roman" w:eastAsia="宋体" w:cs="Times New Roman"/>
          <w:b/>
          <w:color w:val="auto"/>
          <w:spacing w:val="66"/>
          <w:kern w:val="0"/>
          <w:sz w:val="44"/>
          <w:szCs w:val="44"/>
          <w:highlight w:val="none"/>
          <w:fitText w:val="3300" w:id="1"/>
        </w:rPr>
        <w:t>绩效评价报</w:t>
      </w:r>
      <w:r>
        <w:rPr>
          <w:rFonts w:ascii="Times New Roman" w:hAnsi="Times New Roman" w:eastAsia="宋体" w:cs="Times New Roman"/>
          <w:b/>
          <w:color w:val="auto"/>
          <w:spacing w:val="0"/>
          <w:kern w:val="0"/>
          <w:sz w:val="44"/>
          <w:szCs w:val="44"/>
          <w:highlight w:val="none"/>
          <w:fitText w:val="3300" w:id="1"/>
        </w:rPr>
        <w:t>告</w:t>
      </w:r>
      <w:bookmarkEnd w:id="18"/>
      <w:bookmarkEnd w:id="19"/>
      <w:bookmarkEnd w:id="20"/>
      <w:bookmarkEnd w:id="21"/>
      <w:bookmarkEnd w:id="22"/>
      <w:bookmarkEnd w:id="23"/>
    </w:p>
    <w:p>
      <w:pPr>
        <w:pageBreakBefore w:val="0"/>
        <w:kinsoku/>
        <w:wordWrap/>
        <w:overflowPunct/>
        <w:topLinePunct w:val="0"/>
        <w:autoSpaceDE/>
        <w:autoSpaceDN/>
        <w:bidi w:val="0"/>
        <w:adjustRightInd/>
        <w:snapToGrid/>
        <w:spacing w:line="360" w:lineRule="exact"/>
        <w:ind w:firstLine="0" w:firstLineChars="0"/>
        <w:jc w:val="center"/>
        <w:outlineLvl w:val="0"/>
        <w:rPr>
          <w:rFonts w:ascii="Times New Roman" w:hAnsi="Times New Roman" w:eastAsia="宋体" w:cs="Times New Roman"/>
          <w:color w:val="auto"/>
          <w:highlight w:val="none"/>
        </w:rPr>
      </w:pPr>
      <w:bookmarkStart w:id="24" w:name="_Toc558"/>
      <w:bookmarkStart w:id="25" w:name="_Toc4005"/>
      <w:bookmarkStart w:id="26" w:name="_Toc29279"/>
      <w:bookmarkStart w:id="27" w:name="_Toc2662"/>
      <w:bookmarkStart w:id="28" w:name="_Toc22944"/>
      <w:bookmarkStart w:id="29" w:name="_Toc3967"/>
      <w:r>
        <w:rPr>
          <w:rFonts w:ascii="Times New Roman" w:hAnsi="Times New Roman" w:eastAsia="宋体" w:cs="Times New Roman"/>
          <w:color w:val="auto"/>
          <w:highlight w:val="none"/>
        </w:rPr>
        <w:t>驰天会咨字</w:t>
      </w:r>
      <w:r>
        <w:rPr>
          <w:rFonts w:hint="eastAsia" w:ascii="Times New Roman" w:hAnsi="Times New Roman" w:cs="Times New Roman"/>
          <w:color w:val="auto"/>
          <w:highlight w:val="none"/>
        </w:rPr>
        <w:t>〔</w:t>
      </w:r>
      <w:r>
        <w:rPr>
          <w:rFonts w:ascii="Times New Roman" w:hAnsi="Times New Roman" w:cs="Times New Roman"/>
          <w:color w:val="auto"/>
          <w:highlight w:val="none"/>
        </w:rPr>
        <w:t>20</w:t>
      </w:r>
      <w:r>
        <w:rPr>
          <w:rFonts w:hint="default" w:ascii="Times New Roman" w:hAnsi="Times New Roman" w:cs="Times New Roman"/>
          <w:color w:val="auto"/>
          <w:highlight w:val="none"/>
          <w:lang w:val="en-US" w:eastAsia="zh-CN"/>
        </w:rPr>
        <w:t>24</w:t>
      </w:r>
      <w:r>
        <w:rPr>
          <w:rFonts w:hint="eastAsia" w:ascii="Times New Roman" w:hAnsi="Times New Roman" w:cs="Times New Roman"/>
          <w:color w:val="auto"/>
          <w:highlight w:val="none"/>
        </w:rPr>
        <w:t>〕</w:t>
      </w:r>
      <w:r>
        <w:rPr>
          <w:rFonts w:ascii="Times New Roman" w:hAnsi="Times New Roman" w:eastAsia="宋体" w:cs="Times New Roman"/>
          <w:color w:val="auto"/>
          <w:highlight w:val="none"/>
        </w:rPr>
        <w:t>1-</w:t>
      </w:r>
      <w:r>
        <w:rPr>
          <w:rFonts w:hint="default" w:ascii="Times New Roman" w:hAnsi="Times New Roman" w:eastAsia="宋体" w:cs="Times New Roman"/>
          <w:color w:val="auto"/>
          <w:highlight w:val="none"/>
          <w:lang w:val="en-US" w:eastAsia="zh-CN"/>
        </w:rPr>
        <w:t>0143</w:t>
      </w:r>
      <w:r>
        <w:rPr>
          <w:rFonts w:ascii="Times New Roman" w:hAnsi="Times New Roman" w:eastAsia="宋体" w:cs="Times New Roman"/>
          <w:color w:val="auto"/>
          <w:highlight w:val="none"/>
        </w:rPr>
        <w:t>号</w:t>
      </w:r>
      <w:bookmarkEnd w:id="24"/>
      <w:bookmarkEnd w:id="25"/>
      <w:bookmarkEnd w:id="26"/>
      <w:bookmarkEnd w:id="27"/>
      <w:bookmarkEnd w:id="28"/>
      <w:bookmarkEnd w:id="29"/>
    </w:p>
    <w:p>
      <w:pPr>
        <w:pageBreakBefore w:val="0"/>
        <w:kinsoku/>
        <w:wordWrap/>
        <w:overflowPunct/>
        <w:topLinePunct w:val="0"/>
        <w:autoSpaceDE/>
        <w:autoSpaceDN/>
        <w:bidi w:val="0"/>
        <w:spacing w:line="360" w:lineRule="exact"/>
        <w:ind w:firstLine="0" w:firstLineChars="0"/>
        <w:rPr>
          <w:rFonts w:ascii="Times New Roman" w:hAnsi="Times New Roman" w:eastAsia="宋体" w:cs="Times New Roman"/>
          <w:color w:val="auto"/>
          <w:highlight w:val="none"/>
        </w:rPr>
      </w:pPr>
      <w:r>
        <w:rPr>
          <w:rFonts w:ascii="Times New Roman" w:hAnsi="Times New Roman" w:eastAsia="宋体" w:cs="Times New Roman"/>
          <w:color w:val="auto"/>
          <w:highlight w:val="none"/>
        </w:rPr>
        <w:t>巴楚县财政局：</w:t>
      </w:r>
    </w:p>
    <w:p>
      <w:pPr>
        <w:pageBreakBefore w:val="0"/>
        <w:kinsoku/>
        <w:wordWrap/>
        <w:overflowPunct/>
        <w:topLinePunct w:val="0"/>
        <w:autoSpaceDE/>
        <w:autoSpaceDN/>
        <w:bidi w:val="0"/>
        <w:spacing w:line="360" w:lineRule="exact"/>
        <w:ind w:firstLine="420"/>
        <w:rPr>
          <w:rFonts w:ascii="Times New Roman" w:hAnsi="Times New Roman" w:eastAsia="宋体" w:cs="Times New Roman"/>
          <w:color w:val="auto"/>
          <w:highlight w:val="none"/>
        </w:rPr>
      </w:pPr>
      <w:r>
        <w:rPr>
          <w:rFonts w:ascii="Times New Roman" w:hAnsi="Times New Roman" w:cs="Times New Roman"/>
          <w:color w:val="auto"/>
          <w:highlight w:val="none"/>
        </w:rPr>
        <w:t>为贯彻落实全面推进预算绩效管理工作的要求，完善部门预算管理，强化预算支出责任，提高财政资金的使用效益，根据《中华人民共和国预算法》《中共中央国务院关于全面实施预算绩效管理的意见》（中发〔2018〕34号）、《项目支出绩效评价管理办法》（财预〔2020〕10号）、</w:t>
      </w:r>
      <w:r>
        <w:rPr>
          <w:rFonts w:ascii="Times New Roman" w:hAnsi="Times New Roman" w:cs="Times New Roman"/>
          <w:bCs/>
          <w:color w:val="auto"/>
          <w:highlight w:val="none"/>
        </w:rPr>
        <w:t>《关于进一步加强和规范第三方机构参与预算绩效管理的通知》（新财预〔2021〕49号）</w:t>
      </w:r>
      <w:r>
        <w:rPr>
          <w:rFonts w:ascii="Times New Roman" w:hAnsi="Times New Roman" w:cs="Times New Roman"/>
          <w:color w:val="auto"/>
          <w:highlight w:val="none"/>
        </w:rPr>
        <w:t>等系列文件的要求，受巴楚县财政局的委托，新疆驰远天合有限责任会计师事务所以第三方社会评价机构的身份，承担了巴楚县2023年耕地地力保护补贴项目的绩效评价工作并形成绩效评价报告，</w:t>
      </w:r>
      <w:r>
        <w:rPr>
          <w:rFonts w:ascii="Times New Roman" w:hAnsi="Times New Roman" w:eastAsia="宋体" w:cs="Times New Roman"/>
          <w:color w:val="auto"/>
          <w:highlight w:val="none"/>
        </w:rPr>
        <w:t>巴楚县农业农村局负责提供与本次绩效评价相关的项目资料并保证项目资料的真实、合法、准确和完整，现将项目绩效评价情况报告如下：</w:t>
      </w:r>
    </w:p>
    <w:p>
      <w:pPr>
        <w:pageBreakBefore w:val="0"/>
        <w:kinsoku/>
        <w:wordWrap/>
        <w:overflowPunct/>
        <w:topLinePunct w:val="0"/>
        <w:autoSpaceDE/>
        <w:autoSpaceDN/>
        <w:bidi w:val="0"/>
        <w:spacing w:line="360" w:lineRule="exact"/>
        <w:ind w:firstLine="482"/>
        <w:rPr>
          <w:b/>
          <w:bCs/>
          <w:color w:val="auto"/>
          <w:sz w:val="24"/>
          <w:szCs w:val="28"/>
          <w:highlight w:val="none"/>
        </w:rPr>
      </w:pPr>
      <w:bookmarkStart w:id="30" w:name="_Toc20584"/>
      <w:bookmarkStart w:id="31" w:name="_Toc68364657"/>
      <w:bookmarkStart w:id="32" w:name="_Toc13307"/>
      <w:r>
        <w:rPr>
          <w:b/>
          <w:bCs/>
          <w:color w:val="auto"/>
          <w:sz w:val="24"/>
          <w:szCs w:val="28"/>
          <w:highlight w:val="none"/>
        </w:rPr>
        <w:t>一、</w:t>
      </w:r>
      <w:r>
        <w:rPr>
          <w:rFonts w:hint="default"/>
          <w:b/>
          <w:bCs/>
          <w:color w:val="auto"/>
          <w:sz w:val="24"/>
          <w:szCs w:val="28"/>
          <w:highlight w:val="none"/>
        </w:rPr>
        <w:t>项目</w:t>
      </w:r>
      <w:r>
        <w:rPr>
          <w:b/>
          <w:bCs/>
          <w:color w:val="auto"/>
          <w:sz w:val="24"/>
          <w:szCs w:val="28"/>
          <w:highlight w:val="none"/>
        </w:rPr>
        <w:t>基本情况</w:t>
      </w:r>
      <w:bookmarkEnd w:id="30"/>
      <w:bookmarkEnd w:id="31"/>
      <w:bookmarkEnd w:id="32"/>
    </w:p>
    <w:p>
      <w:pPr>
        <w:pageBreakBefore w:val="0"/>
        <w:kinsoku/>
        <w:wordWrap/>
        <w:overflowPunct/>
        <w:topLinePunct w:val="0"/>
        <w:autoSpaceDE/>
        <w:autoSpaceDN/>
        <w:bidi w:val="0"/>
        <w:spacing w:line="360" w:lineRule="exact"/>
        <w:ind w:firstLine="482"/>
        <w:rPr>
          <w:b/>
          <w:bCs/>
          <w:color w:val="auto"/>
          <w:sz w:val="24"/>
          <w:szCs w:val="28"/>
          <w:highlight w:val="none"/>
        </w:rPr>
      </w:pPr>
      <w:bookmarkStart w:id="33" w:name="_Toc1900"/>
      <w:bookmarkStart w:id="34" w:name="_Toc8708"/>
      <w:r>
        <w:rPr>
          <w:rFonts w:hint="default"/>
          <w:b/>
          <w:bCs/>
          <w:color w:val="auto"/>
          <w:sz w:val="24"/>
          <w:szCs w:val="28"/>
          <w:highlight w:val="none"/>
        </w:rPr>
        <w:t>（一）</w:t>
      </w:r>
      <w:r>
        <w:rPr>
          <w:b/>
          <w:bCs/>
          <w:color w:val="auto"/>
          <w:sz w:val="24"/>
          <w:szCs w:val="28"/>
          <w:highlight w:val="none"/>
        </w:rPr>
        <w:t>项目背景及</w:t>
      </w:r>
      <w:r>
        <w:rPr>
          <w:rFonts w:hint="default"/>
          <w:b/>
          <w:bCs/>
          <w:color w:val="auto"/>
          <w:sz w:val="24"/>
          <w:szCs w:val="28"/>
          <w:highlight w:val="none"/>
        </w:rPr>
        <w:t>立项</w:t>
      </w:r>
      <w:bookmarkEnd w:id="33"/>
      <w:bookmarkEnd w:id="34"/>
    </w:p>
    <w:p>
      <w:pPr>
        <w:pageBreakBefore w:val="0"/>
        <w:kinsoku/>
        <w:wordWrap/>
        <w:overflowPunct/>
        <w:topLinePunct w:val="0"/>
        <w:autoSpaceDE/>
        <w:autoSpaceDN/>
        <w:bidi w:val="0"/>
        <w:spacing w:line="360" w:lineRule="exact"/>
        <w:rPr>
          <w:rFonts w:hint="default" w:ascii="Times New Roman" w:hAnsi="Times New Roman" w:cs="Times New Roman"/>
          <w:color w:val="auto"/>
          <w:highlight w:val="none"/>
          <w:lang w:val="en-US" w:eastAsia="zh-CN"/>
        </w:rPr>
      </w:pPr>
      <w:bookmarkStart w:id="35" w:name="_Toc68364659"/>
      <w:r>
        <w:rPr>
          <w:rFonts w:hint="default" w:ascii="Times New Roman" w:hAnsi="Times New Roman" w:cs="Times New Roman"/>
          <w:color w:val="auto"/>
          <w:highlight w:val="none"/>
          <w:lang w:val="en-US" w:eastAsia="zh-CN"/>
        </w:rPr>
        <w:t xml:space="preserve">2016年，按照中央“稳增长、促改革、调结构、惠民生、防风险”总体部署，推进农业“三项补贴”由激励性补贴向功能性补贴转变、由覆盖性补贴向环节性补贴转变，提高补贴政策的指向性、精准性和实效性，鼓励农民主动保护耕地地力，实现“藏粮于地”的战略目标，国家财政部、农业部将原农作物“良种补贴、种粮农民直接补贴和农资综合补贴”合并为“农业支持保护补贴”，政策调整后主要支持内容为耕地地力保护和粮食适度规模经营。  </w:t>
      </w:r>
    </w:p>
    <w:p>
      <w:pPr>
        <w:pageBreakBefore w:val="0"/>
        <w:kinsoku/>
        <w:wordWrap/>
        <w:overflowPunct/>
        <w:topLinePunct w:val="0"/>
        <w:autoSpaceDE/>
        <w:autoSpaceDN/>
        <w:bidi w:val="0"/>
        <w:spacing w:line="360" w:lineRule="exact"/>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为切实做好农业支持保护补贴工作，支持耕地地力保护，根据喀什地区财政局《关于提前下达2023年中央农业生产发展资金</w:t>
      </w:r>
      <w:r>
        <w:rPr>
          <w:rFonts w:hint="eastAsia" w:cs="Times New Roman"/>
          <w:color w:val="auto"/>
          <w:highlight w:val="none"/>
          <w:lang w:val="en-US" w:eastAsia="zh-CN"/>
        </w:rPr>
        <w:t>（耕地保护补贴）</w:t>
      </w:r>
      <w:r>
        <w:rPr>
          <w:rFonts w:hint="default" w:ascii="Times New Roman" w:hAnsi="Times New Roman" w:cs="Times New Roman"/>
          <w:color w:val="auto"/>
          <w:highlight w:val="none"/>
          <w:lang w:val="en-US" w:eastAsia="zh-CN"/>
        </w:rPr>
        <w:t>预算的通知》（喀地财农〔2022〕31号）、《关于提前下达2023年自治区农业发展资金（耕地地力保护补贴）预算的通知）》（喀地财农〔2022〕40号）等政策文件要求，巴楚县农业农村局加大耕地地力保护补贴力度，通过保障粮食等重要农产品有效供给和促进农民持续增收为重点，完善耕地地力保护补贴政策体系，引导农民自觉提升耕地地力，推动粮食生产能力稳步提升，提高农民收入。</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36" w:name="_Toc547"/>
      <w:bookmarkStart w:id="37" w:name="_Toc32207"/>
      <w:r>
        <w:rPr>
          <w:rFonts w:hint="default"/>
          <w:b/>
          <w:bCs/>
          <w:color w:val="auto"/>
          <w:sz w:val="24"/>
          <w:szCs w:val="28"/>
          <w:highlight w:val="none"/>
          <w:lang w:val="en-US" w:eastAsia="zh-CN"/>
        </w:rPr>
        <w:t>（二）项目组织管理</w:t>
      </w:r>
      <w:bookmarkEnd w:id="36"/>
      <w:bookmarkEnd w:id="37"/>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1.补助对象及内容</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巴楚县2023年耕地地力保护补贴项目</w:t>
      </w:r>
      <w:r>
        <w:rPr>
          <w:rFonts w:hint="default" w:ascii="Times New Roman" w:hAnsi="Times New Roman" w:cs="Times New Roman"/>
          <w:color w:val="auto"/>
          <w:highlight w:val="none"/>
          <w:lang w:val="en-US" w:eastAsia="zh-CN"/>
        </w:rPr>
        <w:t>补助对象为</w:t>
      </w:r>
      <w:r>
        <w:rPr>
          <w:rFonts w:hint="default" w:ascii="Times New Roman" w:hAnsi="Times New Roman" w:cs="Times New Roman"/>
          <w:color w:val="auto"/>
          <w:highlight w:val="none"/>
        </w:rPr>
        <w:t>全</w:t>
      </w:r>
      <w:r>
        <w:rPr>
          <w:rFonts w:hint="default" w:ascii="Times New Roman" w:hAnsi="Times New Roman" w:cs="Times New Roman"/>
          <w:color w:val="auto"/>
          <w:highlight w:val="none"/>
          <w:lang w:val="en-US" w:eastAsia="zh-CN"/>
        </w:rPr>
        <w:t>县</w:t>
      </w:r>
      <w:r>
        <w:rPr>
          <w:rFonts w:hint="default" w:ascii="Times New Roman" w:hAnsi="Times New Roman" w:cs="Times New Roman"/>
          <w:color w:val="auto"/>
          <w:highlight w:val="none"/>
        </w:rPr>
        <w:t>各乡镇所有合法的实际农业种植者（含农场职工）。</w:t>
      </w:r>
      <w:r>
        <w:rPr>
          <w:rFonts w:hint="default" w:ascii="Times New Roman" w:hAnsi="Times New Roman" w:cs="Times New Roman"/>
          <w:color w:val="auto"/>
          <w:highlight w:val="none"/>
          <w:lang w:val="en-US" w:eastAsia="zh-CN"/>
        </w:rPr>
        <w:t>按照工作部署安排，</w:t>
      </w:r>
      <w:r>
        <w:rPr>
          <w:rFonts w:hint="default" w:ascii="Times New Roman" w:hAnsi="Times New Roman" w:cs="Times New Roman"/>
          <w:color w:val="auto"/>
          <w:highlight w:val="none"/>
        </w:rPr>
        <w:t>各个乡镇对辖区内耕地面积及人员进行统计</w:t>
      </w:r>
      <w:r>
        <w:rPr>
          <w:rFonts w:hint="default" w:ascii="Times New Roman" w:hAnsi="Times New Roman" w:cs="Times New Roman"/>
          <w:color w:val="auto"/>
          <w:highlight w:val="none"/>
          <w:lang w:val="en-US" w:eastAsia="zh-CN"/>
        </w:rPr>
        <w:t>汇总，</w:t>
      </w:r>
      <w:r>
        <w:rPr>
          <w:rFonts w:hint="default" w:ascii="Times New Roman" w:hAnsi="Times New Roman" w:cs="Times New Roman"/>
          <w:color w:val="auto"/>
          <w:highlight w:val="none"/>
        </w:rPr>
        <w:t>巴楚县农业农村局对各乡镇确定的耕地补助面积及相关材料进行实地核实，</w:t>
      </w:r>
      <w:r>
        <w:rPr>
          <w:rFonts w:hint="default" w:ascii="Times New Roman" w:hAnsi="Times New Roman" w:cs="Times New Roman"/>
          <w:color w:val="auto"/>
          <w:highlight w:val="none"/>
          <w:lang w:val="en-US" w:eastAsia="zh-CN"/>
        </w:rPr>
        <w:t>最终确认2023年度</w:t>
      </w:r>
      <w:r>
        <w:rPr>
          <w:rFonts w:hint="default" w:ascii="Times New Roman" w:hAnsi="Times New Roman" w:cs="Times New Roman"/>
          <w:b w:val="0"/>
          <w:bCs w:val="0"/>
          <w:color w:val="auto"/>
          <w:highlight w:val="none"/>
          <w:lang w:val="en-US" w:eastAsia="zh-CN"/>
        </w:rPr>
        <w:t>巴楚县11个乡镇耕地地力保护补贴面积共计</w:t>
      </w:r>
      <w:r>
        <w:rPr>
          <w:rFonts w:hint="eastAsia" w:cs="Times New Roman"/>
          <w:b w:val="0"/>
          <w:bCs w:val="0"/>
          <w:color w:val="auto"/>
          <w:highlight w:val="none"/>
          <w:lang w:val="en-US" w:eastAsia="zh-CN"/>
        </w:rPr>
        <w:t>271800.18亩</w:t>
      </w:r>
      <w:r>
        <w:rPr>
          <w:rFonts w:hint="default" w:ascii="Times New Roman" w:hAnsi="Times New Roman" w:cs="Times New Roman"/>
          <w:b w:val="0"/>
          <w:bCs w:val="0"/>
          <w:color w:val="auto"/>
          <w:highlight w:val="none"/>
          <w:lang w:val="en-US" w:eastAsia="zh-CN"/>
        </w:rPr>
        <w:t>，其中：</w:t>
      </w:r>
      <w:r>
        <w:rPr>
          <w:rFonts w:hint="default" w:ascii="Times New Roman" w:hAnsi="Times New Roman" w:cs="Times New Roman"/>
          <w:color w:val="auto"/>
          <w:highlight w:val="none"/>
        </w:rPr>
        <w:t>冬小麦补助面积</w:t>
      </w:r>
      <w:r>
        <w:rPr>
          <w:rFonts w:hint="eastAsia" w:cs="Times New Roman"/>
          <w:color w:val="auto"/>
          <w:highlight w:val="none"/>
          <w:lang w:eastAsia="zh-CN"/>
        </w:rPr>
        <w:t>269060.8亩</w:t>
      </w:r>
      <w:r>
        <w:rPr>
          <w:rFonts w:hint="default" w:ascii="Times New Roman" w:hAnsi="Times New Roman" w:cs="Times New Roman"/>
          <w:color w:val="auto"/>
          <w:highlight w:val="none"/>
        </w:rPr>
        <w:t>；春小麦补助面积</w:t>
      </w:r>
      <w:r>
        <w:rPr>
          <w:rFonts w:hint="eastAsia" w:cs="Times New Roman"/>
          <w:color w:val="auto"/>
          <w:highlight w:val="none"/>
          <w:lang w:eastAsia="zh-CN"/>
        </w:rPr>
        <w:t>2739.38亩</w:t>
      </w:r>
      <w:r>
        <w:rPr>
          <w:rFonts w:hint="default" w:ascii="Times New Roman" w:hAnsi="Times New Roman" w:cs="Times New Roman"/>
          <w:color w:val="auto"/>
          <w:highlight w:val="none"/>
        </w:rPr>
        <w:t>。</w:t>
      </w:r>
    </w:p>
    <w:p>
      <w:pPr>
        <w:pageBreakBefore w:val="0"/>
        <w:kinsoku/>
        <w:wordWrap/>
        <w:overflowPunct/>
        <w:topLinePunct w:val="0"/>
        <w:autoSpaceDE/>
        <w:autoSpaceDN/>
        <w:bidi w:val="0"/>
        <w:spacing w:line="360" w:lineRule="exact"/>
        <w:ind w:firstLine="482"/>
        <w:rPr>
          <w:b/>
          <w:bCs/>
          <w:color w:val="auto"/>
          <w:sz w:val="24"/>
          <w:szCs w:val="28"/>
          <w:highlight w:val="none"/>
          <w:lang w:val="en-US" w:eastAsia="zh-CN"/>
        </w:rPr>
      </w:pPr>
      <w:r>
        <w:rPr>
          <w:rFonts w:hint="default"/>
          <w:b/>
          <w:bCs/>
          <w:color w:val="auto"/>
          <w:sz w:val="24"/>
          <w:szCs w:val="28"/>
          <w:highlight w:val="none"/>
          <w:lang w:val="en-US" w:eastAsia="zh-CN"/>
        </w:rPr>
        <w:t>2.</w:t>
      </w:r>
      <w:r>
        <w:rPr>
          <w:b/>
          <w:bCs/>
          <w:color w:val="auto"/>
          <w:sz w:val="24"/>
          <w:szCs w:val="28"/>
          <w:highlight w:val="none"/>
          <w:lang w:val="en-US" w:eastAsia="zh-CN"/>
        </w:rPr>
        <w:t>项目组织</w:t>
      </w:r>
      <w:r>
        <w:rPr>
          <w:rFonts w:hint="default"/>
          <w:b/>
          <w:bCs/>
          <w:color w:val="auto"/>
          <w:sz w:val="24"/>
          <w:szCs w:val="28"/>
          <w:highlight w:val="none"/>
          <w:lang w:val="en-US" w:eastAsia="zh-CN"/>
        </w:rPr>
        <w:t>管理</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ascii="Times New Roman" w:hAnsi="Times New Roman" w:cs="Times New Roman"/>
          <w:color w:val="auto"/>
          <w:highlight w:val="none"/>
        </w:rPr>
        <w:t>项目主管单位</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巴楚县农业农村局</w:t>
      </w:r>
      <w:r>
        <w:rPr>
          <w:rFonts w:ascii="Times New Roman" w:hAnsi="Times New Roman" w:cs="Times New Roman"/>
          <w:color w:val="auto"/>
          <w:highlight w:val="none"/>
        </w:rPr>
        <w:t>，负责根据</w:t>
      </w:r>
      <w:r>
        <w:rPr>
          <w:rFonts w:hint="default" w:ascii="Times New Roman" w:hAnsi="Times New Roman" w:cs="Times New Roman"/>
          <w:color w:val="auto"/>
          <w:highlight w:val="none"/>
        </w:rPr>
        <w:t>上级要求</w:t>
      </w:r>
      <w:r>
        <w:rPr>
          <w:rFonts w:ascii="Times New Roman" w:hAnsi="Times New Roman" w:cs="Times New Roman"/>
          <w:color w:val="auto"/>
          <w:highlight w:val="none"/>
        </w:rPr>
        <w:t>编制项目实施方案</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补贴</w:t>
      </w:r>
      <w:r>
        <w:rPr>
          <w:rFonts w:hint="default" w:ascii="Times New Roman" w:hAnsi="Times New Roman" w:cs="Times New Roman"/>
          <w:color w:val="auto"/>
          <w:highlight w:val="none"/>
          <w:lang w:eastAsia="zh-CN"/>
        </w:rPr>
        <w:t>面积核准以及资金监督使用和绩效落实</w:t>
      </w:r>
      <w:r>
        <w:rPr>
          <w:rFonts w:hint="default" w:ascii="Times New Roman" w:hAnsi="Times New Roman" w:cs="Times New Roman"/>
          <w:color w:val="auto"/>
          <w:highlight w:val="none"/>
        </w:rPr>
        <w:t>；负责补贴组织实施、协调推进、兑付资金、宣传解释和问题反馈等工作</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确保面积核实等外业工作保质保量落实到位</w:t>
      </w:r>
      <w:r>
        <w:rPr>
          <w:rFonts w:ascii="Times New Roman" w:hAnsi="Times New Roman" w:cs="Times New Roman"/>
          <w:color w:val="auto"/>
          <w:highlight w:val="none"/>
        </w:rPr>
        <w:t>。</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项目实施单位：巴楚县各乡镇，负责本辖区补贴的具体组织实施管理工作，做好补贴</w:t>
      </w:r>
    </w:p>
    <w:p>
      <w:pPr>
        <w:pageBreakBefore w:val="0"/>
        <w:kinsoku/>
        <w:wordWrap/>
        <w:overflowPunct/>
        <w:topLinePunct w:val="0"/>
        <w:autoSpaceDE/>
        <w:autoSpaceDN/>
        <w:bidi w:val="0"/>
        <w:spacing w:line="360" w:lineRule="exact"/>
        <w:ind w:firstLine="0" w:firstLineChars="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lang w:val="en-US" w:eastAsia="zh-CN"/>
        </w:rPr>
        <w:t>面积的申报、统计、核实、张榜公示、信息的审核和录入以及政策解释等工作</w:t>
      </w:r>
      <w:r>
        <w:rPr>
          <w:rFonts w:hint="default" w:ascii="Times New Roman" w:hAnsi="Times New Roman" w:cs="Times New Roman"/>
          <w:color w:val="auto"/>
          <w:highlight w:val="none"/>
          <w:lang w:eastAsia="zh-CN"/>
        </w:rPr>
        <w:t>。</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ascii="Times New Roman" w:hAnsi="Times New Roman" w:cs="Times New Roman"/>
          <w:color w:val="auto"/>
          <w:highlight w:val="none"/>
        </w:rPr>
        <w:t>项目资金监管单位：巴楚县财政局，负责</w:t>
      </w:r>
      <w:r>
        <w:rPr>
          <w:rFonts w:hint="default" w:ascii="Times New Roman" w:hAnsi="Times New Roman" w:cs="Times New Roman"/>
          <w:color w:val="auto"/>
          <w:highlight w:val="none"/>
        </w:rPr>
        <w:t>补贴资金落实、资金拨付、绩效评价和资金监管</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3.补助标准</w:t>
      </w:r>
    </w:p>
    <w:p>
      <w:pPr>
        <w:pageBreakBefore w:val="0"/>
        <w:kinsoku/>
        <w:wordWrap/>
        <w:overflowPunct/>
        <w:topLinePunct w:val="0"/>
        <w:autoSpaceDE/>
        <w:autoSpaceDN/>
        <w:bidi w:val="0"/>
        <w:spacing w:line="3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中央财政安排耕地地力保护补贴资金，对种植冬小麦的耕地，每亩补贴220元；对种植春小麦的耕地，每亩补贴115元。自治区财政安排农业生产发展（耕地地力保护补贴）资金在补齐中央财政耕地地力保护补贴资金缺口后，实施小麦种植一次性补贴，对种植冬小麦的耕地，每亩补贴10元；对种植春小麦的耕地，每亩补贴115元</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亩均补助合计共230元。</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4.补助程序</w:t>
      </w:r>
    </w:p>
    <w:p>
      <w:pPr>
        <w:pageBreakBefore w:val="0"/>
        <w:kinsoku/>
        <w:wordWrap/>
        <w:overflowPunct/>
        <w:topLinePunct w:val="0"/>
        <w:autoSpaceDE/>
        <w:autoSpaceDN/>
        <w:bidi w:val="0"/>
        <w:spacing w:line="360" w:lineRule="exact"/>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lang w:val="en-US" w:eastAsia="zh-CN"/>
        </w:rPr>
        <w:t>项目补助程序分为</w:t>
      </w:r>
      <w:r>
        <w:rPr>
          <w:rFonts w:hint="default" w:ascii="Times New Roman" w:hAnsi="Times New Roman" w:cs="Times New Roman"/>
          <w:color w:val="auto"/>
          <w:highlight w:val="none"/>
        </w:rPr>
        <w:t>“农户申报、核实公示、乡镇复核、核实认定、二次公示、发放补贴、录入系统”。</w:t>
      </w:r>
      <w:r>
        <w:rPr>
          <w:rFonts w:hint="default" w:ascii="Times New Roman" w:hAnsi="Times New Roman" w:cs="Times New Roman"/>
          <w:color w:val="auto"/>
          <w:highlight w:val="none"/>
          <w:lang w:val="en-US" w:eastAsia="zh-CN"/>
        </w:rPr>
        <w:t>具体如下：</w:t>
      </w:r>
    </w:p>
    <w:p>
      <w:pPr>
        <w:pageBreakBefore w:val="0"/>
        <w:kinsoku/>
        <w:wordWrap/>
        <w:overflowPunct/>
        <w:topLinePunct w:val="0"/>
        <w:autoSpaceDE/>
        <w:autoSpaceDN/>
        <w:bidi w:val="0"/>
        <w:spacing w:line="3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①</w:t>
      </w:r>
      <w:r>
        <w:rPr>
          <w:rFonts w:hint="default" w:ascii="Times New Roman" w:hAnsi="Times New Roman" w:cs="Times New Roman"/>
          <w:color w:val="auto"/>
          <w:highlight w:val="none"/>
        </w:rPr>
        <w:t>农户申报。农户（种植户）自愿申请，向村委会据实申报符合条件的耕地补贴面积。</w:t>
      </w:r>
    </w:p>
    <w:p>
      <w:pPr>
        <w:pageBreakBefore w:val="0"/>
        <w:kinsoku/>
        <w:wordWrap/>
        <w:overflowPunct/>
        <w:topLinePunct w:val="0"/>
        <w:autoSpaceDE/>
        <w:autoSpaceDN/>
        <w:bidi w:val="0"/>
        <w:spacing w:line="3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②</w:t>
      </w:r>
      <w:r>
        <w:rPr>
          <w:rFonts w:hint="default" w:ascii="Times New Roman" w:hAnsi="Times New Roman" w:cs="Times New Roman"/>
          <w:color w:val="auto"/>
          <w:highlight w:val="none"/>
        </w:rPr>
        <w:t>核实公示。村两委组织全面核实，进行实名公示，公示内容主要包括申报品种、申报面积等，公示时间不得少于5个工作日，公示无异议后报乡镇人民政府。</w:t>
      </w:r>
    </w:p>
    <w:p>
      <w:pPr>
        <w:pageBreakBefore w:val="0"/>
        <w:kinsoku/>
        <w:wordWrap/>
        <w:overflowPunct/>
        <w:topLinePunct w:val="0"/>
        <w:autoSpaceDE/>
        <w:autoSpaceDN/>
        <w:bidi w:val="0"/>
        <w:spacing w:line="3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③</w:t>
      </w:r>
      <w:r>
        <w:rPr>
          <w:rFonts w:hint="default" w:ascii="Times New Roman" w:hAnsi="Times New Roman" w:cs="Times New Roman"/>
          <w:color w:val="auto"/>
          <w:highlight w:val="none"/>
        </w:rPr>
        <w:t>乡镇复核。乡（镇）组织对村级上报的耕地补贴面积开展实地复核，无误后，报县农业农村部门核实认定。</w:t>
      </w:r>
    </w:p>
    <w:p>
      <w:pPr>
        <w:pageBreakBefore w:val="0"/>
        <w:kinsoku/>
        <w:wordWrap/>
        <w:overflowPunct/>
        <w:topLinePunct w:val="0"/>
        <w:autoSpaceDE/>
        <w:autoSpaceDN/>
        <w:bidi w:val="0"/>
        <w:spacing w:line="3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④</w:t>
      </w:r>
      <w:r>
        <w:rPr>
          <w:rFonts w:hint="default" w:ascii="Times New Roman" w:hAnsi="Times New Roman" w:cs="Times New Roman"/>
          <w:color w:val="auto"/>
          <w:highlight w:val="none"/>
        </w:rPr>
        <w:t>核实认定。县级农业农村部门牵头会同纪检监察、财政、自然资源等部门，对乡镇复核后的耕地补贴面积进行实地核实。</w:t>
      </w:r>
    </w:p>
    <w:p>
      <w:pPr>
        <w:pageBreakBefore w:val="0"/>
        <w:kinsoku/>
        <w:wordWrap/>
        <w:overflowPunct/>
        <w:topLinePunct w:val="0"/>
        <w:autoSpaceDE/>
        <w:autoSpaceDN/>
        <w:bidi w:val="0"/>
        <w:spacing w:line="3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⑤</w:t>
      </w:r>
      <w:r>
        <w:rPr>
          <w:rFonts w:hint="default" w:ascii="Times New Roman" w:hAnsi="Times New Roman" w:cs="Times New Roman"/>
          <w:color w:val="auto"/>
          <w:highlight w:val="none"/>
        </w:rPr>
        <w:t>二次公示。县核定无误后，委托村级在村委会进行二次公示，公示内容主要包括补贴面积、补贴金额等，公示时间不少于5个工作日。</w:t>
      </w:r>
    </w:p>
    <w:p>
      <w:pPr>
        <w:pageBreakBefore w:val="0"/>
        <w:kinsoku/>
        <w:wordWrap/>
        <w:overflowPunct/>
        <w:topLinePunct w:val="0"/>
        <w:autoSpaceDE/>
        <w:autoSpaceDN/>
        <w:bidi w:val="0"/>
        <w:spacing w:line="3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⑥</w:t>
      </w:r>
      <w:r>
        <w:rPr>
          <w:rFonts w:hint="default" w:ascii="Times New Roman" w:hAnsi="Times New Roman" w:cs="Times New Roman"/>
          <w:color w:val="auto"/>
          <w:highlight w:val="none"/>
        </w:rPr>
        <w:t>发放补贴。二次公示无异议后，由县农业农村部门向同级财政部门提供耕地补贴面积基础数据和补贴发放清单，并会同财政部门办理补贴兑付工作。在进行兑付前，要按照分户</w:t>
      </w:r>
    </w:p>
    <w:p>
      <w:pPr>
        <w:pageBreakBefore w:val="0"/>
        <w:kinsoku/>
        <w:wordWrap/>
        <w:overflowPunct/>
        <w:topLinePunct w:val="0"/>
        <w:autoSpaceDE/>
        <w:autoSpaceDN/>
        <w:bidi w:val="0"/>
        <w:spacing w:line="360" w:lineRule="exact"/>
        <w:ind w:left="0" w:leftChars="0" w:firstLine="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清册向农民发放补贴兑现通知书，农民领取补贴兑现通知书时在分户清册上签字、按手印后，组织补贴资金发放，明确补贴资金为“耕地地力保护补贴”。</w:t>
      </w:r>
      <w:r>
        <w:rPr>
          <w:rFonts w:hint="default" w:ascii="Times New Roman" w:hAnsi="Times New Roman" w:cs="Times New Roman"/>
          <w:color w:val="auto"/>
          <w:highlight w:val="none"/>
          <w:lang w:val="en-US" w:eastAsia="zh-CN"/>
        </w:rPr>
        <w:t>经</w:t>
      </w:r>
      <w:r>
        <w:rPr>
          <w:rFonts w:hint="default" w:ascii="Times New Roman" w:hAnsi="Times New Roman" w:cs="Times New Roman"/>
          <w:color w:val="auto"/>
          <w:highlight w:val="none"/>
        </w:rPr>
        <w:t>巴楚县财政局</w:t>
      </w:r>
      <w:r>
        <w:rPr>
          <w:rFonts w:hint="default" w:ascii="Times New Roman" w:hAnsi="Times New Roman" w:cs="Times New Roman"/>
          <w:color w:val="auto"/>
          <w:highlight w:val="none"/>
          <w:lang w:val="en-US" w:eastAsia="zh-CN"/>
        </w:rPr>
        <w:t>审核通过后，</w:t>
      </w:r>
      <w:r>
        <w:rPr>
          <w:rFonts w:hint="default" w:ascii="Times New Roman" w:hAnsi="Times New Roman" w:cs="Times New Roman"/>
          <w:color w:val="auto"/>
          <w:highlight w:val="none"/>
        </w:rPr>
        <w:t>将资金拨付至巴楚县农村信用合作联社惠民惠农一卡通代付户</w:t>
      </w:r>
      <w:r>
        <w:rPr>
          <w:rFonts w:hint="default" w:ascii="Times New Roman" w:hAnsi="Times New Roman" w:cs="Times New Roman"/>
          <w:color w:val="auto"/>
          <w:highlight w:val="none"/>
          <w:lang w:eastAsia="zh-CN"/>
        </w:rPr>
        <w:t>。</w:t>
      </w:r>
    </w:p>
    <w:p>
      <w:pPr>
        <w:pageBreakBefore w:val="0"/>
        <w:kinsoku/>
        <w:wordWrap/>
        <w:overflowPunct/>
        <w:topLinePunct w:val="0"/>
        <w:autoSpaceDE/>
        <w:autoSpaceDN/>
        <w:bidi w:val="0"/>
        <w:spacing w:line="3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⑦</w:t>
      </w:r>
      <w:r>
        <w:rPr>
          <w:rFonts w:hint="default" w:ascii="Times New Roman" w:hAnsi="Times New Roman" w:cs="Times New Roman"/>
          <w:color w:val="auto"/>
          <w:highlight w:val="none"/>
        </w:rPr>
        <w:t>录入系统。耕地补贴资金发放完毕后，由县农业农村部门通过合适载体进行公告，并组织乡村，对照发放清单录入自治区耕地地力保护补贴实时监测系统。</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38" w:name="_Toc10286"/>
      <w:r>
        <w:rPr>
          <w:rFonts w:hint="default"/>
          <w:b/>
          <w:bCs/>
          <w:color w:val="auto"/>
          <w:sz w:val="24"/>
          <w:szCs w:val="28"/>
          <w:highlight w:val="none"/>
          <w:lang w:val="en-US" w:eastAsia="zh-CN"/>
        </w:rPr>
        <w:t>5.补助工作完成情况</w:t>
      </w:r>
    </w:p>
    <w:bookmarkEnd w:id="38"/>
    <w:p>
      <w:pPr>
        <w:pageBreakBefore w:val="0"/>
        <w:kinsoku/>
        <w:wordWrap/>
        <w:overflowPunct/>
        <w:topLinePunct w:val="0"/>
        <w:autoSpaceDE/>
        <w:autoSpaceDN/>
        <w:bidi w:val="0"/>
        <w:spacing w:line="360" w:lineRule="exact"/>
        <w:ind w:left="0" w:leftChars="0" w:firstLine="420" w:firstLineChars="20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lang w:val="en-US" w:eastAsia="zh-CN"/>
        </w:rPr>
        <w:t>项目实施单位对2022年提前拨付实际种粮一次性补贴资金进行核减后，实际拨付冬小麦补助金额5</w:t>
      </w:r>
      <w:r>
        <w:rPr>
          <w:rFonts w:hint="eastAsia" w:cs="Times New Roman"/>
          <w:color w:val="auto"/>
          <w:highlight w:val="none"/>
          <w:lang w:val="en-US" w:eastAsia="zh-CN"/>
        </w:rPr>
        <w:t>，</w:t>
      </w:r>
      <w:r>
        <w:rPr>
          <w:rFonts w:hint="default" w:ascii="Times New Roman" w:hAnsi="Times New Roman" w:cs="Times New Roman"/>
          <w:color w:val="auto"/>
          <w:highlight w:val="none"/>
          <w:lang w:val="en-US" w:eastAsia="zh-CN"/>
        </w:rPr>
        <w:t>758.11万元，实际完成冬小麦补助面积</w:t>
      </w:r>
      <w:r>
        <w:rPr>
          <w:rFonts w:hint="eastAsia" w:cs="Times New Roman"/>
          <w:color w:val="auto"/>
          <w:highlight w:val="none"/>
          <w:lang w:val="en-US" w:eastAsia="zh-CN"/>
        </w:rPr>
        <w:t>269060.8亩</w:t>
      </w:r>
      <w:r>
        <w:rPr>
          <w:rFonts w:hint="default" w:ascii="Times New Roman" w:hAnsi="Times New Roman" w:cs="Times New Roman"/>
          <w:color w:val="auto"/>
          <w:highlight w:val="none"/>
          <w:lang w:val="en-US" w:eastAsia="zh-CN"/>
        </w:rPr>
        <w:t>，惠及</w:t>
      </w:r>
      <w:r>
        <w:rPr>
          <w:rFonts w:hint="eastAsia" w:cs="Times New Roman"/>
          <w:color w:val="auto"/>
          <w:highlight w:val="none"/>
          <w:lang w:val="en-US" w:eastAsia="zh-CN"/>
        </w:rPr>
        <w:t>25321人</w:t>
      </w:r>
      <w:r>
        <w:rPr>
          <w:rFonts w:hint="default" w:ascii="Times New Roman" w:hAnsi="Times New Roman" w:cs="Times New Roman"/>
          <w:color w:val="auto"/>
          <w:highlight w:val="none"/>
          <w:lang w:val="en-US" w:eastAsia="zh-CN"/>
        </w:rPr>
        <w:t>；实际拨付</w:t>
      </w:r>
      <w:r>
        <w:rPr>
          <w:rFonts w:hint="default" w:ascii="Times New Roman" w:hAnsi="Times New Roman" w:cs="Times New Roman"/>
          <w:b w:val="0"/>
          <w:bCs w:val="0"/>
          <w:color w:val="auto"/>
          <w:highlight w:val="none"/>
          <w:lang w:val="en-US" w:eastAsia="zh-CN"/>
        </w:rPr>
        <w:t>春小麦</w:t>
      </w:r>
      <w:r>
        <w:rPr>
          <w:rFonts w:hint="eastAsia" w:cs="Times New Roman"/>
          <w:b w:val="0"/>
          <w:bCs w:val="0"/>
          <w:color w:val="auto"/>
          <w:highlight w:val="none"/>
          <w:lang w:val="en-US" w:eastAsia="zh-CN"/>
        </w:rPr>
        <w:t>补助金额</w:t>
      </w:r>
      <w:r>
        <w:rPr>
          <w:rFonts w:hint="default" w:ascii="Times New Roman" w:hAnsi="Times New Roman" w:cs="Times New Roman"/>
          <w:b w:val="0"/>
          <w:bCs w:val="0"/>
          <w:color w:val="auto"/>
          <w:highlight w:val="none"/>
          <w:lang w:val="en-US" w:eastAsia="zh-CN"/>
        </w:rPr>
        <w:t>63万元</w:t>
      </w:r>
      <w:r>
        <w:rPr>
          <w:rFonts w:hint="eastAsia" w:cs="Times New Roman"/>
          <w:color w:val="auto"/>
          <w:highlight w:val="none"/>
          <w:lang w:val="en-US" w:eastAsia="zh-CN"/>
        </w:rPr>
        <w:t>，</w:t>
      </w:r>
      <w:r>
        <w:rPr>
          <w:rFonts w:hint="default" w:ascii="Times New Roman" w:hAnsi="Times New Roman" w:cs="Times New Roman"/>
          <w:color w:val="auto"/>
          <w:highlight w:val="none"/>
          <w:lang w:val="en-US" w:eastAsia="zh-CN"/>
        </w:rPr>
        <w:t>实际完成春小麦补助面积</w:t>
      </w:r>
      <w:r>
        <w:rPr>
          <w:rFonts w:hint="eastAsia" w:cs="Times New Roman"/>
          <w:color w:val="auto"/>
          <w:highlight w:val="none"/>
          <w:lang w:val="en-US" w:eastAsia="zh-CN"/>
        </w:rPr>
        <w:t>2739.38亩</w:t>
      </w:r>
      <w:r>
        <w:rPr>
          <w:rFonts w:hint="default" w:ascii="Times New Roman" w:hAnsi="Times New Roman" w:cs="Times New Roman"/>
          <w:color w:val="auto"/>
          <w:highlight w:val="none"/>
          <w:lang w:val="en-US" w:eastAsia="zh-CN"/>
        </w:rPr>
        <w:t>，惠及463人。</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39" w:name="_Toc20390"/>
      <w:bookmarkStart w:id="40" w:name="_Toc8575"/>
      <w:r>
        <w:rPr>
          <w:rFonts w:hint="default"/>
          <w:b/>
          <w:bCs/>
          <w:color w:val="auto"/>
          <w:sz w:val="24"/>
          <w:szCs w:val="28"/>
          <w:highlight w:val="none"/>
          <w:lang w:val="en-US" w:eastAsia="zh-CN"/>
        </w:rPr>
        <w:t>（三）资金投入和使用情况</w:t>
      </w:r>
      <w:bookmarkEnd w:id="39"/>
      <w:bookmarkEnd w:id="40"/>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1.预算安排情况</w:t>
      </w:r>
    </w:p>
    <w:p>
      <w:pPr>
        <w:pageBreakBefore w:val="0"/>
        <w:kinsoku/>
        <w:wordWrap/>
        <w:overflowPunct/>
        <w:topLinePunct w:val="0"/>
        <w:autoSpaceDE/>
        <w:autoSpaceDN/>
        <w:bidi w:val="0"/>
        <w:spacing w:line="360" w:lineRule="exact"/>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项目预算资金总额为5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821.11万元，其中：中央直达资金5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496</w:t>
      </w:r>
      <w:r>
        <w:rPr>
          <w:rFonts w:hint="eastAsia" w:cs="Times New Roman"/>
          <w:b w:val="0"/>
          <w:bCs w:val="0"/>
          <w:color w:val="auto"/>
          <w:highlight w:val="none"/>
          <w:lang w:val="en-US" w:eastAsia="zh-CN"/>
        </w:rPr>
        <w:t>.7</w:t>
      </w:r>
      <w:r>
        <w:rPr>
          <w:rFonts w:hint="default" w:ascii="Times New Roman" w:hAnsi="Times New Roman" w:cs="Times New Roman"/>
          <w:b w:val="0"/>
          <w:bCs w:val="0"/>
          <w:color w:val="auto"/>
          <w:highlight w:val="none"/>
          <w:lang w:val="en-US" w:eastAsia="zh-CN"/>
        </w:rPr>
        <w:t>万元，自治区直达资金276</w:t>
      </w:r>
      <w:r>
        <w:rPr>
          <w:rFonts w:hint="eastAsia" w:cs="Times New Roman"/>
          <w:b w:val="0"/>
          <w:bCs w:val="0"/>
          <w:color w:val="auto"/>
          <w:highlight w:val="none"/>
          <w:lang w:val="en-US" w:eastAsia="zh-CN"/>
        </w:rPr>
        <w:t>.6</w:t>
      </w:r>
      <w:r>
        <w:rPr>
          <w:rFonts w:hint="default" w:ascii="Times New Roman" w:hAnsi="Times New Roman" w:cs="Times New Roman"/>
          <w:b w:val="0"/>
          <w:bCs w:val="0"/>
          <w:color w:val="auto"/>
          <w:highlight w:val="none"/>
          <w:lang w:val="en-US" w:eastAsia="zh-CN"/>
        </w:rPr>
        <w:t>万元，历年结余资金47.81万元。实际到位资金5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821.11万元，资金到位率为100%。</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2.预算执行情况</w:t>
      </w:r>
    </w:p>
    <w:p>
      <w:pPr>
        <w:pageBreakBefore w:val="0"/>
        <w:kinsoku/>
        <w:wordWrap/>
        <w:overflowPunct/>
        <w:topLinePunct w:val="0"/>
        <w:autoSpaceDE/>
        <w:autoSpaceDN/>
        <w:bidi w:val="0"/>
        <w:spacing w:line="360" w:lineRule="exact"/>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截至2023年12月，项目实际支出资金总额为5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821.11万元，预算资金执行率为100%。项目资金主要用于支付农户冬小麦补贴费用5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758.11万元，春小麦补贴63万元。详细资金支出明细见下表。</w:t>
      </w:r>
    </w:p>
    <w:p>
      <w:pPr>
        <w:pStyle w:val="7"/>
        <w:pageBreakBefore w:val="0"/>
        <w:kinsoku/>
        <w:wordWrap/>
        <w:overflowPunct/>
        <w:topLinePunct w:val="0"/>
        <w:autoSpaceDE/>
        <w:autoSpaceDN/>
        <w:bidi w:val="0"/>
        <w:spacing w:line="360" w:lineRule="exact"/>
        <w:jc w:val="center"/>
        <w:rPr>
          <w:rFonts w:hint="default" w:ascii="Times New Roman" w:hAnsi="Times New Roman" w:eastAsia="宋体" w:cs="Times New Roman"/>
          <w:b/>
          <w:bCs/>
          <w:color w:val="auto"/>
          <w:highlight w:val="none"/>
          <w:lang w:val="en-US" w:eastAsia="zh-CN"/>
        </w:rPr>
      </w:pPr>
      <w:r>
        <w:rPr>
          <w:rFonts w:hint="default" w:ascii="Times New Roman" w:hAnsi="Times New Roman" w:eastAsia="宋体" w:cs="Times New Roman"/>
          <w:b/>
          <w:bCs/>
          <w:color w:val="auto"/>
          <w:highlight w:val="none"/>
        </w:rPr>
        <w:t xml:space="preserve">表 </w:t>
      </w:r>
      <w:r>
        <w:rPr>
          <w:rFonts w:hint="default" w:ascii="Times New Roman" w:hAnsi="Times New Roman" w:eastAsia="宋体" w:cs="Times New Roman"/>
          <w:b/>
          <w:bCs/>
          <w:color w:val="auto"/>
          <w:highlight w:val="none"/>
        </w:rPr>
        <w:fldChar w:fldCharType="begin"/>
      </w:r>
      <w:r>
        <w:rPr>
          <w:rFonts w:hint="default" w:ascii="Times New Roman" w:hAnsi="Times New Roman" w:eastAsia="宋体" w:cs="Times New Roman"/>
          <w:b/>
          <w:bCs/>
          <w:color w:val="auto"/>
          <w:highlight w:val="none"/>
        </w:rPr>
        <w:instrText xml:space="preserve"> SEQ 表 \* ARABIC </w:instrText>
      </w:r>
      <w:r>
        <w:rPr>
          <w:rFonts w:hint="default" w:ascii="Times New Roman" w:hAnsi="Times New Roman" w:eastAsia="宋体" w:cs="Times New Roman"/>
          <w:b/>
          <w:bCs/>
          <w:color w:val="auto"/>
          <w:highlight w:val="none"/>
        </w:rPr>
        <w:fldChar w:fldCharType="separate"/>
      </w:r>
      <w:r>
        <w:rPr>
          <w:rFonts w:hint="default" w:ascii="Times New Roman" w:hAnsi="Times New Roman" w:eastAsia="宋体" w:cs="Times New Roman"/>
          <w:b/>
          <w:bCs/>
          <w:color w:val="auto"/>
          <w:highlight w:val="none"/>
        </w:rPr>
        <w:t>1</w:t>
      </w:r>
      <w:r>
        <w:rPr>
          <w:rFonts w:hint="default" w:ascii="Times New Roman" w:hAnsi="Times New Roman" w:eastAsia="宋体" w:cs="Times New Roman"/>
          <w:b/>
          <w:bCs/>
          <w:color w:val="auto"/>
          <w:highlight w:val="none"/>
        </w:rPr>
        <w:fldChar w:fldCharType="end"/>
      </w:r>
      <w:r>
        <w:rPr>
          <w:rFonts w:hint="default" w:ascii="Times New Roman" w:hAnsi="Times New Roman" w:eastAsia="宋体" w:cs="Times New Roman"/>
          <w:b/>
          <w:bCs/>
          <w:color w:val="auto"/>
          <w:highlight w:val="none"/>
          <w:lang w:eastAsia="zh-CN"/>
        </w:rPr>
        <w:t>-1</w:t>
      </w:r>
      <w:r>
        <w:rPr>
          <w:rFonts w:hint="default" w:ascii="Times New Roman" w:hAnsi="Times New Roman" w:eastAsia="宋体" w:cs="Times New Roman"/>
          <w:b/>
          <w:bCs/>
          <w:color w:val="auto"/>
          <w:highlight w:val="none"/>
          <w:lang w:val="en-US" w:eastAsia="zh-CN"/>
        </w:rPr>
        <w:t xml:space="preserve"> 巴楚县2023年耕地地力保护补贴项目资金支付明细表</w:t>
      </w:r>
    </w:p>
    <w:p>
      <w:pPr>
        <w:pageBreakBefore w:val="0"/>
        <w:kinsoku/>
        <w:wordWrap/>
        <w:overflowPunct/>
        <w:topLinePunct w:val="0"/>
        <w:autoSpaceDE/>
        <w:autoSpaceDN/>
        <w:bidi w:val="0"/>
        <w:spacing w:line="360" w:lineRule="exact"/>
        <w:jc w:val="right"/>
        <w:rPr>
          <w:rFonts w:hint="default" w:ascii="Times New Roman" w:hAnsi="Times New Roman" w:eastAsia="宋体" w:cs="Times New Roman"/>
          <w:b w:val="0"/>
          <w:bCs w:val="0"/>
          <w:color w:val="auto"/>
          <w:highlight w:val="none"/>
          <w:lang w:val="en-US" w:eastAsia="zh-CN"/>
        </w:rPr>
      </w:pPr>
      <w:r>
        <w:rPr>
          <w:rFonts w:hint="default" w:ascii="Times New Roman" w:hAnsi="Times New Roman" w:eastAsia="宋体" w:cs="Times New Roman"/>
          <w:b w:val="0"/>
          <w:bCs w:val="0"/>
          <w:color w:val="auto"/>
          <w:highlight w:val="none"/>
          <w:lang w:val="en-US" w:eastAsia="zh-CN"/>
        </w:rPr>
        <w:t>单位：万元</w:t>
      </w:r>
    </w:p>
    <w:tbl>
      <w:tblPr>
        <w:tblStyle w:val="18"/>
        <w:tblW w:w="85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3"/>
        <w:gridCol w:w="2332"/>
        <w:gridCol w:w="1604"/>
        <w:gridCol w:w="1375"/>
        <w:gridCol w:w="1454"/>
        <w:gridCol w:w="10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blHeader/>
        </w:trPr>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序号</w:t>
            </w:r>
          </w:p>
        </w:tc>
        <w:tc>
          <w:tcPr>
            <w:tcW w:w="23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乡镇</w:t>
            </w:r>
          </w:p>
        </w:tc>
        <w:tc>
          <w:tcPr>
            <w:tcW w:w="2979"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冬小麦补贴</w:t>
            </w: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春小麦补贴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blHead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360" w:lineRule="exact"/>
              <w:ind w:firstLine="0" w:firstLineChars="0"/>
              <w:jc w:val="center"/>
              <w:rPr>
                <w:rFonts w:hint="default" w:ascii="Times New Roman" w:hAnsi="Times New Roman" w:eastAsia="宋体" w:cs="Times New Roman"/>
                <w:b/>
                <w:bCs/>
                <w:i w:val="0"/>
                <w:iCs w:val="0"/>
                <w:color w:val="auto"/>
                <w:sz w:val="20"/>
                <w:szCs w:val="20"/>
                <w:highlight w:val="none"/>
                <w:u w:val="none"/>
              </w:rPr>
            </w:pPr>
          </w:p>
        </w:tc>
        <w:tc>
          <w:tcPr>
            <w:tcW w:w="23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360" w:lineRule="exact"/>
              <w:ind w:firstLine="0" w:firstLineChars="0"/>
              <w:jc w:val="center"/>
              <w:rPr>
                <w:rFonts w:hint="default" w:ascii="Times New Roman" w:hAnsi="Times New Roman" w:eastAsia="宋体" w:cs="Times New Roman"/>
                <w:b/>
                <w:bCs/>
                <w:i w:val="0"/>
                <w:iCs w:val="0"/>
                <w:color w:val="auto"/>
                <w:sz w:val="20"/>
                <w:szCs w:val="20"/>
                <w:highlight w:val="none"/>
                <w:u w:val="none"/>
              </w:rPr>
            </w:pP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涉及人数（人）</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补贴金额</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涉及人数（人）</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补贴金额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阿瓦提镇</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2</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 xml:space="preserve">603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462.26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0.11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英吾斯塘乡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1</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 xml:space="preserve">902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585.63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19</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2.44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琼库尔恰克乡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4</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 xml:space="preserve">738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784.54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327</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32.07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色力布亚镇</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4</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 xml:space="preserve">047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867.96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7.11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阿拉格尔乡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2</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 xml:space="preserve">100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648.78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eastAsia="宋体" w:cs="Times New Roman"/>
                <w:i w:val="0"/>
                <w:iCs w:val="0"/>
                <w:color w:val="auto"/>
                <w:kern w:val="0"/>
                <w:sz w:val="20"/>
                <w:szCs w:val="20"/>
                <w:highlight w:val="none"/>
                <w:u w:val="none"/>
                <w:lang w:val="en-US" w:eastAsia="zh-CN" w:bidi="ar"/>
              </w:rPr>
              <w:t>阿克萨克马热勒乡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2</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 xml:space="preserve">784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827.37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14</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6.02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7</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夏马勒乡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761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166.23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2.62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阿纳库勒乡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1</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 xml:space="preserve">207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334.93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19</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7.66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9</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多来提巴格乡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2</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 xml:space="preserve">520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515.48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0.91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恰尔巴格乡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2</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 xml:space="preserve">646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562.03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w:t>
            </w:r>
            <w:r>
              <w:rPr>
                <w:rFonts w:hint="eastAsia" w:eastAsia="宋体" w:cs="Times New Roman"/>
                <w:i w:val="0"/>
                <w:iCs w:val="0"/>
                <w:color w:val="auto"/>
                <w:kern w:val="0"/>
                <w:sz w:val="20"/>
                <w:szCs w:val="20"/>
                <w:highlight w:val="none"/>
                <w:u w:val="none"/>
                <w:lang w:val="en-US" w:eastAsia="zh-CN" w:bidi="ar"/>
              </w:rPr>
              <w:t>.8</w:t>
            </w:r>
            <w:r>
              <w:rPr>
                <w:rFonts w:hint="default" w:ascii="Times New Roman" w:hAnsi="Times New Roman" w:eastAsia="宋体" w:cs="Times New Roman"/>
                <w:i w:val="0"/>
                <w:iCs w:val="0"/>
                <w:color w:val="auto"/>
                <w:kern w:val="0"/>
                <w:sz w:val="20"/>
                <w:szCs w:val="20"/>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11</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巴楚镇</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13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2.89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0.26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合计</w:t>
            </w:r>
          </w:p>
        </w:tc>
        <w:tc>
          <w:tcPr>
            <w:tcW w:w="16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25</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 xml:space="preserve">321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5</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 xml:space="preserve">758.11 </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463</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63 </w:t>
            </w:r>
          </w:p>
        </w:tc>
      </w:tr>
    </w:tbl>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41" w:name="_Toc30513"/>
      <w:bookmarkStart w:id="42" w:name="_Toc5973"/>
      <w:r>
        <w:rPr>
          <w:rFonts w:hint="default"/>
          <w:b/>
          <w:bCs/>
          <w:color w:val="auto"/>
          <w:sz w:val="24"/>
          <w:szCs w:val="28"/>
          <w:highlight w:val="none"/>
          <w:lang w:val="en-US" w:eastAsia="zh-CN"/>
        </w:rPr>
        <w:t>二、项目绩效目标</w:t>
      </w:r>
      <w:bookmarkEnd w:id="35"/>
      <w:bookmarkEnd w:id="41"/>
      <w:bookmarkEnd w:id="42"/>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（一）项目绩效总目标</w:t>
      </w:r>
    </w:p>
    <w:p>
      <w:pPr>
        <w:pageBreakBefore w:val="0"/>
        <w:kinsoku/>
        <w:wordWrap/>
        <w:overflowPunct/>
        <w:topLinePunct w:val="0"/>
        <w:autoSpaceDE/>
        <w:autoSpaceDN/>
        <w:bidi w:val="0"/>
        <w:spacing w:line="360" w:lineRule="exact"/>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立足新发展阶段，贯彻新发展理念，主动适应农业产业发展新常态，以保障粮食等重要农产品有效供给和促进农民持续增收为重点，</w:t>
      </w:r>
      <w:r>
        <w:rPr>
          <w:rFonts w:hint="default" w:ascii="Times New Roman" w:hAnsi="Times New Roman" w:cs="Times New Roman"/>
          <w:color w:val="auto"/>
          <w:highlight w:val="none"/>
          <w:lang w:val="en-US" w:eastAsia="zh-CN"/>
        </w:rPr>
        <w:t>巴楚县农业农村局积极</w:t>
      </w:r>
      <w:r>
        <w:rPr>
          <w:rFonts w:hint="default" w:ascii="Times New Roman" w:hAnsi="Times New Roman" w:cs="Times New Roman"/>
          <w:color w:val="auto"/>
          <w:highlight w:val="none"/>
        </w:rPr>
        <w:t>耕地</w:t>
      </w:r>
      <w:r>
        <w:rPr>
          <w:rFonts w:hint="default" w:ascii="Times New Roman" w:hAnsi="Times New Roman" w:cs="Times New Roman"/>
          <w:color w:val="auto"/>
          <w:highlight w:val="none"/>
          <w:lang w:val="en-US" w:eastAsia="zh-CN"/>
        </w:rPr>
        <w:t>贯彻</w:t>
      </w:r>
      <w:r>
        <w:rPr>
          <w:rFonts w:hint="default" w:ascii="Times New Roman" w:hAnsi="Times New Roman" w:cs="Times New Roman"/>
          <w:color w:val="auto"/>
          <w:highlight w:val="none"/>
        </w:rPr>
        <w:t>地力保护补贴</w:t>
      </w:r>
      <w:r>
        <w:rPr>
          <w:rFonts w:hint="default" w:ascii="Times New Roman" w:hAnsi="Times New Roman" w:cs="Times New Roman"/>
          <w:color w:val="auto"/>
          <w:highlight w:val="none"/>
          <w:lang w:val="en-US" w:eastAsia="zh-CN"/>
        </w:rPr>
        <w:t>政策</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规范实施补助发放，</w:t>
      </w:r>
      <w:r>
        <w:rPr>
          <w:rFonts w:hint="default" w:ascii="Times New Roman" w:hAnsi="Times New Roman" w:cs="Times New Roman"/>
          <w:color w:val="auto"/>
          <w:highlight w:val="none"/>
        </w:rPr>
        <w:t>引导农民自觉提升耕地地力，推动粮食生产能力稳步提升，促进种植业结构合理调整</w:t>
      </w:r>
      <w:r>
        <w:rPr>
          <w:rFonts w:hint="default" w:ascii="Times New Roman" w:hAnsi="Times New Roman" w:cs="Times New Roman"/>
          <w:color w:val="auto"/>
          <w:highlight w:val="none"/>
          <w:lang w:eastAsia="zh-CN"/>
        </w:rPr>
        <w:t>。</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（二）年度绩效目标</w:t>
      </w:r>
    </w:p>
    <w:p>
      <w:pPr>
        <w:pageBreakBefore w:val="0"/>
        <w:kinsoku/>
        <w:wordWrap/>
        <w:overflowPunct/>
        <w:topLinePunct w:val="0"/>
        <w:autoSpaceDE/>
        <w:autoSpaceDN/>
        <w:bidi w:val="0"/>
        <w:spacing w:line="360" w:lineRule="exact"/>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根据《项目支出绩效评价管理办法》（</w:t>
      </w:r>
      <w:r>
        <w:rPr>
          <w:rFonts w:hint="default" w:ascii="Times New Roman" w:hAnsi="Times New Roman" w:cs="Times New Roman"/>
          <w:color w:val="auto"/>
          <w:highlight w:val="none"/>
          <w:lang w:val="en-US" w:eastAsia="zh-CN"/>
        </w:rPr>
        <w:t>财预</w:t>
      </w:r>
      <w:r>
        <w:rPr>
          <w:rFonts w:hint="default" w:ascii="Times New Roman" w:hAnsi="Times New Roman" w:cs="Times New Roman"/>
          <w:color w:val="auto"/>
          <w:highlight w:val="none"/>
        </w:rPr>
        <w:t>〔20</w:t>
      </w:r>
      <w:r>
        <w:rPr>
          <w:rFonts w:hint="default" w:ascii="Times New Roman" w:hAnsi="Times New Roman" w:cs="Times New Roman"/>
          <w:color w:val="auto"/>
          <w:highlight w:val="none"/>
          <w:lang w:val="en-US" w:eastAsia="zh-CN"/>
        </w:rPr>
        <w:t>20</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10号</w:t>
      </w:r>
      <w:r>
        <w:rPr>
          <w:rFonts w:hint="default" w:ascii="Times New Roman" w:hAnsi="Times New Roman" w:cs="Times New Roman"/>
          <w:color w:val="auto"/>
          <w:highlight w:val="none"/>
          <w:lang w:eastAsia="zh-CN"/>
        </w:rPr>
        <w:t>）的规定，</w:t>
      </w:r>
      <w:r>
        <w:rPr>
          <w:rFonts w:hint="default" w:ascii="Times New Roman" w:hAnsi="Times New Roman" w:cs="Times New Roman"/>
          <w:color w:val="auto"/>
          <w:highlight w:val="none"/>
          <w:lang w:val="en-US" w:eastAsia="zh-CN"/>
        </w:rPr>
        <w:t>绩效评价小组结合项目实际情况，对巴楚县2023年耕地地力保护补贴项目绩效目标进行梳理、细化和补充完善，经报委托方审核</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最终确定该项目年度目标为</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该项目计划对巴楚县各乡镇按照230元/亩的标准拨付耕地地力保护补贴资金，其中</w:t>
      </w:r>
      <w:r>
        <w:rPr>
          <w:rFonts w:hint="default" w:ascii="Times New Roman" w:hAnsi="Times New Roman" w:cs="Times New Roman"/>
          <w:color w:val="auto"/>
          <w:highlight w:val="none"/>
        </w:rPr>
        <w:t>补助冬小麦</w:t>
      </w:r>
      <w:r>
        <w:rPr>
          <w:rFonts w:hint="eastAsia" w:eastAsia="宋体" w:cs="Times New Roman"/>
          <w:color w:val="auto"/>
          <w:highlight w:val="none"/>
          <w:lang w:eastAsia="zh-CN"/>
        </w:rPr>
        <w:t>269060.8亩</w:t>
      </w:r>
      <w:r>
        <w:rPr>
          <w:rFonts w:hint="default" w:ascii="Times New Roman" w:hAnsi="Times New Roman" w:eastAsia="宋体" w:cs="Times New Roman"/>
          <w:color w:val="auto"/>
          <w:highlight w:val="none"/>
          <w:lang w:eastAsia="zh-CN"/>
        </w:rPr>
        <w:t>，</w:t>
      </w:r>
      <w:r>
        <w:rPr>
          <w:rFonts w:hint="default" w:ascii="Times New Roman" w:hAnsi="Times New Roman" w:cs="Times New Roman"/>
          <w:color w:val="auto"/>
          <w:highlight w:val="none"/>
        </w:rPr>
        <w:t>补助春小麦</w:t>
      </w:r>
      <w:r>
        <w:rPr>
          <w:rFonts w:hint="eastAsia" w:eastAsia="宋体" w:cs="Times New Roman"/>
          <w:color w:val="auto"/>
          <w:highlight w:val="none"/>
          <w:lang w:eastAsia="zh-CN"/>
        </w:rPr>
        <w:t>2739.38亩</w:t>
      </w:r>
      <w:r>
        <w:rPr>
          <w:rFonts w:hint="default" w:ascii="Times New Roman" w:hAnsi="Times New Roman" w:eastAsia="宋体" w:cs="Times New Roman"/>
          <w:color w:val="auto"/>
          <w:highlight w:val="none"/>
          <w:lang w:eastAsia="zh-CN"/>
        </w:rPr>
        <w:t>，</w:t>
      </w:r>
      <w:r>
        <w:rPr>
          <w:rFonts w:hint="default" w:ascii="Times New Roman" w:hAnsi="Times New Roman" w:cs="Times New Roman"/>
          <w:color w:val="auto"/>
          <w:highlight w:val="none"/>
        </w:rPr>
        <w:t>补贴合法耕地冬小麦种植占比</w:t>
      </w:r>
      <w:r>
        <w:rPr>
          <w:rFonts w:hint="default" w:ascii="Times New Roman" w:hAnsi="Times New Roman" w:cs="Times New Roman"/>
          <w:color w:val="auto"/>
          <w:highlight w:val="none"/>
          <w:lang w:val="en-US" w:eastAsia="zh-CN"/>
        </w:rPr>
        <w:t>不低于90%，于2023年6月30日前完成</w:t>
      </w:r>
      <w:r>
        <w:rPr>
          <w:rFonts w:hint="default" w:ascii="Times New Roman" w:hAnsi="Times New Roman" w:cs="Times New Roman"/>
          <w:color w:val="auto"/>
          <w:highlight w:val="none"/>
        </w:rPr>
        <w:t>补贴兑付</w:t>
      </w:r>
      <w:r>
        <w:rPr>
          <w:rFonts w:hint="default" w:ascii="Times New Roman" w:hAnsi="Times New Roman" w:cs="Times New Roman"/>
          <w:color w:val="auto"/>
          <w:highlight w:val="none"/>
          <w:lang w:val="en-US" w:eastAsia="zh-CN"/>
        </w:rPr>
        <w:t>。通过项目实施，</w:t>
      </w:r>
      <w:r>
        <w:rPr>
          <w:rFonts w:hint="default" w:ascii="Times New Roman" w:hAnsi="Times New Roman" w:cs="Times New Roman"/>
          <w:color w:val="auto"/>
          <w:highlight w:val="none"/>
        </w:rPr>
        <w:t>提升耕地地力</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促进粮食增收，</w:t>
      </w:r>
      <w:r>
        <w:rPr>
          <w:rFonts w:hint="default" w:ascii="Times New Roman" w:hAnsi="Times New Roman" w:cs="Times New Roman"/>
          <w:color w:val="auto"/>
          <w:highlight w:val="none"/>
        </w:rPr>
        <w:t>促进农民增收</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进而提升农民收入。该项目个性目标设置具体如下</w:t>
      </w:r>
      <w:r>
        <w:rPr>
          <w:rFonts w:hint="default" w:ascii="Times New Roman" w:hAnsi="Times New Roman" w:cs="Times New Roman"/>
          <w:color w:val="auto"/>
          <w:highlight w:val="none"/>
          <w:lang w:eastAsia="zh-CN"/>
        </w:rPr>
        <w:t>：</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1.项目产出目标</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（1）数量指标</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“C11补助冬小麦亩数”指标，预期指标值为</w:t>
      </w:r>
      <w:r>
        <w:rPr>
          <w:rFonts w:hint="default" w:ascii="Times New Roman" w:hAnsi="Times New Roman" w:cs="Times New Roman"/>
          <w:color w:val="auto"/>
          <w:highlight w:val="none"/>
          <w:lang w:val="en-US" w:eastAsia="zh-CN"/>
        </w:rPr>
        <w:t>大于等于</w:t>
      </w:r>
      <w:r>
        <w:rPr>
          <w:rFonts w:hint="eastAsia" w:eastAsia="宋体" w:cs="Times New Roman"/>
          <w:color w:val="auto"/>
          <w:highlight w:val="none"/>
          <w:lang w:eastAsia="zh-CN"/>
        </w:rPr>
        <w:t>269060.8亩</w:t>
      </w:r>
      <w:r>
        <w:rPr>
          <w:rFonts w:hint="default" w:ascii="Times New Roman" w:hAnsi="Times New Roman" w:eastAsia="宋体" w:cs="Times New Roman"/>
          <w:color w:val="auto"/>
          <w:highlight w:val="none"/>
        </w:rPr>
        <w:t>。</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“C11补助春小麦亩数”指标，预期指标值为</w:t>
      </w:r>
      <w:r>
        <w:rPr>
          <w:rFonts w:hint="default" w:ascii="Times New Roman" w:hAnsi="Times New Roman" w:cs="Times New Roman"/>
          <w:color w:val="auto"/>
          <w:highlight w:val="none"/>
          <w:lang w:val="en-US" w:eastAsia="zh-CN"/>
        </w:rPr>
        <w:t>大于等于</w:t>
      </w:r>
      <w:r>
        <w:rPr>
          <w:rFonts w:hint="eastAsia" w:eastAsia="宋体" w:cs="Times New Roman"/>
          <w:color w:val="auto"/>
          <w:highlight w:val="none"/>
          <w:lang w:eastAsia="zh-CN"/>
        </w:rPr>
        <w:t>2739.38亩</w:t>
      </w:r>
      <w:r>
        <w:rPr>
          <w:rFonts w:hint="default" w:ascii="Times New Roman" w:hAnsi="Times New Roman" w:eastAsia="宋体" w:cs="Times New Roman"/>
          <w:color w:val="auto"/>
          <w:highlight w:val="none"/>
        </w:rPr>
        <w:t>。</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（2）质量指标</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“C</w:t>
      </w:r>
      <w:r>
        <w:rPr>
          <w:rFonts w:hint="eastAsia" w:cs="Times New Roman"/>
          <w:color w:val="auto"/>
          <w:highlight w:val="none"/>
          <w:lang w:val="en-US" w:eastAsia="zh-CN"/>
        </w:rPr>
        <w:t>2</w:t>
      </w:r>
      <w:r>
        <w:rPr>
          <w:rFonts w:hint="default" w:ascii="Times New Roman" w:hAnsi="Times New Roman" w:cs="Times New Roman"/>
          <w:color w:val="auto"/>
          <w:highlight w:val="none"/>
        </w:rPr>
        <w:t>1补贴合法耕地冬小麦种植占比”指标，预期指标值为</w:t>
      </w:r>
      <w:r>
        <w:rPr>
          <w:rFonts w:hint="default" w:ascii="Times New Roman" w:hAnsi="Times New Roman" w:cs="Times New Roman"/>
          <w:color w:val="auto"/>
          <w:highlight w:val="none"/>
          <w:lang w:val="en-US" w:eastAsia="zh-CN"/>
        </w:rPr>
        <w:t>大于等于</w:t>
      </w:r>
      <w:r>
        <w:rPr>
          <w:rFonts w:hint="default" w:ascii="Times New Roman" w:hAnsi="Times New Roman" w:eastAsia="宋体" w:cs="Times New Roman"/>
          <w:color w:val="auto"/>
          <w:highlight w:val="none"/>
        </w:rPr>
        <w:t>90%。</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（3）时效指标</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“C31补贴兑付完成时间”指标，预期指标值为</w:t>
      </w:r>
      <w:r>
        <w:rPr>
          <w:rFonts w:hint="default" w:ascii="Times New Roman" w:hAnsi="Times New Roman" w:eastAsia="宋体" w:cs="Times New Roman"/>
          <w:color w:val="auto"/>
          <w:highlight w:val="none"/>
        </w:rPr>
        <w:t>2023年6月30日前。</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（4）成本指标</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“C41冬小麦补助</w:t>
      </w:r>
      <w:r>
        <w:rPr>
          <w:rFonts w:hint="default" w:ascii="Times New Roman" w:hAnsi="Times New Roman" w:cs="Times New Roman"/>
          <w:color w:val="auto"/>
          <w:highlight w:val="none"/>
          <w:lang w:val="en-US" w:eastAsia="zh-CN"/>
        </w:rPr>
        <w:t>标准</w:t>
      </w:r>
      <w:r>
        <w:rPr>
          <w:rFonts w:hint="default" w:ascii="Times New Roman" w:hAnsi="Times New Roman" w:cs="Times New Roman"/>
          <w:color w:val="auto"/>
          <w:highlight w:val="none"/>
        </w:rPr>
        <w:t>”指标，预期指标值为</w:t>
      </w:r>
      <w:r>
        <w:rPr>
          <w:rFonts w:hint="default" w:ascii="Times New Roman" w:hAnsi="Times New Roman" w:eastAsia="宋体" w:cs="Times New Roman"/>
          <w:color w:val="auto"/>
          <w:kern w:val="0"/>
          <w:sz w:val="20"/>
          <w:szCs w:val="20"/>
          <w:highlight w:val="none"/>
          <w:lang w:eastAsia="zh-CN" w:bidi="ar"/>
        </w:rPr>
        <w:t>230元/亩</w:t>
      </w:r>
      <w:r>
        <w:rPr>
          <w:rFonts w:hint="default" w:ascii="Times New Roman" w:hAnsi="Times New Roman" w:eastAsia="宋体" w:cs="Times New Roman"/>
          <w:color w:val="auto"/>
          <w:highlight w:val="none"/>
        </w:rPr>
        <w:t>。</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“C42春小麦补助</w:t>
      </w:r>
      <w:r>
        <w:rPr>
          <w:rFonts w:hint="default" w:ascii="Times New Roman" w:hAnsi="Times New Roman" w:cs="Times New Roman"/>
          <w:color w:val="auto"/>
          <w:highlight w:val="none"/>
          <w:lang w:val="en-US" w:eastAsia="zh-CN"/>
        </w:rPr>
        <w:t>标准</w:t>
      </w:r>
      <w:r>
        <w:rPr>
          <w:rFonts w:hint="default" w:ascii="Times New Roman" w:hAnsi="Times New Roman" w:cs="Times New Roman"/>
          <w:color w:val="auto"/>
          <w:highlight w:val="none"/>
        </w:rPr>
        <w:t>”指标，预期指标值为</w:t>
      </w:r>
      <w:r>
        <w:rPr>
          <w:rFonts w:hint="default" w:ascii="Times New Roman" w:hAnsi="Times New Roman" w:eastAsia="宋体" w:cs="Times New Roman"/>
          <w:color w:val="auto"/>
          <w:kern w:val="0"/>
          <w:sz w:val="20"/>
          <w:szCs w:val="20"/>
          <w:highlight w:val="none"/>
          <w:lang w:eastAsia="zh-CN" w:bidi="ar"/>
        </w:rPr>
        <w:t>230元/亩</w:t>
      </w:r>
      <w:r>
        <w:rPr>
          <w:rFonts w:hint="default" w:ascii="Times New Roman" w:hAnsi="Times New Roman" w:eastAsia="宋体" w:cs="Times New Roman"/>
          <w:color w:val="auto"/>
          <w:highlight w:val="none"/>
        </w:rPr>
        <w:t>。</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2.项目效益目标</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（1）经济效益指标</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w:t>
      </w:r>
      <w:r>
        <w:rPr>
          <w:rFonts w:hint="default" w:cs="Times New Roman"/>
          <w:color w:val="auto"/>
          <w:highlight w:val="none"/>
          <w:lang w:eastAsia="zh-CN"/>
        </w:rPr>
        <w:t>D11冬小麦单产增幅</w:t>
      </w:r>
      <w:r>
        <w:rPr>
          <w:rFonts w:hint="default" w:ascii="Times New Roman" w:hAnsi="Times New Roman" w:cs="Times New Roman"/>
          <w:color w:val="auto"/>
          <w:highlight w:val="none"/>
        </w:rPr>
        <w:t>”指标，预期指标值为</w:t>
      </w:r>
      <w:r>
        <w:rPr>
          <w:rFonts w:hint="default" w:ascii="Times New Roman" w:hAnsi="Times New Roman" w:eastAsia="宋体" w:cs="Times New Roman"/>
          <w:color w:val="auto"/>
          <w:szCs w:val="21"/>
          <w:highlight w:val="none"/>
          <w:lang w:val="en-US" w:eastAsia="zh-CN"/>
        </w:rPr>
        <w:t>大于等于</w:t>
      </w:r>
      <w:r>
        <w:rPr>
          <w:rFonts w:hint="default" w:ascii="Times New Roman" w:hAnsi="Times New Roman" w:eastAsia="宋体" w:cs="Times New Roman"/>
          <w:color w:val="auto"/>
          <w:szCs w:val="21"/>
          <w:highlight w:val="none"/>
        </w:rPr>
        <w:t>0%。</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（2）社会效益指标</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“D21</w:t>
      </w:r>
      <w:r>
        <w:rPr>
          <w:rFonts w:hint="default" w:cs="Times New Roman"/>
          <w:color w:val="auto"/>
          <w:highlight w:val="none"/>
          <w:lang w:val="en-US" w:eastAsia="zh-CN"/>
        </w:rPr>
        <w:t>耕地地力保护补贴</w:t>
      </w:r>
      <w:r>
        <w:rPr>
          <w:rFonts w:hint="default" w:ascii="Times New Roman" w:hAnsi="Times New Roman" w:cs="Times New Roman"/>
          <w:color w:val="auto"/>
          <w:highlight w:val="none"/>
        </w:rPr>
        <w:t>政策知晓率”指标，预期指标值为</w:t>
      </w:r>
      <w:r>
        <w:rPr>
          <w:rFonts w:hint="default" w:ascii="Times New Roman" w:hAnsi="Times New Roman" w:eastAsia="宋体" w:cs="Times New Roman"/>
          <w:color w:val="auto"/>
          <w:szCs w:val="21"/>
          <w:highlight w:val="none"/>
        </w:rPr>
        <w:t>100%。</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“D2</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提升耕地地力、促进农民增收”指标，预期指标值为</w:t>
      </w:r>
      <w:r>
        <w:rPr>
          <w:rFonts w:hint="default" w:ascii="Times New Roman" w:hAnsi="Times New Roman" w:eastAsia="宋体" w:cs="Times New Roman"/>
          <w:color w:val="auto"/>
          <w:szCs w:val="21"/>
          <w:highlight w:val="none"/>
        </w:rPr>
        <w:t>效果显著。</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3.</w:t>
      </w:r>
      <w:r>
        <w:rPr>
          <w:rFonts w:hint="default"/>
          <w:b/>
          <w:bCs/>
          <w:color w:val="auto"/>
          <w:sz w:val="24"/>
          <w:szCs w:val="28"/>
          <w:highlight w:val="none"/>
          <w:lang w:val="en-US" w:eastAsia="zh-Hans"/>
        </w:rPr>
        <w:t>满意度目标</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（1）满意度指标</w:t>
      </w:r>
    </w:p>
    <w:p>
      <w:pPr>
        <w:pageBreakBefore w:val="0"/>
        <w:kinsoku/>
        <w:wordWrap/>
        <w:overflowPunct/>
        <w:topLinePunct w:val="0"/>
        <w:autoSpaceDE/>
        <w:autoSpaceDN/>
        <w:bidi w:val="0"/>
        <w:spacing w:line="36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“D</w:t>
      </w:r>
      <w:r>
        <w:rPr>
          <w:rFonts w:hint="default" w:ascii="Times New Roman" w:hAnsi="Times New Roman" w:cs="Times New Roman"/>
          <w:color w:val="auto"/>
          <w:highlight w:val="none"/>
          <w:lang w:val="en-US" w:eastAsia="zh-CN"/>
        </w:rPr>
        <w:t>31</w:t>
      </w:r>
      <w:r>
        <w:rPr>
          <w:rFonts w:hint="default" w:ascii="Times New Roman" w:hAnsi="Times New Roman" w:cs="Times New Roman"/>
          <w:color w:val="auto"/>
          <w:highlight w:val="none"/>
        </w:rPr>
        <w:t>农户满意度”指标，预期指标值为</w:t>
      </w:r>
      <w:r>
        <w:rPr>
          <w:rFonts w:hint="default" w:ascii="Times New Roman" w:hAnsi="Times New Roman" w:eastAsia="宋体" w:cs="Times New Roman"/>
          <w:color w:val="auto"/>
          <w:szCs w:val="21"/>
          <w:highlight w:val="none"/>
          <w:lang w:val="en-US" w:eastAsia="zh-CN"/>
        </w:rPr>
        <w:t>大于等于</w:t>
      </w:r>
      <w:r>
        <w:rPr>
          <w:rFonts w:hint="default" w:ascii="Times New Roman" w:hAnsi="Times New Roman" w:cs="Times New Roman"/>
          <w:color w:val="auto"/>
          <w:highlight w:val="none"/>
        </w:rPr>
        <w:t>90%。</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43" w:name="_Toc28760"/>
      <w:bookmarkStart w:id="44" w:name="_Toc68364660"/>
      <w:bookmarkStart w:id="45" w:name="_Toc13333"/>
      <w:r>
        <w:rPr>
          <w:rFonts w:hint="default"/>
          <w:b/>
          <w:bCs/>
          <w:color w:val="auto"/>
          <w:sz w:val="24"/>
          <w:szCs w:val="28"/>
          <w:highlight w:val="none"/>
          <w:lang w:val="en-US" w:eastAsia="zh-CN"/>
        </w:rPr>
        <w:t>三、绩效评价工作开展情况</w:t>
      </w:r>
      <w:bookmarkEnd w:id="43"/>
      <w:bookmarkEnd w:id="44"/>
      <w:bookmarkEnd w:id="45"/>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46" w:name="_Toc13597"/>
      <w:bookmarkStart w:id="47" w:name="_Toc27940"/>
      <w:bookmarkStart w:id="48" w:name="_Toc6298"/>
      <w:bookmarkStart w:id="49" w:name="_Toc68364661"/>
      <w:r>
        <w:rPr>
          <w:rFonts w:hint="default"/>
          <w:b/>
          <w:bCs/>
          <w:color w:val="auto"/>
          <w:sz w:val="24"/>
          <w:szCs w:val="28"/>
          <w:highlight w:val="none"/>
          <w:lang w:val="en-US" w:eastAsia="zh-CN"/>
        </w:rPr>
        <w:t>（一）绩效评价依据</w:t>
      </w:r>
      <w:bookmarkEnd w:id="46"/>
      <w:bookmarkEnd w:id="47"/>
      <w:bookmarkEnd w:id="48"/>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《中华人民共和国预算法》</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《中共中央国务院关于全面实施预算绩效管理的意见》（中发〔2018〕34号）</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《项目支出绩效评价管理办法》（财预〔2020〕10号）</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《财政部关于印发〈第三方机构预算绩效评价业务监督管理暂行办法〉的通知》（财监〔2021〕4号）</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《关于进一步加强和规范第三方机构参与预算绩效管理的通知》（新财预〔2021〕49号）</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lang w:val="en-US" w:eastAsia="zh-CN"/>
        </w:rPr>
        <w:t>《关于全面推开农业“三项补贴”改革工作的通知》</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《财政部 农业部关于全面推进农业“三项补贴”改革工作的通知》（财农〔2016〕26号）</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《财政部办公厅 农业农村部办公厅关于进一步做好耕地地力保护补贴工作的通知》（财办农〔2021〕11号）</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《财政部、农业农村部发布2022年重点强农惠农政策》</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《关于提前下达2023年中央农业生产发展资金</w:t>
      </w:r>
      <w:r>
        <w:rPr>
          <w:rFonts w:hint="eastAsia" w:eastAsia="宋体" w:cs="Times New Roman"/>
          <w:color w:val="auto"/>
          <w:highlight w:val="none"/>
          <w:lang w:eastAsia="zh-CN"/>
        </w:rPr>
        <w:t>（耕地保护补贴）</w:t>
      </w:r>
      <w:r>
        <w:rPr>
          <w:rFonts w:hint="default" w:ascii="Times New Roman" w:hAnsi="Times New Roman" w:eastAsia="宋体" w:cs="Times New Roman"/>
          <w:color w:val="auto"/>
          <w:highlight w:val="none"/>
        </w:rPr>
        <w:t>预算的通知》（喀地财农〔2022〕31号</w:t>
      </w:r>
      <w:r>
        <w:rPr>
          <w:rFonts w:hint="eastAsia" w:eastAsia="宋体" w:cs="Times New Roman"/>
          <w:color w:val="auto"/>
          <w:highlight w:val="none"/>
          <w:lang w:eastAsia="zh-CN"/>
        </w:rPr>
        <w:t>）</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《关于提前下达2023年自治区农业发展资金（耕地地力保护补贴）预算的通知）》（喀地财农〔2022〕40号）</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《巴楚县2023年耕地地力保护补贴实施方案》</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《巴楚县2023年耕地地力保护补贴</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冬小麦部分</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资金分配表》</w:t>
      </w:r>
    </w:p>
    <w:p>
      <w:pPr>
        <w:pageBreakBefore w:val="0"/>
        <w:numPr>
          <w:ilvl w:val="0"/>
          <w:numId w:val="1"/>
        </w:numPr>
        <w:kinsoku/>
        <w:wordWrap/>
        <w:overflowPunct/>
        <w:topLinePunct w:val="0"/>
        <w:autoSpaceDE/>
        <w:autoSpaceDN/>
        <w:bidi w:val="0"/>
        <w:spacing w:line="360" w:lineRule="exact"/>
        <w:ind w:left="0" w:leftChars="0" w:firstLine="420" w:firstLineChars="200"/>
        <w:rPr>
          <w:rFonts w:hint="default" w:ascii="Times New Roman" w:hAnsi="Times New Roman" w:eastAsia="宋体" w:cs="Times New Roman"/>
          <w:color w:val="auto"/>
          <w:highlight w:val="none"/>
        </w:rPr>
      </w:pPr>
      <w:r>
        <w:rPr>
          <w:rFonts w:hint="default" w:eastAsia="宋体" w:cs="Times New Roman"/>
          <w:color w:val="auto"/>
          <w:highlight w:val="none"/>
          <w:lang w:val="en-US" w:eastAsia="zh-CN"/>
        </w:rPr>
        <w:t>资金支付申请等项目相关资料</w:t>
      </w:r>
    </w:p>
    <w:bookmarkEnd w:id="49"/>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50" w:name="_Toc21529"/>
      <w:bookmarkStart w:id="51" w:name="_Toc7521"/>
      <w:bookmarkStart w:id="52" w:name="_Toc20814"/>
      <w:bookmarkStart w:id="53" w:name="_Toc68364664"/>
      <w:r>
        <w:rPr>
          <w:rFonts w:hint="default"/>
          <w:b/>
          <w:bCs/>
          <w:color w:val="auto"/>
          <w:sz w:val="24"/>
          <w:szCs w:val="28"/>
          <w:highlight w:val="none"/>
          <w:lang w:val="en-US" w:eastAsia="zh-CN"/>
        </w:rPr>
        <w:t>（二）绩效评价目的、对象和范围</w:t>
      </w:r>
      <w:bookmarkEnd w:id="50"/>
      <w:bookmarkEnd w:id="51"/>
      <w:bookmarkEnd w:id="52"/>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54" w:name="_Toc68364662"/>
      <w:r>
        <w:rPr>
          <w:rFonts w:hint="default"/>
          <w:b/>
          <w:bCs/>
          <w:color w:val="auto"/>
          <w:sz w:val="24"/>
          <w:szCs w:val="28"/>
          <w:highlight w:val="none"/>
          <w:lang w:val="en-US" w:eastAsia="zh-CN"/>
        </w:rPr>
        <w:t>1.绩效评价目的</w:t>
      </w:r>
    </w:p>
    <w:p>
      <w:pPr>
        <w:pageBreakBefore w:val="0"/>
        <w:kinsoku/>
        <w:wordWrap/>
        <w:overflowPunct/>
        <w:topLinePunct w:val="0"/>
        <w:autoSpaceDE/>
        <w:autoSpaceDN/>
        <w:bidi w:val="0"/>
        <w:spacing w:line="360" w:lineRule="exact"/>
        <w:ind w:firstLine="664"/>
        <w:rPr>
          <w:color w:val="auto"/>
          <w:highlight w:val="none"/>
        </w:rPr>
      </w:pPr>
      <w:r>
        <w:rPr>
          <w:color w:val="auto"/>
          <w:highlight w:val="none"/>
        </w:rPr>
        <w:t>本次绩效评价遵循财政部《项目支出绩效评价管理办法》（财预〔2020〕10号）和自治区财政厅《自治区财政支出绩效评价管理暂行办法》（新财预〔2018〕189号）</w:t>
      </w:r>
      <w:r>
        <w:rPr>
          <w:rFonts w:hint="default"/>
          <w:color w:val="auto"/>
          <w:highlight w:val="none"/>
          <w:lang w:eastAsia="zh-CN"/>
        </w:rPr>
        <w:t>、</w:t>
      </w:r>
      <w:r>
        <w:rPr>
          <w:rFonts w:hint="default"/>
          <w:color w:val="auto"/>
          <w:highlight w:val="none"/>
        </w:rPr>
        <w:t>《喀什地区2023年耕地地力保护补贴政策实施方案》</w:t>
      </w:r>
      <w:r>
        <w:rPr>
          <w:color w:val="auto"/>
          <w:highlight w:val="none"/>
        </w:rPr>
        <w:t>等相关政策文件与规定，旨在评价</w:t>
      </w:r>
      <w:r>
        <w:rPr>
          <w:rFonts w:hint="default"/>
          <w:color w:val="auto"/>
          <w:highlight w:val="none"/>
        </w:rPr>
        <w:t>2023年巴楚县耕地地力保护补贴工作</w:t>
      </w:r>
      <w:r>
        <w:rPr>
          <w:rFonts w:hint="default"/>
          <w:color w:val="auto"/>
          <w:highlight w:val="none"/>
          <w:lang w:val="en-US" w:eastAsia="zh-CN"/>
        </w:rPr>
        <w:t>实施效果，是否</w:t>
      </w:r>
      <w:r>
        <w:rPr>
          <w:rFonts w:hint="default"/>
          <w:color w:val="auto"/>
          <w:highlight w:val="none"/>
        </w:rPr>
        <w:t>稳步提升耕地地力保护补贴政策效能，促进粮食安全生产和农民持续增收。</w:t>
      </w:r>
      <w:r>
        <w:rPr>
          <w:color w:val="auto"/>
          <w:highlight w:val="none"/>
        </w:rPr>
        <w:t>通过本次项目绩效评价来总结经验和教训，促进项目成果转化和应用，为今后类似项目的长效管理，提供可行性参考建议。</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2.绩效评价对象</w:t>
      </w:r>
    </w:p>
    <w:p>
      <w:pPr>
        <w:pageBreakBefore w:val="0"/>
        <w:kinsoku/>
        <w:wordWrap/>
        <w:overflowPunct/>
        <w:topLinePunct w:val="0"/>
        <w:autoSpaceDE/>
        <w:autoSpaceDN/>
        <w:bidi w:val="0"/>
        <w:spacing w:line="360" w:lineRule="exact"/>
        <w:ind w:firstLine="664"/>
        <w:rPr>
          <w:color w:val="auto"/>
          <w:highlight w:val="none"/>
        </w:rPr>
      </w:pPr>
      <w:r>
        <w:rPr>
          <w:color w:val="auto"/>
          <w:highlight w:val="none"/>
        </w:rPr>
        <w:t>本次绩效评价的对象为</w:t>
      </w:r>
      <w:r>
        <w:rPr>
          <w:rFonts w:hint="default"/>
          <w:color w:val="auto"/>
          <w:highlight w:val="none"/>
          <w:lang w:eastAsia="zh-CN"/>
        </w:rPr>
        <w:t>巴楚县2023年耕地地力保护补贴项目</w:t>
      </w:r>
      <w:r>
        <w:rPr>
          <w:color w:val="auto"/>
          <w:highlight w:val="none"/>
        </w:rPr>
        <w:t>，主要评价该项目的投入、产出</w:t>
      </w:r>
      <w:r>
        <w:rPr>
          <w:rFonts w:hint="default"/>
          <w:color w:val="auto"/>
          <w:highlight w:val="none"/>
        </w:rPr>
        <w:t>以及项目效益</w:t>
      </w:r>
      <w:r>
        <w:rPr>
          <w:color w:val="auto"/>
          <w:highlight w:val="none"/>
        </w:rPr>
        <w:t>。</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3.绩效评价范围</w:t>
      </w:r>
    </w:p>
    <w:p>
      <w:pPr>
        <w:pageBreakBefore w:val="0"/>
        <w:kinsoku/>
        <w:wordWrap/>
        <w:overflowPunct/>
        <w:topLinePunct w:val="0"/>
        <w:autoSpaceDE/>
        <w:autoSpaceDN/>
        <w:bidi w:val="0"/>
        <w:spacing w:line="360" w:lineRule="exact"/>
        <w:ind w:firstLine="664"/>
        <w:rPr>
          <w:color w:val="auto"/>
          <w:highlight w:val="none"/>
        </w:rPr>
      </w:pPr>
      <w:r>
        <w:rPr>
          <w:color w:val="auto"/>
          <w:highlight w:val="none"/>
        </w:rPr>
        <w:t>本次绩效评价范围主要围绕项目决策情况、资金管理和使用情况、相关管理制度办法的健全性及执行情况、实现的产出情况、取得的效益情况以及其他相关内容。</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4.绩效评价时段</w:t>
      </w:r>
    </w:p>
    <w:p>
      <w:pPr>
        <w:pageBreakBefore w:val="0"/>
        <w:kinsoku/>
        <w:wordWrap/>
        <w:overflowPunct/>
        <w:topLinePunct w:val="0"/>
        <w:autoSpaceDE/>
        <w:autoSpaceDN/>
        <w:bidi w:val="0"/>
        <w:spacing w:line="360" w:lineRule="exact"/>
        <w:ind w:firstLine="664"/>
        <w:rPr>
          <w:rFonts w:hint="default"/>
          <w:color w:val="auto"/>
          <w:highlight w:val="none"/>
        </w:rPr>
      </w:pPr>
      <w:r>
        <w:rPr>
          <w:color w:val="auto"/>
          <w:highlight w:val="none"/>
        </w:rPr>
        <w:t>本次绩效评价评价时段为：</w:t>
      </w:r>
      <w:r>
        <w:rPr>
          <w:rFonts w:hint="default"/>
          <w:color w:val="auto"/>
          <w:highlight w:val="none"/>
          <w:lang w:val="en-US" w:eastAsia="zh-CN"/>
        </w:rPr>
        <w:t>2023</w:t>
      </w:r>
      <w:r>
        <w:rPr>
          <w:color w:val="auto"/>
          <w:highlight w:val="none"/>
        </w:rPr>
        <w:t>年</w:t>
      </w:r>
      <w:r>
        <w:rPr>
          <w:rFonts w:hint="default"/>
          <w:color w:val="auto"/>
          <w:highlight w:val="none"/>
          <w:lang w:val="en-US" w:eastAsia="zh-CN"/>
        </w:rPr>
        <w:t>1</w:t>
      </w:r>
      <w:r>
        <w:rPr>
          <w:color w:val="auto"/>
          <w:highlight w:val="none"/>
        </w:rPr>
        <w:t>月至20</w:t>
      </w:r>
      <w:r>
        <w:rPr>
          <w:rFonts w:hint="default"/>
          <w:color w:val="auto"/>
          <w:highlight w:val="none"/>
        </w:rPr>
        <w:t>2</w:t>
      </w:r>
      <w:r>
        <w:rPr>
          <w:rFonts w:hint="default"/>
          <w:color w:val="auto"/>
          <w:highlight w:val="none"/>
          <w:lang w:val="en-US" w:eastAsia="zh-CN"/>
        </w:rPr>
        <w:t>3</w:t>
      </w:r>
      <w:r>
        <w:rPr>
          <w:color w:val="auto"/>
          <w:highlight w:val="none"/>
        </w:rPr>
        <w:t>年</w:t>
      </w:r>
      <w:r>
        <w:rPr>
          <w:rFonts w:hint="eastAsia"/>
          <w:color w:val="auto"/>
          <w:highlight w:val="none"/>
          <w:lang w:val="en-US" w:eastAsia="zh-CN"/>
        </w:rPr>
        <w:t>6</w:t>
      </w:r>
      <w:r>
        <w:rPr>
          <w:rFonts w:hint="default"/>
          <w:color w:val="auto"/>
          <w:highlight w:val="none"/>
          <w:lang w:val="en-US" w:eastAsia="zh-CN"/>
        </w:rPr>
        <w:t>月</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55" w:name="_Toc26071"/>
      <w:bookmarkStart w:id="56" w:name="_Toc11351"/>
      <w:bookmarkStart w:id="57" w:name="_Toc22808"/>
      <w:r>
        <w:rPr>
          <w:rFonts w:hint="default"/>
          <w:b/>
          <w:bCs/>
          <w:color w:val="auto"/>
          <w:sz w:val="24"/>
          <w:szCs w:val="28"/>
          <w:highlight w:val="none"/>
          <w:lang w:val="en-US" w:eastAsia="zh-CN"/>
        </w:rPr>
        <w:t>（三）绩效评价原则</w:t>
      </w:r>
      <w:bookmarkEnd w:id="54"/>
      <w:bookmarkEnd w:id="55"/>
      <w:bookmarkEnd w:id="56"/>
      <w:bookmarkEnd w:id="57"/>
    </w:p>
    <w:p>
      <w:pPr>
        <w:pageBreakBefore w:val="0"/>
        <w:kinsoku/>
        <w:wordWrap/>
        <w:overflowPunct/>
        <w:topLinePunct w:val="0"/>
        <w:autoSpaceDE/>
        <w:autoSpaceDN/>
        <w:bidi w:val="0"/>
        <w:spacing w:line="360" w:lineRule="exact"/>
        <w:rPr>
          <w:color w:val="auto"/>
          <w:highlight w:val="none"/>
        </w:rPr>
      </w:pPr>
      <w:r>
        <w:rPr>
          <w:color w:val="auto"/>
          <w:highlight w:val="none"/>
        </w:rPr>
        <w:t>本次绩效评价遵循的原则包括：</w:t>
      </w:r>
    </w:p>
    <w:p>
      <w:pPr>
        <w:pageBreakBefore w:val="0"/>
        <w:kinsoku/>
        <w:wordWrap/>
        <w:overflowPunct/>
        <w:topLinePunct w:val="0"/>
        <w:autoSpaceDE/>
        <w:autoSpaceDN/>
        <w:bidi w:val="0"/>
        <w:spacing w:line="360" w:lineRule="exact"/>
        <w:rPr>
          <w:color w:val="auto"/>
          <w:highlight w:val="none"/>
        </w:rPr>
      </w:pPr>
      <w:r>
        <w:rPr>
          <w:color w:val="auto"/>
          <w:highlight w:val="none"/>
        </w:rPr>
        <w:t>（1）独立性原则：在评价工作中保持充分的第三方独立性，不受其他第三方不当干预。</w:t>
      </w:r>
    </w:p>
    <w:p>
      <w:pPr>
        <w:pageBreakBefore w:val="0"/>
        <w:kinsoku/>
        <w:wordWrap/>
        <w:overflowPunct/>
        <w:topLinePunct w:val="0"/>
        <w:autoSpaceDE/>
        <w:autoSpaceDN/>
        <w:bidi w:val="0"/>
        <w:spacing w:line="360" w:lineRule="exact"/>
        <w:rPr>
          <w:color w:val="auto"/>
          <w:highlight w:val="none"/>
        </w:rPr>
      </w:pPr>
      <w:r>
        <w:rPr>
          <w:color w:val="auto"/>
          <w:highlight w:val="none"/>
        </w:rPr>
        <w:t>（2）客观性原则：第三方机构应当按照协议（合同）约定事项开展绩效评价，实事求是地向委托方提供服务，以客观事实为依据，确保内容真实、数字准确和资料可靠。</w:t>
      </w:r>
    </w:p>
    <w:p>
      <w:pPr>
        <w:pageBreakBefore w:val="0"/>
        <w:kinsoku/>
        <w:wordWrap/>
        <w:overflowPunct/>
        <w:topLinePunct w:val="0"/>
        <w:autoSpaceDE/>
        <w:autoSpaceDN/>
        <w:bidi w:val="0"/>
        <w:spacing w:line="360" w:lineRule="exact"/>
        <w:rPr>
          <w:color w:val="auto"/>
          <w:highlight w:val="none"/>
        </w:rPr>
      </w:pPr>
      <w:r>
        <w:rPr>
          <w:color w:val="auto"/>
          <w:highlight w:val="none"/>
        </w:rPr>
        <w:t>（3）科学性原则。第三方机构应当履行必要评价程序，对原始资料进行核查验证，选择一种或多种方法进行对比分析，形成结论并出具评价报告。</w:t>
      </w:r>
    </w:p>
    <w:p>
      <w:pPr>
        <w:pageBreakBefore w:val="0"/>
        <w:kinsoku/>
        <w:wordWrap/>
        <w:overflowPunct/>
        <w:topLinePunct w:val="0"/>
        <w:autoSpaceDE/>
        <w:autoSpaceDN/>
        <w:bidi w:val="0"/>
        <w:spacing w:line="360" w:lineRule="exact"/>
        <w:rPr>
          <w:color w:val="auto"/>
          <w:highlight w:val="none"/>
        </w:rPr>
      </w:pPr>
      <w:r>
        <w:rPr>
          <w:color w:val="auto"/>
          <w:highlight w:val="none"/>
        </w:rPr>
        <w:t>（4）公正性原则：在评价过程中坚持公正、客观地反映实际情况，不隐瞒、弄虚作假。</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58" w:name="_Toc8499"/>
      <w:bookmarkStart w:id="59" w:name="_Toc9669"/>
      <w:bookmarkStart w:id="60" w:name="_Toc2996"/>
      <w:r>
        <w:rPr>
          <w:rFonts w:hint="default"/>
          <w:b/>
          <w:bCs/>
          <w:color w:val="auto"/>
          <w:sz w:val="24"/>
          <w:szCs w:val="28"/>
          <w:highlight w:val="none"/>
          <w:lang w:val="en-US" w:eastAsia="zh-CN"/>
        </w:rPr>
        <w:t>（四）绩效评价指标体系设计</w:t>
      </w:r>
      <w:bookmarkEnd w:id="58"/>
      <w:bookmarkEnd w:id="59"/>
      <w:bookmarkEnd w:id="60"/>
    </w:p>
    <w:p>
      <w:pPr>
        <w:pageBreakBefore w:val="0"/>
        <w:kinsoku/>
        <w:wordWrap/>
        <w:overflowPunct/>
        <w:topLinePunct w:val="0"/>
        <w:autoSpaceDE/>
        <w:autoSpaceDN/>
        <w:bidi w:val="0"/>
        <w:spacing w:line="360" w:lineRule="exact"/>
        <w:rPr>
          <w:rFonts w:hint="default"/>
          <w:color w:val="auto"/>
          <w:highlight w:val="none"/>
        </w:rPr>
      </w:pPr>
      <w:bookmarkStart w:id="61" w:name="_Toc68364663"/>
      <w:r>
        <w:rPr>
          <w:rFonts w:hint="default" w:ascii="Times New Roman" w:hAnsi="Times New Roman" w:cs="Times New Roman" w:eastAsiaTheme="minorEastAsia"/>
          <w:color w:val="auto"/>
          <w:highlight w:val="none"/>
          <w:lang w:val="en-US" w:eastAsia="zh-CN"/>
        </w:rPr>
        <w:t>该项目在建立体系的过程中，结合项目内容</w:t>
      </w:r>
      <w:r>
        <w:rPr>
          <w:rFonts w:hint="default" w:ascii="Times New Roman" w:hAnsi="Times New Roman" w:cs="Times New Roman"/>
          <w:color w:val="auto"/>
          <w:highlight w:val="none"/>
          <w:lang w:val="en-US" w:eastAsia="zh-CN"/>
        </w:rPr>
        <w:t>以及政策落实</w:t>
      </w:r>
      <w:r>
        <w:rPr>
          <w:rFonts w:hint="default" w:ascii="Times New Roman" w:hAnsi="Times New Roman" w:cs="Times New Roman" w:eastAsiaTheme="minorEastAsia"/>
          <w:color w:val="auto"/>
          <w:highlight w:val="none"/>
          <w:lang w:val="en-US" w:eastAsia="zh-CN"/>
        </w:rPr>
        <w:t>去设置相应指标，按照《项目支出绩效评价管理办法》（财预〔2020〕10号）文件要求，结合项目特点，设置指标体系结构如下：设置一级指标共4个，包括：决策指标</w:t>
      </w:r>
      <w:r>
        <w:rPr>
          <w:rFonts w:hint="default" w:ascii="Times New Roman" w:hAnsi="Times New Roman" w:cs="Times New Roman"/>
          <w:color w:val="auto"/>
          <w:highlight w:val="none"/>
          <w:lang w:val="en-US" w:eastAsia="zh-CN"/>
        </w:rPr>
        <w:t>（10分）</w:t>
      </w:r>
      <w:r>
        <w:rPr>
          <w:rFonts w:hint="default" w:ascii="Times New Roman" w:hAnsi="Times New Roman" w:cs="Times New Roman" w:eastAsiaTheme="minorEastAsia"/>
          <w:color w:val="auto"/>
          <w:highlight w:val="none"/>
          <w:lang w:val="en-US" w:eastAsia="zh-CN"/>
        </w:rPr>
        <w:t>、过程指标</w:t>
      </w:r>
      <w:r>
        <w:rPr>
          <w:rFonts w:hint="default" w:ascii="Times New Roman" w:hAnsi="Times New Roman" w:cs="Times New Roman"/>
          <w:color w:val="auto"/>
          <w:highlight w:val="none"/>
          <w:lang w:val="en-US" w:eastAsia="zh-CN"/>
        </w:rPr>
        <w:t>（25分）</w:t>
      </w:r>
      <w:r>
        <w:rPr>
          <w:rFonts w:hint="default" w:ascii="Times New Roman" w:hAnsi="Times New Roman" w:cs="Times New Roman" w:eastAsiaTheme="minorEastAsia"/>
          <w:color w:val="auto"/>
          <w:highlight w:val="none"/>
          <w:lang w:val="en-US" w:eastAsia="zh-CN"/>
        </w:rPr>
        <w:t>、产出指标</w:t>
      </w:r>
      <w:r>
        <w:rPr>
          <w:rFonts w:hint="default" w:ascii="Times New Roman" w:hAnsi="Times New Roman" w:cs="Times New Roman"/>
          <w:color w:val="auto"/>
          <w:highlight w:val="none"/>
          <w:lang w:val="en-US" w:eastAsia="zh-CN"/>
        </w:rPr>
        <w:t>（30分）</w:t>
      </w:r>
      <w:r>
        <w:rPr>
          <w:rFonts w:hint="default" w:ascii="Times New Roman" w:hAnsi="Times New Roman" w:cs="Times New Roman" w:eastAsiaTheme="minorEastAsia"/>
          <w:color w:val="auto"/>
          <w:highlight w:val="none"/>
          <w:lang w:val="en-US" w:eastAsia="zh-CN"/>
        </w:rPr>
        <w:t>、效益指标</w:t>
      </w:r>
      <w:r>
        <w:rPr>
          <w:rFonts w:hint="default" w:ascii="Times New Roman" w:hAnsi="Times New Roman" w:cs="Times New Roman"/>
          <w:color w:val="auto"/>
          <w:highlight w:val="none"/>
          <w:lang w:val="en-US" w:eastAsia="zh-CN"/>
        </w:rPr>
        <w:t>（35分）</w:t>
      </w:r>
      <w:r>
        <w:rPr>
          <w:rFonts w:hint="default" w:ascii="Times New Roman" w:hAnsi="Times New Roman" w:cs="Times New Roman" w:eastAsiaTheme="minorEastAsia"/>
          <w:color w:val="auto"/>
          <w:highlight w:val="none"/>
          <w:lang w:val="en-US" w:eastAsia="zh-CN"/>
        </w:rPr>
        <w:t>四类指标。</w:t>
      </w:r>
    </w:p>
    <w:p>
      <w:pPr>
        <w:pageBreakBefore w:val="0"/>
        <w:kinsoku/>
        <w:wordWrap/>
        <w:overflowPunct/>
        <w:topLinePunct w:val="0"/>
        <w:autoSpaceDE/>
        <w:autoSpaceDN/>
        <w:bidi w:val="0"/>
        <w:spacing w:line="360" w:lineRule="exact"/>
        <w:rPr>
          <w:rFonts w:hint="default" w:eastAsia="宋体"/>
          <w:color w:val="auto"/>
          <w:highlight w:val="none"/>
          <w:lang w:val="en-US" w:eastAsia="zh-CN"/>
        </w:rPr>
      </w:pPr>
      <w:r>
        <w:rPr>
          <w:rFonts w:hint="default"/>
          <w:color w:val="auto"/>
          <w:highlight w:val="none"/>
          <w:lang w:val="en-US" w:eastAsia="zh-CN"/>
        </w:rPr>
        <w:t>共性指标部分：</w:t>
      </w:r>
      <w:r>
        <w:rPr>
          <w:rFonts w:hint="default" w:ascii="Times New Roman" w:hAnsi="Times New Roman" w:cs="Times New Roman" w:eastAsiaTheme="minorEastAsia"/>
          <w:color w:val="auto"/>
          <w:highlight w:val="none"/>
          <w:lang w:val="en-US" w:eastAsia="zh-CN"/>
        </w:rPr>
        <w:t>决策指标和过程指标</w:t>
      </w:r>
      <w:r>
        <w:rPr>
          <w:rFonts w:hint="default" w:cs="Times New Roman"/>
          <w:color w:val="auto"/>
          <w:highlight w:val="none"/>
          <w:lang w:val="en-US" w:eastAsia="zh-CN"/>
        </w:rPr>
        <w:t>参</w:t>
      </w:r>
      <w:r>
        <w:rPr>
          <w:rFonts w:hint="default" w:ascii="Times New Roman" w:hAnsi="Times New Roman" w:cs="Times New Roman" w:eastAsiaTheme="minorEastAsia"/>
          <w:color w:val="auto"/>
          <w:highlight w:val="none"/>
          <w:lang w:val="en-US" w:eastAsia="zh-CN"/>
        </w:rPr>
        <w:t>照《项目支出绩效评价管理办法》（财预〔2020〕10号）指导</w:t>
      </w:r>
      <w:r>
        <w:rPr>
          <w:rFonts w:hint="default" w:cs="Times New Roman"/>
          <w:color w:val="auto"/>
          <w:highlight w:val="none"/>
          <w:lang w:val="en-US" w:eastAsia="zh-CN"/>
        </w:rPr>
        <w:t>绩效评价</w:t>
      </w:r>
      <w:r>
        <w:rPr>
          <w:rFonts w:hint="default" w:ascii="Times New Roman" w:hAnsi="Times New Roman" w:cs="Times New Roman" w:eastAsiaTheme="minorEastAsia"/>
          <w:color w:val="auto"/>
          <w:highlight w:val="none"/>
          <w:lang w:val="en-US" w:eastAsia="zh-CN"/>
        </w:rPr>
        <w:t>体系设置。</w:t>
      </w:r>
    </w:p>
    <w:p>
      <w:pPr>
        <w:pageBreakBefore w:val="0"/>
        <w:numPr>
          <w:ilvl w:val="-1"/>
          <w:numId w:val="0"/>
        </w:numPr>
        <w:kinsoku/>
        <w:wordWrap/>
        <w:overflowPunct/>
        <w:topLinePunct w:val="0"/>
        <w:autoSpaceDE/>
        <w:autoSpaceDN/>
        <w:bidi w:val="0"/>
        <w:spacing w:line="360" w:lineRule="exact"/>
        <w:ind w:leftChars="0" w:firstLine="420" w:firstLineChars="200"/>
        <w:rPr>
          <w:rFonts w:hint="default"/>
          <w:color w:val="auto"/>
          <w:highlight w:val="none"/>
          <w:lang w:val="en-US" w:eastAsia="zh-CN"/>
        </w:rPr>
      </w:pPr>
      <w:r>
        <w:rPr>
          <w:rFonts w:hint="default"/>
          <w:color w:val="auto"/>
          <w:highlight w:val="none"/>
          <w:lang w:val="en-US" w:eastAsia="zh-CN"/>
        </w:rPr>
        <w:t>个性指标部分：</w:t>
      </w:r>
      <w:r>
        <w:rPr>
          <w:rFonts w:hint="default"/>
          <w:color w:val="auto"/>
          <w:highlight w:val="none"/>
        </w:rPr>
        <w:t>绩效评价小组</w:t>
      </w:r>
      <w:r>
        <w:rPr>
          <w:rFonts w:hint="default"/>
          <w:color w:val="auto"/>
          <w:highlight w:val="none"/>
          <w:lang w:val="en-US" w:eastAsia="zh-CN"/>
        </w:rPr>
        <w:t>根据耕地地力保护补贴政策要求，结合</w:t>
      </w:r>
      <w:r>
        <w:rPr>
          <w:rFonts w:hint="default"/>
          <w:color w:val="auto"/>
          <w:highlight w:val="none"/>
        </w:rPr>
        <w:t>自治区农业农村厅下发的《2023年自治区耕地地力保护补贴实施方案》</w:t>
      </w:r>
      <w:r>
        <w:rPr>
          <w:rFonts w:hint="default" w:ascii="Times New Roman" w:hAnsi="Times New Roman" w:eastAsia="宋体" w:cs="Times New Roman"/>
          <w:color w:val="auto"/>
          <w:highlight w:val="none"/>
        </w:rPr>
        <w:t>《巴楚县2023年耕地地力保护补贴实施方案》</w:t>
      </w:r>
      <w:r>
        <w:rPr>
          <w:rFonts w:hint="default"/>
          <w:color w:val="auto"/>
          <w:highlight w:val="none"/>
        </w:rPr>
        <w:t>等资料</w:t>
      </w:r>
      <w:r>
        <w:rPr>
          <w:rFonts w:hint="default"/>
          <w:color w:val="auto"/>
          <w:highlight w:val="none"/>
          <w:lang w:eastAsia="zh-CN"/>
        </w:rPr>
        <w:t>，</w:t>
      </w:r>
      <w:r>
        <w:rPr>
          <w:rFonts w:hint="default"/>
          <w:color w:val="auto"/>
          <w:highlight w:val="none"/>
          <w:lang w:val="en-US" w:eastAsia="zh-CN"/>
        </w:rPr>
        <w:t>对</w:t>
      </w:r>
      <w:r>
        <w:rPr>
          <w:rFonts w:hint="default"/>
          <w:color w:val="auto"/>
          <w:highlight w:val="none"/>
        </w:rPr>
        <w:t>绩效指标体系进行了细化和明确</w:t>
      </w:r>
      <w:r>
        <w:rPr>
          <w:rFonts w:hint="default"/>
          <w:color w:val="auto"/>
          <w:highlight w:val="none"/>
          <w:lang w:eastAsia="zh-CN"/>
        </w:rPr>
        <w:t>，</w:t>
      </w:r>
      <w:r>
        <w:rPr>
          <w:rFonts w:hint="default"/>
          <w:color w:val="auto"/>
          <w:highlight w:val="none"/>
          <w:lang w:val="en-US" w:eastAsia="zh-CN"/>
        </w:rPr>
        <w:t>对项目耕地地力保护补贴政策执行程序、项目实施效益进行着重考核</w:t>
      </w:r>
      <w:r>
        <w:rPr>
          <w:rFonts w:hint="default"/>
          <w:color w:val="auto"/>
          <w:highlight w:val="none"/>
          <w:lang w:eastAsia="zh-CN"/>
        </w:rPr>
        <w:t>。</w:t>
      </w:r>
      <w:r>
        <w:rPr>
          <w:rFonts w:hint="default"/>
          <w:color w:val="auto"/>
          <w:highlight w:val="none"/>
          <w:lang w:val="en-US" w:eastAsia="zh-CN"/>
        </w:rPr>
        <w:t>结合</w:t>
      </w:r>
      <w:r>
        <w:rPr>
          <w:rFonts w:hint="default" w:ascii="Times New Roman" w:hAnsi="Times New Roman" w:cs="Times New Roman"/>
          <w:color w:val="auto"/>
          <w:highlight w:val="none"/>
        </w:rPr>
        <w:t>引导农民自觉提升耕地地力，推动粮食生产能力稳步提升，促进种植业结构合理调整</w:t>
      </w:r>
      <w:r>
        <w:rPr>
          <w:rFonts w:hint="default" w:ascii="Times New Roman" w:hAnsi="Times New Roman" w:cs="Times New Roman"/>
          <w:color w:val="auto"/>
          <w:highlight w:val="none"/>
          <w:lang w:val="en-US" w:eastAsia="zh-CN"/>
        </w:rPr>
        <w:t>的政策导向</w:t>
      </w:r>
      <w:r>
        <w:rPr>
          <w:rFonts w:hint="default"/>
          <w:color w:val="auto"/>
          <w:highlight w:val="none"/>
          <w:lang w:val="en-US" w:eastAsia="zh-CN"/>
        </w:rPr>
        <w:t>，设置了补贴合法耕地冬小麦种植占比的质量指标，设置了冬小麦单产增幅、</w:t>
      </w:r>
      <w:r>
        <w:rPr>
          <w:rFonts w:hint="default"/>
          <w:color w:val="auto"/>
          <w:highlight w:val="none"/>
        </w:rPr>
        <w:t>耕地地力保护补贴政策知晓率</w:t>
      </w:r>
      <w:r>
        <w:rPr>
          <w:rFonts w:hint="default"/>
          <w:color w:val="auto"/>
          <w:highlight w:val="none"/>
          <w:lang w:val="en-US" w:eastAsia="zh-CN"/>
        </w:rPr>
        <w:t>以及提升耕地地力、促进农民增收的效益指标。</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62" w:name="_Toc10921"/>
      <w:bookmarkStart w:id="63" w:name="_Toc3060"/>
      <w:bookmarkStart w:id="64" w:name="_Toc14540"/>
      <w:r>
        <w:rPr>
          <w:rFonts w:hint="default"/>
          <w:b/>
          <w:bCs/>
          <w:color w:val="auto"/>
          <w:sz w:val="24"/>
          <w:szCs w:val="28"/>
          <w:highlight w:val="none"/>
          <w:lang w:val="en-US" w:eastAsia="zh-CN"/>
        </w:rPr>
        <w:t>（五）绩效评价方法</w:t>
      </w:r>
      <w:bookmarkEnd w:id="62"/>
      <w:bookmarkEnd w:id="63"/>
      <w:bookmarkEnd w:id="64"/>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w:t>
      </w:r>
      <w:r>
        <w:rPr>
          <w:rFonts w:hint="default" w:ascii="Times New Roman" w:hAnsi="Times New Roman" w:cs="Times New Roman"/>
          <w:color w:val="auto"/>
          <w:highlight w:val="none"/>
          <w:lang w:eastAsia="zh-CN"/>
        </w:rPr>
        <w:t>该项目</w:t>
      </w:r>
      <w:r>
        <w:rPr>
          <w:rFonts w:hint="default" w:ascii="Times New Roman" w:hAnsi="Times New Roman" w:cs="Times New Roman"/>
          <w:color w:val="auto"/>
          <w:highlight w:val="none"/>
        </w:rPr>
        <w:t>绩效。根据不同三级指标</w:t>
      </w:r>
      <w:r>
        <w:rPr>
          <w:rFonts w:hint="default" w:cs="Times New Roman"/>
          <w:color w:val="auto"/>
          <w:highlight w:val="none"/>
          <w:lang w:eastAsia="zh-CN"/>
        </w:rPr>
        <w:t>的</w:t>
      </w:r>
      <w:r>
        <w:rPr>
          <w:rFonts w:hint="default" w:ascii="Times New Roman" w:hAnsi="Times New Roman" w:cs="Times New Roman"/>
          <w:color w:val="auto"/>
          <w:highlight w:val="none"/>
        </w:rPr>
        <w:t>类型进行逐项分析。</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（1）项目决策类指标评价方法</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立项依据充分性：比较法和文献法，查找法律法规政策以及规划，对比实际执行内容和政策支持内容是否匹配，分析立项依据充分性。</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立项程序规范性：比较法和文献法，查找相关项目设立的政策和文件要求，对比分析实际执行程序是否按照政策及文件要求执行，分析立项程序的规范性。</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绩效目标合理性：文献法和因素分析法，对比分析年初编制项目支出绩效目标表与项目内容的相关性、资金的匹配性等。</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绩效指标明确性：文献法和因素分析法，比较分析年初编制项目支出绩效目标表是否符合双七原则，是否可衡量。</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预算编制科学性：比较法和因素分析法，项目预算编制是否经过科学论证、有明确标准，资金额度与年度目标是否相适应，用以反映和考核项目预算编制的科学性、合理性情况。</w:t>
      </w:r>
    </w:p>
    <w:p>
      <w:pPr>
        <w:pageBreakBefore w:val="0"/>
        <w:kinsoku/>
        <w:wordWrap/>
        <w:overflowPunct/>
        <w:topLinePunct w:val="0"/>
        <w:autoSpaceDE/>
        <w:autoSpaceDN/>
        <w:bidi w:val="0"/>
        <w:spacing w:line="360" w:lineRule="exact"/>
        <w:ind w:firstLine="420"/>
        <w:rPr>
          <w:rFonts w:ascii="Times New Roman" w:hAnsi="Times New Roman" w:eastAsia="宋体" w:cs="Times New Roman"/>
          <w:color w:val="auto"/>
          <w:highlight w:val="none"/>
        </w:rPr>
      </w:pPr>
      <w:r>
        <w:rPr>
          <w:rFonts w:hint="default" w:ascii="Times New Roman" w:hAnsi="Times New Roman" w:cs="Times New Roman"/>
          <w:color w:val="auto"/>
          <w:highlight w:val="none"/>
        </w:rPr>
        <w:t>资金分配合理性：因素分析法，综合分析资金的分配依据是否充分，分配金额是否与项目实施单位需求金额一致。</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（2）项目过程类指标评价方法</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资金到位率：比较法和因素分析法，项目完成且资金到位数满足年度预算规模需求，得3分；项目尚未完成，资金到位</w:t>
      </w:r>
      <w:r>
        <w:rPr>
          <w:rFonts w:hint="default" w:ascii="Times New Roman" w:hAnsi="Times New Roman" w:eastAsia="宋体" w:cs="Times New Roman"/>
          <w:color w:val="auto"/>
          <w:highlight w:val="none"/>
        </w:rPr>
        <w:t>率小于100%且大于等于80%的得2分，资金到位率小于80%且大于等于60%的得1</w:t>
      </w:r>
      <w:r>
        <w:rPr>
          <w:rFonts w:hint="eastAsia" w:eastAsia="宋体" w:cs="Times New Roman"/>
          <w:color w:val="auto"/>
          <w:highlight w:val="none"/>
          <w:lang w:eastAsia="zh-CN"/>
        </w:rPr>
        <w:t>.5</w:t>
      </w:r>
      <w:r>
        <w:rPr>
          <w:rFonts w:hint="default" w:ascii="Times New Roman" w:hAnsi="Times New Roman" w:eastAsia="宋体" w:cs="Times New Roman"/>
          <w:color w:val="auto"/>
          <w:highlight w:val="none"/>
        </w:rPr>
        <w:t>分，资金到位率小于60%的不得分，并分</w:t>
      </w:r>
      <w:r>
        <w:rPr>
          <w:rFonts w:hint="default" w:ascii="Times New Roman" w:hAnsi="Times New Roman" w:cs="Times New Roman"/>
          <w:color w:val="auto"/>
          <w:highlight w:val="none"/>
        </w:rPr>
        <w:t>析实际完成值和预期指标值之间的差距和原因。</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eastAsia="宋体" w:cs="Times New Roman"/>
          <w:color w:val="auto"/>
          <w:highlight w:val="none"/>
        </w:rPr>
        <w:t>预算执行率：比较法和因素分析法，项目完成且执行数控制在年度预算规模之内的，得5分；项目尚未完成，预算执行率小于100%且大于等于80%的得3分，预算执行率小于80%且大于等于60%的得2分，预算执行率小于60%的不得分，并分析</w:t>
      </w:r>
      <w:r>
        <w:rPr>
          <w:rFonts w:hint="default" w:ascii="Times New Roman" w:hAnsi="Times New Roman" w:cs="Times New Roman"/>
          <w:color w:val="auto"/>
          <w:highlight w:val="none"/>
        </w:rPr>
        <w:t>实际完成值和预期指标值之间的差距和原因。</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资金使用合规性：比较法、文献法和因素分析法等，通过实地</w:t>
      </w:r>
      <w:r>
        <w:rPr>
          <w:rFonts w:hint="default" w:ascii="Times New Roman" w:hAnsi="Times New Roman" w:cs="Times New Roman"/>
          <w:color w:val="auto"/>
          <w:szCs w:val="28"/>
          <w:highlight w:val="none"/>
          <w:lang w:val="zh-TW"/>
        </w:rPr>
        <w:t>调研</w:t>
      </w:r>
      <w:r>
        <w:rPr>
          <w:rFonts w:hint="default" w:ascii="Times New Roman" w:hAnsi="Times New Roman" w:cs="Times New Roman"/>
          <w:color w:val="auto"/>
          <w:highlight w:val="none"/>
        </w:rPr>
        <w:t>，检查</w:t>
      </w:r>
      <w:r>
        <w:rPr>
          <w:rFonts w:hint="default" w:ascii="Times New Roman" w:hAnsi="Times New Roman" w:cs="Times New Roman"/>
          <w:color w:val="auto"/>
          <w:szCs w:val="28"/>
          <w:highlight w:val="none"/>
          <w:lang w:val="zh-TW"/>
        </w:rPr>
        <w:t>项目资金使用情况，</w:t>
      </w:r>
      <w:r>
        <w:rPr>
          <w:rFonts w:hint="default" w:ascii="Times New Roman" w:hAnsi="Times New Roman" w:cs="Times New Roman"/>
          <w:color w:val="auto"/>
          <w:highlight w:val="none"/>
        </w:rPr>
        <w:t>对比专项资金管理办法要求，</w:t>
      </w:r>
      <w:r>
        <w:rPr>
          <w:rFonts w:hint="default" w:ascii="Times New Roman" w:hAnsi="Times New Roman" w:cs="Times New Roman"/>
          <w:color w:val="auto"/>
          <w:szCs w:val="28"/>
          <w:highlight w:val="none"/>
        </w:rPr>
        <w:t>分析</w:t>
      </w:r>
      <w:r>
        <w:rPr>
          <w:rFonts w:hint="default" w:ascii="Times New Roman" w:hAnsi="Times New Roman" w:cs="Times New Roman"/>
          <w:color w:val="auto"/>
          <w:highlight w:val="none"/>
        </w:rPr>
        <w:t>资金使用合规性。</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管理制度健全性：文献法、比较法和因素分析法等，通过查阅项目实施单位提供的财务和业务管理制度，将已建立的制度与现行的法律法规和政策要求进行对比，分析项目制度的合法性、合规性、完整性。</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制度执行有效性：文献法和因素分析法，结合项目实际实施过程性文件，根据已建设的财务管理制度和项目管理制度综合分析制度执行的有效性。</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（3）项目产出类指标评价方法</w:t>
      </w: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pPr>
      <w:r>
        <w:rPr>
          <w:rFonts w:hint="default" w:ascii="Times New Roman" w:hAnsi="Times New Roman" w:cs="Times New Roman"/>
          <w:color w:val="auto"/>
          <w:highlight w:val="none"/>
        </w:rPr>
        <w:t>一般量化统计类等定量指标：通过对比实际完成值和预期指标值和历史值对比分析，达成预期指标值的，记该指标所赋全部分值；对完成值高于指标值较多的，要分析原因，如果是由于年初指标值设定明显偏低造成的，要按照偏离度适度调减分值；未完成指标值的，</w:t>
      </w:r>
      <w:r>
        <w:rPr>
          <w:rFonts w:hint="default" w:ascii="Times New Roman" w:hAnsi="Times New Roman" w:eastAsia="宋体" w:cs="Times New Roman"/>
          <w:color w:val="auto"/>
          <w:highlight w:val="none"/>
        </w:rPr>
        <w:t>按照完成值与指标值的</w:t>
      </w:r>
      <w:r>
        <w:rPr>
          <w:rFonts w:hint="default" w:ascii="Times New Roman" w:hAnsi="Times New Roman" w:cs="Times New Roman"/>
          <w:color w:val="auto"/>
          <w:highlight w:val="none"/>
          <w:lang w:eastAsia="zh-Hans"/>
        </w:rPr>
        <w:t>比值计算分值</w:t>
      </w:r>
      <w:r>
        <w:rPr>
          <w:rFonts w:hint="default" w:ascii="Times New Roman" w:hAnsi="Times New Roman" w:cs="Times New Roman"/>
          <w:color w:val="auto"/>
          <w:highlight w:val="none"/>
        </w:rPr>
        <w:t>。</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（4）项目效益类指标评价方法</w:t>
      </w:r>
    </w:p>
    <w:p>
      <w:pPr>
        <w:pageBreakBefore w:val="0"/>
        <w:kinsoku/>
        <w:wordWrap/>
        <w:overflowPunct/>
        <w:topLinePunct w:val="0"/>
        <w:autoSpaceDE/>
        <w:autoSpaceDN/>
        <w:bidi w:val="0"/>
        <w:spacing w:line="360" w:lineRule="exact"/>
        <w:rPr>
          <w:rFonts w:ascii="Times New Roman" w:hAnsi="Times New Roman" w:cs="Times New Roman"/>
          <w:color w:val="auto"/>
          <w:highlight w:val="none"/>
        </w:rPr>
      </w:pPr>
      <w:r>
        <w:rPr>
          <w:rFonts w:hint="default" w:ascii="Times New Roman" w:hAnsi="Times New Roman" w:cs="Times New Roman"/>
          <w:color w:val="auto"/>
          <w:highlight w:val="none"/>
        </w:rPr>
        <w:t>项目效益类指标主要采用公众评判法，辅以文献法、比较法和因素分析法，通过问卷及抽样调查等方式评价</w:t>
      </w:r>
      <w:r>
        <w:rPr>
          <w:rFonts w:hint="default" w:ascii="Times New Roman" w:hAnsi="Times New Roman" w:cs="Times New Roman"/>
          <w:color w:val="auto"/>
          <w:highlight w:val="none"/>
          <w:lang w:eastAsia="zh-CN"/>
        </w:rPr>
        <w:t>该项目</w:t>
      </w:r>
      <w:r>
        <w:rPr>
          <w:rFonts w:hint="default" w:ascii="Times New Roman" w:hAnsi="Times New Roman" w:cs="Times New Roman"/>
          <w:color w:val="auto"/>
          <w:highlight w:val="none"/>
        </w:rPr>
        <w:t>实施后社会公众对于其实施效果的满意程度。</w:t>
      </w:r>
    </w:p>
    <w:p>
      <w:pPr>
        <w:pageBreakBefore w:val="0"/>
        <w:kinsoku/>
        <w:wordWrap/>
        <w:overflowPunct/>
        <w:topLinePunct w:val="0"/>
        <w:autoSpaceDE/>
        <w:autoSpaceDN/>
        <w:bidi w:val="0"/>
        <w:spacing w:line="360" w:lineRule="exact"/>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w:instrText>
      </w:r>
      <w:r>
        <w:rPr>
          <w:rFonts w:hint="default" w:ascii="Times New Roman" w:hAnsi="Times New Roman" w:cs="Times New Roman"/>
          <w:color w:val="auto"/>
          <w:highlight w:val="none"/>
        </w:rPr>
        <w:instrText xml:space="preserve">= 1 \* GB3</w:instrText>
      </w:r>
      <w:r>
        <w:rPr>
          <w:rFonts w:ascii="Times New Roman" w:hAnsi="Times New Roman" w:cs="Times New Roman"/>
          <w:color w:val="auto"/>
          <w:highlight w:val="none"/>
        </w:rPr>
        <w:instrText xml:space="preserve"> </w:instrText>
      </w:r>
      <w:r>
        <w:rPr>
          <w:rFonts w:ascii="Times New Roman" w:hAnsi="Times New Roman" w:cs="Times New Roman"/>
          <w:color w:val="auto"/>
          <w:highlight w:val="none"/>
        </w:rPr>
        <w:fldChar w:fldCharType="separate"/>
      </w:r>
      <w:r>
        <w:rPr>
          <w:rFonts w:hint="default" w:ascii="Times New Roman" w:hAnsi="Times New Roman" w:cs="Times New Roman"/>
          <w:color w:val="auto"/>
          <w:highlight w:val="none"/>
        </w:rPr>
        <w:t>①</w:t>
      </w:r>
      <w:r>
        <w:rPr>
          <w:rFonts w:ascii="Times New Roman" w:hAnsi="Times New Roman" w:cs="Times New Roman"/>
          <w:color w:val="auto"/>
          <w:highlight w:val="none"/>
        </w:rPr>
        <w:fldChar w:fldCharType="end"/>
      </w:r>
      <w:r>
        <w:rPr>
          <w:rFonts w:hint="default" w:ascii="Times New Roman" w:hAnsi="Times New Roman" w:cs="Times New Roman"/>
          <w:color w:val="auto"/>
          <w:highlight w:val="none"/>
        </w:rPr>
        <w:t>文献研究法：对项目实施内容、预算执行管理要求、活动完成情况及预期效果实现情况等相关资料进行研究、比较、分析，提取重要信息。</w:t>
      </w:r>
    </w:p>
    <w:p>
      <w:pPr>
        <w:pageBreakBefore w:val="0"/>
        <w:kinsoku/>
        <w:wordWrap/>
        <w:overflowPunct/>
        <w:topLinePunct w:val="0"/>
        <w:autoSpaceDE/>
        <w:autoSpaceDN/>
        <w:bidi w:val="0"/>
        <w:spacing w:line="360" w:lineRule="exact"/>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w:instrText>
      </w:r>
      <w:r>
        <w:rPr>
          <w:rFonts w:hint="default" w:ascii="Times New Roman" w:hAnsi="Times New Roman" w:cs="Times New Roman"/>
          <w:color w:val="auto"/>
          <w:highlight w:val="none"/>
        </w:rPr>
        <w:instrText xml:space="preserve">= 2 \* GB3</w:instrText>
      </w:r>
      <w:r>
        <w:rPr>
          <w:rFonts w:ascii="Times New Roman" w:hAnsi="Times New Roman" w:cs="Times New Roman"/>
          <w:color w:val="auto"/>
          <w:highlight w:val="none"/>
        </w:rPr>
        <w:instrText xml:space="preserve"> </w:instrText>
      </w:r>
      <w:r>
        <w:rPr>
          <w:rFonts w:ascii="Times New Roman" w:hAnsi="Times New Roman" w:cs="Times New Roman"/>
          <w:color w:val="auto"/>
          <w:highlight w:val="none"/>
        </w:rPr>
        <w:fldChar w:fldCharType="separate"/>
      </w:r>
      <w:r>
        <w:rPr>
          <w:rFonts w:hint="default" w:ascii="Times New Roman" w:hAnsi="Times New Roman" w:cs="Times New Roman"/>
          <w:color w:val="auto"/>
          <w:highlight w:val="none"/>
        </w:rPr>
        <w:t>②</w:t>
      </w:r>
      <w:r>
        <w:rPr>
          <w:rFonts w:ascii="Times New Roman" w:hAnsi="Times New Roman" w:cs="Times New Roman"/>
          <w:color w:val="auto"/>
          <w:highlight w:val="none"/>
        </w:rPr>
        <w:fldChar w:fldCharType="end"/>
      </w:r>
      <w:r>
        <w:rPr>
          <w:rFonts w:hint="default" w:ascii="Times New Roman" w:hAnsi="Times New Roman" w:cs="Times New Roman"/>
          <w:color w:val="auto"/>
          <w:highlight w:val="none"/>
        </w:rPr>
        <w:t>公众评判法：利益相关方</w:t>
      </w:r>
      <w:r>
        <w:rPr>
          <w:rFonts w:hint="default" w:ascii="Times New Roman" w:hAnsi="Times New Roman" w:cs="Times New Roman"/>
          <w:color w:val="auto"/>
          <w:highlight w:val="none"/>
          <w:lang w:val="en-US" w:eastAsia="zh-CN"/>
        </w:rPr>
        <w:t>对</w:t>
      </w:r>
      <w:r>
        <w:rPr>
          <w:rFonts w:hint="default" w:ascii="Times New Roman" w:hAnsi="Times New Roman" w:cs="Times New Roman"/>
          <w:color w:val="auto"/>
          <w:highlight w:val="none"/>
        </w:rPr>
        <w:t>实施效果的反馈对本次评价工作具有重要意义，评价过程中采用个别访谈或调查问卷等方式开展相关工作。调研结果参照《关于印发&lt;自治区项目支出绩效目标设置指引&gt;的通知）（新财预〔2022〕42号）文件，分为基本达成目标、部分实现目标、实现目标程度较低三档，分别按照该指标对应分值区间</w:t>
      </w:r>
      <w:r>
        <w:rPr>
          <w:rFonts w:hint="eastAsia" w:cs="Times New Roman"/>
          <w:color w:val="auto"/>
          <w:highlight w:val="none"/>
          <w:lang w:eastAsia="zh-CN"/>
        </w:rPr>
        <w:t>100%~80%</w:t>
      </w:r>
      <w:r>
        <w:rPr>
          <w:rFonts w:hint="default" w:ascii="Times New Roman" w:hAnsi="Times New Roman" w:cs="Times New Roman"/>
          <w:color w:val="auto"/>
          <w:highlight w:val="none"/>
        </w:rPr>
        <w:t>（含）、</w:t>
      </w:r>
      <w:r>
        <w:rPr>
          <w:rFonts w:hint="eastAsia" w:cs="Times New Roman"/>
          <w:color w:val="auto"/>
          <w:highlight w:val="none"/>
          <w:lang w:eastAsia="zh-CN"/>
        </w:rPr>
        <w:t>80%~60%</w:t>
      </w:r>
      <w:r>
        <w:rPr>
          <w:rFonts w:hint="default" w:ascii="Times New Roman" w:hAnsi="Times New Roman" w:cs="Times New Roman"/>
          <w:color w:val="auto"/>
          <w:highlight w:val="none"/>
        </w:rPr>
        <w:t>（含）、</w:t>
      </w:r>
      <w:r>
        <w:rPr>
          <w:rFonts w:hint="eastAsia" w:cs="Times New Roman"/>
          <w:color w:val="auto"/>
          <w:highlight w:val="none"/>
          <w:lang w:eastAsia="zh-CN"/>
        </w:rPr>
        <w:t>60%~0%</w:t>
      </w:r>
      <w:r>
        <w:rPr>
          <w:rFonts w:hint="default" w:ascii="Times New Roman" w:hAnsi="Times New Roman" w:cs="Times New Roman"/>
          <w:color w:val="auto"/>
          <w:highlight w:val="none"/>
        </w:rPr>
        <w:t>合理确定分值。</w:t>
      </w:r>
    </w:p>
    <w:p>
      <w:pPr>
        <w:pageBreakBefore w:val="0"/>
        <w:kinsoku/>
        <w:wordWrap/>
        <w:overflowPunct/>
        <w:topLinePunct w:val="0"/>
        <w:autoSpaceDE/>
        <w:autoSpaceDN/>
        <w:bidi w:val="0"/>
        <w:spacing w:line="360" w:lineRule="exact"/>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w:instrText>
      </w:r>
      <w:r>
        <w:rPr>
          <w:rFonts w:hint="default" w:ascii="Times New Roman" w:hAnsi="Times New Roman" w:cs="Times New Roman"/>
          <w:color w:val="auto"/>
          <w:highlight w:val="none"/>
        </w:rPr>
        <w:instrText xml:space="preserve">= 3 \* GB3</w:instrText>
      </w:r>
      <w:r>
        <w:rPr>
          <w:rFonts w:ascii="Times New Roman" w:hAnsi="Times New Roman" w:cs="Times New Roman"/>
          <w:color w:val="auto"/>
          <w:highlight w:val="none"/>
        </w:rPr>
        <w:instrText xml:space="preserve"> </w:instrText>
      </w:r>
      <w:r>
        <w:rPr>
          <w:rFonts w:ascii="Times New Roman" w:hAnsi="Times New Roman" w:cs="Times New Roman"/>
          <w:color w:val="auto"/>
          <w:highlight w:val="none"/>
        </w:rPr>
        <w:fldChar w:fldCharType="separate"/>
      </w:r>
      <w:r>
        <w:rPr>
          <w:rFonts w:hint="default" w:ascii="Times New Roman" w:hAnsi="Times New Roman" w:cs="Times New Roman"/>
          <w:color w:val="auto"/>
          <w:highlight w:val="none"/>
        </w:rPr>
        <w:t>③</w:t>
      </w:r>
      <w:r>
        <w:rPr>
          <w:rFonts w:ascii="Times New Roman" w:hAnsi="Times New Roman" w:cs="Times New Roman"/>
          <w:color w:val="auto"/>
          <w:highlight w:val="none"/>
        </w:rPr>
        <w:fldChar w:fldCharType="end"/>
      </w:r>
      <w:r>
        <w:rPr>
          <w:rFonts w:hint="default" w:ascii="Times New Roman" w:hAnsi="Times New Roman" w:cs="Times New Roman"/>
          <w:color w:val="auto"/>
          <w:highlight w:val="none"/>
        </w:rPr>
        <w:t>比较法：在分析实际发挥效果程度时，通过对工作任务、目标与实施完成情况、实施效果的比较，综合分析年度目标任务的实现程度。</w:t>
      </w:r>
    </w:p>
    <w:p>
      <w:pPr>
        <w:pageBreakBefore w:val="0"/>
        <w:kinsoku/>
        <w:wordWrap/>
        <w:overflowPunct/>
        <w:topLinePunct w:val="0"/>
        <w:autoSpaceDE/>
        <w:autoSpaceDN/>
        <w:bidi w:val="0"/>
        <w:spacing w:line="360" w:lineRule="exact"/>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w:instrText>
      </w:r>
      <w:r>
        <w:rPr>
          <w:rFonts w:hint="default" w:ascii="Times New Roman" w:hAnsi="Times New Roman" w:cs="Times New Roman"/>
          <w:color w:val="auto"/>
          <w:highlight w:val="none"/>
        </w:rPr>
        <w:instrText xml:space="preserve">= 4 \* GB3</w:instrText>
      </w:r>
      <w:r>
        <w:rPr>
          <w:rFonts w:ascii="Times New Roman" w:hAnsi="Times New Roman" w:cs="Times New Roman"/>
          <w:color w:val="auto"/>
          <w:highlight w:val="none"/>
        </w:rPr>
        <w:instrText xml:space="preserve"> </w:instrText>
      </w:r>
      <w:r>
        <w:rPr>
          <w:rFonts w:ascii="Times New Roman" w:hAnsi="Times New Roman" w:cs="Times New Roman"/>
          <w:color w:val="auto"/>
          <w:highlight w:val="none"/>
        </w:rPr>
        <w:fldChar w:fldCharType="separate"/>
      </w:r>
      <w:r>
        <w:rPr>
          <w:rFonts w:hint="default" w:ascii="Times New Roman" w:hAnsi="Times New Roman" w:cs="Times New Roman"/>
          <w:color w:val="auto"/>
          <w:highlight w:val="none"/>
        </w:rPr>
        <w:t>④</w:t>
      </w:r>
      <w:r>
        <w:rPr>
          <w:rFonts w:ascii="Times New Roman" w:hAnsi="Times New Roman" w:cs="Times New Roman"/>
          <w:color w:val="auto"/>
          <w:highlight w:val="none"/>
        </w:rPr>
        <w:fldChar w:fldCharType="end"/>
      </w:r>
      <w:r>
        <w:rPr>
          <w:rFonts w:hint="default" w:ascii="Times New Roman" w:hAnsi="Times New Roman" w:cs="Times New Roman"/>
          <w:color w:val="auto"/>
          <w:highlight w:val="none"/>
        </w:rPr>
        <w:t>因素分析法：通过综合分析影响项目年度任务实现及实施效果的内外因素，评价其实现程度</w:t>
      </w:r>
      <w:r>
        <w:rPr>
          <w:rFonts w:ascii="Times New Roman" w:hAnsi="Times New Roman" w:cs="Times New Roman"/>
          <w:color w:val="auto"/>
          <w:highlight w:val="none"/>
        </w:rPr>
        <w:t>。</w:t>
      </w:r>
    </w:p>
    <w:p>
      <w:pPr>
        <w:pageBreakBefore w:val="0"/>
        <w:kinsoku/>
        <w:wordWrap/>
        <w:overflowPunct/>
        <w:topLinePunct w:val="0"/>
        <w:autoSpaceDE/>
        <w:autoSpaceDN/>
        <w:bidi w:val="0"/>
        <w:spacing w:line="360" w:lineRule="exact"/>
        <w:ind w:firstLine="482"/>
        <w:rPr>
          <w:rFonts w:hint="eastAsia"/>
          <w:b/>
          <w:bCs/>
          <w:color w:val="auto"/>
          <w:sz w:val="24"/>
          <w:szCs w:val="28"/>
          <w:highlight w:val="none"/>
          <w:lang w:val="en-US" w:eastAsia="zh-CN"/>
        </w:rPr>
      </w:pPr>
      <w:bookmarkStart w:id="65" w:name="_Toc1455"/>
      <w:r>
        <w:rPr>
          <w:rFonts w:hint="default"/>
          <w:b/>
          <w:bCs/>
          <w:color w:val="auto"/>
          <w:sz w:val="24"/>
          <w:szCs w:val="28"/>
          <w:highlight w:val="none"/>
          <w:lang w:val="en-US" w:eastAsia="zh-CN"/>
        </w:rPr>
        <w:t>（六）绩效评价</w:t>
      </w:r>
      <w:r>
        <w:rPr>
          <w:rFonts w:hint="eastAsia"/>
          <w:b/>
          <w:bCs/>
          <w:color w:val="auto"/>
          <w:sz w:val="24"/>
          <w:szCs w:val="28"/>
          <w:highlight w:val="none"/>
          <w:lang w:val="en-US" w:eastAsia="zh-CN"/>
        </w:rPr>
        <w:t>标准</w:t>
      </w:r>
      <w:bookmarkEnd w:id="65"/>
    </w:p>
    <w:p>
      <w:pPr>
        <w:pageBreakBefore w:val="0"/>
        <w:kinsoku/>
        <w:wordWrap/>
        <w:overflowPunct/>
        <w:topLinePunct w:val="0"/>
        <w:autoSpaceDE/>
        <w:autoSpaceDN/>
        <w:bidi w:val="0"/>
        <w:spacing w:line="360" w:lineRule="exact"/>
        <w:rPr>
          <w:rFonts w:ascii="Times New Roman" w:hAnsi="Times New Roman" w:cs="Times New Roman"/>
          <w:color w:val="auto"/>
          <w:highlight w:val="none"/>
        </w:rPr>
      </w:pPr>
      <w:r>
        <w:rPr>
          <w:rFonts w:ascii="Times New Roman" w:hAnsi="Times New Roman" w:cs="Times New Roman" w:eastAsiaTheme="minorEastAsia"/>
          <w:color w:val="auto"/>
          <w:sz w:val="21"/>
          <w:szCs w:val="21"/>
          <w:highlight w:val="none"/>
        </w:rPr>
        <w:t>绩效评价标准通常包括计划标准、行业标准、历史标准等。本次绩效评价采用计划标准，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66" w:name="_Toc20913"/>
      <w:bookmarkStart w:id="67" w:name="_Toc31152"/>
      <w:bookmarkStart w:id="68" w:name="_Toc10326"/>
      <w:r>
        <w:rPr>
          <w:rFonts w:hint="default"/>
          <w:b/>
          <w:bCs/>
          <w:color w:val="auto"/>
          <w:sz w:val="24"/>
          <w:szCs w:val="28"/>
          <w:highlight w:val="none"/>
          <w:lang w:val="en-US" w:eastAsia="zh-CN"/>
        </w:rPr>
        <w:t>（</w:t>
      </w:r>
      <w:r>
        <w:rPr>
          <w:rFonts w:hint="eastAsia"/>
          <w:b/>
          <w:bCs/>
          <w:color w:val="auto"/>
          <w:sz w:val="24"/>
          <w:szCs w:val="28"/>
          <w:highlight w:val="none"/>
          <w:lang w:val="en-US" w:eastAsia="zh-CN"/>
        </w:rPr>
        <w:t>七</w:t>
      </w:r>
      <w:r>
        <w:rPr>
          <w:rFonts w:hint="default"/>
          <w:b/>
          <w:bCs/>
          <w:color w:val="auto"/>
          <w:sz w:val="24"/>
          <w:szCs w:val="28"/>
          <w:highlight w:val="none"/>
          <w:lang w:val="en-US" w:eastAsia="zh-CN"/>
        </w:rPr>
        <w:t>）绩效评价工作过程</w:t>
      </w:r>
      <w:bookmarkEnd w:id="61"/>
      <w:bookmarkEnd w:id="66"/>
      <w:bookmarkEnd w:id="67"/>
      <w:bookmarkEnd w:id="68"/>
    </w:p>
    <w:p>
      <w:pPr>
        <w:pageBreakBefore w:val="0"/>
        <w:kinsoku/>
        <w:wordWrap/>
        <w:overflowPunct/>
        <w:topLinePunct w:val="0"/>
        <w:autoSpaceDE/>
        <w:autoSpaceDN/>
        <w:bidi w:val="0"/>
        <w:spacing w:line="360" w:lineRule="exact"/>
        <w:ind w:firstLine="664"/>
        <w:rPr>
          <w:color w:val="auto"/>
          <w:highlight w:val="none"/>
        </w:rPr>
      </w:pPr>
      <w:r>
        <w:rPr>
          <w:color w:val="auto"/>
          <w:highlight w:val="none"/>
        </w:rPr>
        <w:t>我们接受委托，按规定开展了前期准备、制定绩效评价工作方案、组织实施、报告撰写等绩效评价工作程序。绩效评价从202</w:t>
      </w:r>
      <w:r>
        <w:rPr>
          <w:rFonts w:hint="default"/>
          <w:color w:val="auto"/>
          <w:highlight w:val="none"/>
        </w:rPr>
        <w:t>4</w:t>
      </w:r>
      <w:r>
        <w:rPr>
          <w:color w:val="auto"/>
          <w:highlight w:val="none"/>
        </w:rPr>
        <w:t>年</w:t>
      </w:r>
      <w:r>
        <w:rPr>
          <w:rFonts w:hint="eastAsia"/>
          <w:color w:val="auto"/>
          <w:highlight w:val="none"/>
          <w:lang w:val="en-US" w:eastAsia="zh-CN"/>
        </w:rPr>
        <w:t>7</w:t>
      </w:r>
      <w:r>
        <w:rPr>
          <w:color w:val="auto"/>
          <w:highlight w:val="none"/>
        </w:rPr>
        <w:t>月</w:t>
      </w:r>
      <w:r>
        <w:rPr>
          <w:rFonts w:hint="default"/>
          <w:color w:val="auto"/>
          <w:highlight w:val="none"/>
        </w:rPr>
        <w:t>1</w:t>
      </w:r>
      <w:r>
        <w:rPr>
          <w:color w:val="auto"/>
          <w:highlight w:val="none"/>
        </w:rPr>
        <w:t>日启动，在各方有效配合下，评价工作于202</w:t>
      </w:r>
      <w:r>
        <w:rPr>
          <w:rFonts w:hint="default"/>
          <w:color w:val="auto"/>
          <w:highlight w:val="none"/>
        </w:rPr>
        <w:t>4</w:t>
      </w:r>
      <w:r>
        <w:rPr>
          <w:color w:val="auto"/>
          <w:highlight w:val="none"/>
        </w:rPr>
        <w:t>年</w:t>
      </w:r>
      <w:r>
        <w:rPr>
          <w:rFonts w:hint="default"/>
          <w:color w:val="auto"/>
          <w:highlight w:val="none"/>
          <w:lang w:val="en-US" w:eastAsia="zh-CN"/>
        </w:rPr>
        <w:t>7</w:t>
      </w:r>
      <w:r>
        <w:rPr>
          <w:color w:val="auto"/>
          <w:highlight w:val="none"/>
        </w:rPr>
        <w:t>月</w:t>
      </w:r>
      <w:r>
        <w:rPr>
          <w:rFonts w:hint="eastAsia"/>
          <w:color w:val="auto"/>
          <w:highlight w:val="none"/>
          <w:lang w:val="en-US" w:eastAsia="zh-CN"/>
        </w:rPr>
        <w:t>2</w:t>
      </w:r>
      <w:r>
        <w:rPr>
          <w:rFonts w:hint="default"/>
          <w:color w:val="auto"/>
          <w:highlight w:val="none"/>
        </w:rPr>
        <w:t>5</w:t>
      </w:r>
      <w:r>
        <w:rPr>
          <w:color w:val="auto"/>
          <w:highlight w:val="none"/>
        </w:rPr>
        <w:t>日前完成。主要实施过程如下：</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69" w:name="_Toc4146"/>
      <w:r>
        <w:rPr>
          <w:rFonts w:hint="default"/>
          <w:b/>
          <w:bCs/>
          <w:color w:val="auto"/>
          <w:sz w:val="24"/>
          <w:szCs w:val="28"/>
          <w:highlight w:val="none"/>
          <w:lang w:val="en-US" w:eastAsia="zh-CN"/>
        </w:rPr>
        <w:t>1.前期准备工作</w:t>
      </w:r>
    </w:p>
    <w:p>
      <w:pPr>
        <w:pageBreakBefore w:val="0"/>
        <w:kinsoku/>
        <w:wordWrap/>
        <w:overflowPunct/>
        <w:topLinePunct w:val="0"/>
        <w:autoSpaceDE/>
        <w:autoSpaceDN/>
        <w:bidi w:val="0"/>
        <w:spacing w:line="360" w:lineRule="exact"/>
        <w:ind w:firstLine="420" w:firstLineChars="200"/>
        <w:rPr>
          <w:rFonts w:hint="eastAsia" w:ascii="Times New Roman" w:hAnsi="Times New Roman"/>
          <w:color w:val="auto"/>
          <w:sz w:val="21"/>
          <w:szCs w:val="24"/>
          <w:highlight w:val="none"/>
        </w:rPr>
      </w:pPr>
      <w:r>
        <w:rPr>
          <w:rFonts w:ascii="Times New Roman" w:hAnsi="Times New Roman" w:eastAsiaTheme="minorEastAsia"/>
          <w:bCs/>
          <w:color w:val="auto"/>
          <w:highlight w:val="none"/>
        </w:rPr>
        <w:t>根据项目实际情况，</w:t>
      </w:r>
      <w:r>
        <w:rPr>
          <w:rFonts w:ascii="Times New Roman" w:hAnsi="Times New Roman" w:eastAsiaTheme="minorEastAsia"/>
          <w:color w:val="auto"/>
          <w:highlight w:val="none"/>
        </w:rPr>
        <w:t>收集并了解</w:t>
      </w:r>
      <w:r>
        <w:rPr>
          <w:rFonts w:hint="default" w:ascii="Times New Roman" w:hAnsi="Times New Roman" w:eastAsiaTheme="minorEastAsia"/>
          <w:color w:val="auto"/>
          <w:highlight w:val="none"/>
        </w:rPr>
        <w:t>绩效评价</w:t>
      </w:r>
      <w:r>
        <w:rPr>
          <w:rFonts w:ascii="Times New Roman" w:hAnsi="Times New Roman" w:eastAsiaTheme="minorEastAsia"/>
          <w:color w:val="auto"/>
          <w:highlight w:val="none"/>
        </w:rPr>
        <w:t>所需文件、资料</w:t>
      </w:r>
      <w:r>
        <w:rPr>
          <w:rFonts w:hint="default" w:ascii="Times New Roman" w:hAnsi="Times New Roman" w:eastAsiaTheme="minorEastAsia"/>
          <w:color w:val="auto"/>
          <w:highlight w:val="none"/>
        </w:rPr>
        <w:t>，</w:t>
      </w:r>
      <w:r>
        <w:rPr>
          <w:rFonts w:ascii="Times New Roman" w:hAnsi="Times New Roman" w:eastAsiaTheme="minorEastAsia"/>
          <w:bCs/>
          <w:color w:val="auto"/>
          <w:highlight w:val="none"/>
        </w:rPr>
        <w:t>确定</w:t>
      </w:r>
      <w:r>
        <w:rPr>
          <w:rFonts w:hint="default" w:ascii="Times New Roman" w:hAnsi="Times New Roman" w:eastAsiaTheme="minorEastAsia"/>
          <w:bCs/>
          <w:color w:val="auto"/>
          <w:highlight w:val="none"/>
        </w:rPr>
        <w:t>绩效评价</w:t>
      </w:r>
      <w:r>
        <w:rPr>
          <w:rFonts w:ascii="Times New Roman" w:hAnsi="Times New Roman" w:eastAsiaTheme="minorEastAsia"/>
          <w:bCs/>
          <w:color w:val="auto"/>
          <w:highlight w:val="none"/>
        </w:rPr>
        <w:t>目的</w:t>
      </w:r>
      <w:r>
        <w:rPr>
          <w:rFonts w:hint="default" w:ascii="Times New Roman" w:hAnsi="Times New Roman" w:eastAsiaTheme="minorEastAsia"/>
          <w:bCs/>
          <w:color w:val="auto"/>
          <w:highlight w:val="none"/>
        </w:rPr>
        <w:t>、评价</w:t>
      </w:r>
      <w:r>
        <w:rPr>
          <w:rFonts w:ascii="Times New Roman" w:hAnsi="Times New Roman" w:eastAsiaTheme="minorEastAsia"/>
          <w:bCs/>
          <w:color w:val="auto"/>
          <w:highlight w:val="none"/>
        </w:rPr>
        <w:t>对象和范围、</w:t>
      </w:r>
      <w:r>
        <w:rPr>
          <w:rFonts w:hint="default" w:ascii="Times New Roman" w:hAnsi="Times New Roman" w:eastAsiaTheme="minorEastAsia"/>
          <w:bCs/>
          <w:color w:val="auto"/>
          <w:highlight w:val="none"/>
        </w:rPr>
        <w:t>评价</w:t>
      </w:r>
      <w:r>
        <w:rPr>
          <w:rFonts w:ascii="Times New Roman" w:hAnsi="Times New Roman" w:eastAsiaTheme="minorEastAsia"/>
          <w:bCs/>
          <w:color w:val="auto"/>
          <w:highlight w:val="none"/>
        </w:rPr>
        <w:t>期限，</w:t>
      </w:r>
      <w:r>
        <w:rPr>
          <w:rFonts w:ascii="Times New Roman" w:hAnsi="Times New Roman" w:eastAsiaTheme="minorEastAsia"/>
          <w:color w:val="auto"/>
          <w:highlight w:val="none"/>
        </w:rPr>
        <w:t>制定《</w:t>
      </w:r>
      <w:r>
        <w:rPr>
          <w:rFonts w:hint="default" w:ascii="Times New Roman" w:hAnsi="Times New Roman" w:eastAsiaTheme="minorEastAsia"/>
          <w:color w:val="auto"/>
          <w:highlight w:val="none"/>
          <w:lang w:eastAsia="zh-CN"/>
        </w:rPr>
        <w:t>巴楚县2023年耕地地力保护补贴项目</w:t>
      </w:r>
      <w:r>
        <w:rPr>
          <w:rFonts w:hint="default" w:ascii="Times New Roman" w:hAnsi="Times New Roman" w:eastAsiaTheme="minorEastAsia"/>
          <w:color w:val="auto"/>
          <w:highlight w:val="none"/>
        </w:rPr>
        <w:t>绩效评价</w:t>
      </w:r>
      <w:r>
        <w:rPr>
          <w:rFonts w:ascii="Times New Roman" w:hAnsi="Times New Roman" w:eastAsiaTheme="minorEastAsia"/>
          <w:color w:val="auto"/>
          <w:highlight w:val="none"/>
        </w:rPr>
        <w:t>工作实施方案》</w:t>
      </w:r>
      <w:r>
        <w:rPr>
          <w:rFonts w:hint="default" w:ascii="Times New Roman" w:hAnsi="Times New Roman" w:eastAsiaTheme="minorEastAsia"/>
          <w:color w:val="auto"/>
          <w:highlight w:val="none"/>
        </w:rPr>
        <w:t>，并成立绩效评价小组</w:t>
      </w:r>
      <w:r>
        <w:rPr>
          <w:rFonts w:ascii="Times New Roman" w:hAnsi="Times New Roman" w:eastAsiaTheme="minorEastAsia"/>
          <w:color w:val="auto"/>
          <w:highlight w:val="none"/>
        </w:rPr>
        <w:t>。</w:t>
      </w:r>
      <w:r>
        <w:rPr>
          <w:rFonts w:hint="eastAsia"/>
          <w:color w:val="auto"/>
          <w:sz w:val="21"/>
          <w:szCs w:val="24"/>
          <w:highlight w:val="none"/>
        </w:rPr>
        <w:t>绩效评价小组</w:t>
      </w:r>
      <w:r>
        <w:rPr>
          <w:rFonts w:hint="eastAsia" w:ascii="Times New Roman" w:hAnsi="Times New Roman"/>
          <w:color w:val="auto"/>
          <w:sz w:val="21"/>
          <w:szCs w:val="24"/>
          <w:highlight w:val="none"/>
        </w:rPr>
        <w:t>具体成员及职责分工如下：</w:t>
      </w:r>
    </w:p>
    <w:tbl>
      <w:tblPr>
        <w:tblStyle w:val="18"/>
        <w:tblW w:w="85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623"/>
        <w:gridCol w:w="867"/>
        <w:gridCol w:w="1390"/>
        <w:gridCol w:w="1438"/>
        <w:gridCol w:w="42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85" w:hRule="atLeast"/>
          <w:jc w:val="center"/>
        </w:trPr>
        <w:tc>
          <w:tcPr>
            <w:tcW w:w="623"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b/>
                <w:color w:val="auto"/>
                <w:sz w:val="18"/>
                <w:szCs w:val="18"/>
                <w:highlight w:val="none"/>
                <w:lang w:eastAsia="en-US"/>
              </w:rPr>
            </w:pPr>
            <w:r>
              <w:rPr>
                <w:rFonts w:hint="eastAsia" w:ascii="Times New Roman" w:hAnsi="Times New Roman"/>
                <w:b/>
                <w:color w:val="auto"/>
                <w:kern w:val="0"/>
                <w:sz w:val="18"/>
                <w:szCs w:val="18"/>
                <w:highlight w:val="none"/>
                <w:lang w:bidi="ar"/>
              </w:rPr>
              <w:t>序号</w:t>
            </w:r>
          </w:p>
        </w:tc>
        <w:tc>
          <w:tcPr>
            <w:tcW w:w="867"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b/>
                <w:color w:val="auto"/>
                <w:sz w:val="18"/>
                <w:szCs w:val="18"/>
                <w:highlight w:val="none"/>
                <w:lang w:eastAsia="en-US"/>
              </w:rPr>
            </w:pPr>
            <w:r>
              <w:rPr>
                <w:rFonts w:hint="eastAsia" w:ascii="Times New Roman" w:hAnsi="Times New Roman"/>
                <w:b/>
                <w:color w:val="auto"/>
                <w:kern w:val="0"/>
                <w:sz w:val="18"/>
                <w:szCs w:val="18"/>
                <w:highlight w:val="none"/>
                <w:lang w:bidi="ar"/>
              </w:rPr>
              <w:t>姓名</w:t>
            </w:r>
          </w:p>
        </w:tc>
        <w:tc>
          <w:tcPr>
            <w:tcW w:w="1390"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b/>
                <w:color w:val="auto"/>
                <w:sz w:val="18"/>
                <w:szCs w:val="18"/>
                <w:highlight w:val="none"/>
              </w:rPr>
            </w:pPr>
            <w:r>
              <w:rPr>
                <w:rFonts w:hint="eastAsia" w:ascii="Times New Roman" w:hAnsi="Times New Roman"/>
                <w:b/>
                <w:color w:val="auto"/>
                <w:sz w:val="18"/>
                <w:szCs w:val="18"/>
                <w:highlight w:val="none"/>
              </w:rPr>
              <w:t>项目角色</w:t>
            </w:r>
          </w:p>
        </w:tc>
        <w:tc>
          <w:tcPr>
            <w:tcW w:w="1438"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b/>
                <w:color w:val="auto"/>
                <w:sz w:val="18"/>
                <w:szCs w:val="18"/>
                <w:highlight w:val="none"/>
                <w:lang w:eastAsia="en-US"/>
              </w:rPr>
            </w:pPr>
            <w:r>
              <w:rPr>
                <w:rFonts w:hint="eastAsia" w:ascii="Times New Roman" w:hAnsi="Times New Roman"/>
                <w:b/>
                <w:color w:val="auto"/>
                <w:kern w:val="0"/>
                <w:sz w:val="18"/>
                <w:szCs w:val="18"/>
                <w:highlight w:val="none"/>
                <w:lang w:bidi="ar"/>
              </w:rPr>
              <w:t>资质或公司职位</w:t>
            </w:r>
          </w:p>
        </w:tc>
        <w:tc>
          <w:tcPr>
            <w:tcW w:w="4280"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b/>
                <w:color w:val="auto"/>
                <w:kern w:val="0"/>
                <w:sz w:val="18"/>
                <w:szCs w:val="18"/>
                <w:highlight w:val="none"/>
                <w:lang w:bidi="ar"/>
              </w:rPr>
            </w:pPr>
            <w:r>
              <w:rPr>
                <w:rFonts w:hint="eastAsia" w:ascii="Times New Roman" w:hAnsi="Times New Roman"/>
                <w:b/>
                <w:color w:val="auto"/>
                <w:kern w:val="0"/>
                <w:sz w:val="18"/>
                <w:szCs w:val="18"/>
                <w:highlight w:val="none"/>
                <w:lang w:bidi="ar"/>
              </w:rPr>
              <w:t>主要职责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04" w:hRule="atLeast"/>
          <w:jc w:val="center"/>
        </w:trPr>
        <w:tc>
          <w:tcPr>
            <w:tcW w:w="623"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color w:val="auto"/>
                <w:sz w:val="18"/>
                <w:szCs w:val="18"/>
                <w:highlight w:val="none"/>
              </w:rPr>
            </w:pPr>
            <w:r>
              <w:rPr>
                <w:rFonts w:hint="default" w:ascii="Times New Roman" w:hAnsi="Times New Roman"/>
                <w:color w:val="auto"/>
                <w:kern w:val="0"/>
                <w:sz w:val="18"/>
                <w:szCs w:val="18"/>
                <w:highlight w:val="none"/>
                <w:lang w:bidi="ar"/>
              </w:rPr>
              <w:t>1</w:t>
            </w:r>
          </w:p>
        </w:tc>
        <w:tc>
          <w:tcPr>
            <w:tcW w:w="867"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冯延萍</w:t>
            </w:r>
          </w:p>
        </w:tc>
        <w:tc>
          <w:tcPr>
            <w:tcW w:w="1390"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主评人</w:t>
            </w:r>
          </w:p>
        </w:tc>
        <w:tc>
          <w:tcPr>
            <w:tcW w:w="1438"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b/>
                <w:color w:val="auto"/>
                <w:kern w:val="0"/>
                <w:sz w:val="18"/>
                <w:szCs w:val="18"/>
                <w:highlight w:val="none"/>
                <w:lang w:bidi="ar"/>
              </w:rPr>
            </w:pPr>
            <w:r>
              <w:rPr>
                <w:rFonts w:hint="eastAsia" w:ascii="Times New Roman" w:hAnsi="Times New Roman"/>
                <w:color w:val="auto"/>
                <w:kern w:val="0"/>
                <w:sz w:val="18"/>
                <w:szCs w:val="18"/>
                <w:highlight w:val="none"/>
                <w:lang w:bidi="ar"/>
              </w:rPr>
              <w:t>注册会计师、注册评估师</w:t>
            </w:r>
          </w:p>
        </w:tc>
        <w:tc>
          <w:tcPr>
            <w:tcW w:w="4280"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kinsoku/>
              <w:wordWrap/>
              <w:overflowPunct/>
              <w:topLinePunct w:val="0"/>
              <w:autoSpaceDE/>
              <w:autoSpaceDN/>
              <w:bidi w:val="0"/>
              <w:adjustRightInd w:val="0"/>
              <w:snapToGrid w:val="0"/>
              <w:spacing w:line="360" w:lineRule="exact"/>
              <w:ind w:firstLine="0" w:firstLineChars="0"/>
              <w:jc w:val="left"/>
              <w:rPr>
                <w:rFonts w:hint="default" w:ascii="Times New Roman" w:hAnsi="Times New Roman"/>
                <w:color w:val="auto"/>
                <w:kern w:val="0"/>
                <w:sz w:val="18"/>
                <w:szCs w:val="18"/>
                <w:highlight w:val="none"/>
                <w:lang w:bidi="ar"/>
              </w:rPr>
            </w:pPr>
            <w:r>
              <w:rPr>
                <w:rFonts w:hint="eastAsia" w:ascii="Times New Roman" w:hAnsi="Times New Roman"/>
                <w:snapToGrid w:val="0"/>
                <w:color w:val="auto"/>
                <w:sz w:val="18"/>
                <w:szCs w:val="18"/>
                <w:highlight w:val="none"/>
              </w:rPr>
              <w:t>报告质量三级复核，对绩效评价工作总体方案及绩效评价指标体系进行整体把关和指导，对绩效评价结论和报告整体质量进行最终复核。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36" w:hRule="atLeast"/>
          <w:jc w:val="center"/>
        </w:trPr>
        <w:tc>
          <w:tcPr>
            <w:tcW w:w="623"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color w:val="auto"/>
                <w:sz w:val="18"/>
                <w:szCs w:val="18"/>
                <w:highlight w:val="none"/>
                <w:lang w:eastAsia="en-US"/>
              </w:rPr>
            </w:pPr>
            <w:r>
              <w:rPr>
                <w:rFonts w:hint="default" w:ascii="Times New Roman" w:hAnsi="Times New Roman"/>
                <w:color w:val="auto"/>
                <w:kern w:val="0"/>
                <w:sz w:val="18"/>
                <w:szCs w:val="18"/>
                <w:highlight w:val="none"/>
                <w:lang w:bidi="ar"/>
              </w:rPr>
              <w:t>2</w:t>
            </w:r>
          </w:p>
        </w:tc>
        <w:tc>
          <w:tcPr>
            <w:tcW w:w="867"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sz w:val="18"/>
                <w:szCs w:val="18"/>
                <w:highlight w:val="none"/>
              </w:rPr>
              <w:t>腊晓林</w:t>
            </w:r>
          </w:p>
        </w:tc>
        <w:tc>
          <w:tcPr>
            <w:tcW w:w="1390"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报告</w:t>
            </w:r>
            <w:r>
              <w:rPr>
                <w:rFonts w:hint="eastAsia"/>
                <w:color w:val="auto"/>
                <w:kern w:val="0"/>
                <w:sz w:val="18"/>
                <w:szCs w:val="18"/>
                <w:highlight w:val="none"/>
                <w:lang w:val="en-US" w:eastAsia="zh-CN" w:bidi="ar"/>
              </w:rPr>
              <w:t>复核</w:t>
            </w:r>
            <w:r>
              <w:rPr>
                <w:rFonts w:hint="eastAsia" w:ascii="Times New Roman" w:hAnsi="Times New Roman"/>
                <w:color w:val="auto"/>
                <w:kern w:val="0"/>
                <w:sz w:val="18"/>
                <w:szCs w:val="18"/>
                <w:highlight w:val="none"/>
                <w:lang w:bidi="ar"/>
              </w:rPr>
              <w:t>人</w:t>
            </w:r>
          </w:p>
        </w:tc>
        <w:tc>
          <w:tcPr>
            <w:tcW w:w="1438"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技术总监</w:t>
            </w:r>
          </w:p>
        </w:tc>
        <w:tc>
          <w:tcPr>
            <w:tcW w:w="4280"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sz w:val="18"/>
                <w:szCs w:val="18"/>
                <w:highlight w:val="none"/>
              </w:rPr>
              <w:t>对绩效评价工作程序及绩效评价指标体系进行技术审核，对绩效评价结论的完整性、准确性、规范性、合理性进行审核指导，对出具报告的标准及质量进行审核把关。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50" w:hRule="atLeast"/>
          <w:jc w:val="center"/>
        </w:trPr>
        <w:tc>
          <w:tcPr>
            <w:tcW w:w="623"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color w:val="auto"/>
                <w:sz w:val="18"/>
                <w:szCs w:val="18"/>
                <w:highlight w:val="none"/>
                <w:lang w:eastAsia="en-US"/>
              </w:rPr>
            </w:pPr>
            <w:r>
              <w:rPr>
                <w:rFonts w:hint="default" w:ascii="Times New Roman" w:hAnsi="Times New Roman"/>
                <w:color w:val="auto"/>
                <w:kern w:val="0"/>
                <w:sz w:val="18"/>
                <w:szCs w:val="18"/>
                <w:highlight w:val="none"/>
                <w:lang w:bidi="ar"/>
              </w:rPr>
              <w:t>3</w:t>
            </w:r>
          </w:p>
        </w:tc>
        <w:tc>
          <w:tcPr>
            <w:tcW w:w="867"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color w:val="auto"/>
                <w:sz w:val="18"/>
                <w:szCs w:val="18"/>
                <w:highlight w:val="none"/>
              </w:rPr>
            </w:pPr>
            <w:r>
              <w:rPr>
                <w:rFonts w:hint="eastAsia" w:ascii="Times New Roman" w:hAnsi="Times New Roman"/>
                <w:color w:val="auto"/>
                <w:sz w:val="18"/>
                <w:szCs w:val="18"/>
                <w:highlight w:val="none"/>
              </w:rPr>
              <w:t>赵夏清</w:t>
            </w:r>
          </w:p>
        </w:tc>
        <w:tc>
          <w:tcPr>
            <w:tcW w:w="1390"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项目负责人</w:t>
            </w:r>
          </w:p>
        </w:tc>
        <w:tc>
          <w:tcPr>
            <w:tcW w:w="1438"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kinsoku/>
              <w:wordWrap/>
              <w:overflowPunct/>
              <w:topLinePunct w:val="0"/>
              <w:autoSpaceDE/>
              <w:autoSpaceDN/>
              <w:bidi w:val="0"/>
              <w:adjustRightInd w:val="0"/>
              <w:snapToGrid w:val="0"/>
              <w:spacing w:line="360" w:lineRule="exact"/>
              <w:ind w:firstLine="0" w:firstLineChars="0"/>
              <w:jc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项目负责人</w:t>
            </w:r>
          </w:p>
        </w:tc>
        <w:tc>
          <w:tcPr>
            <w:tcW w:w="4280"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kinsoku/>
              <w:wordWrap/>
              <w:overflowPunct/>
              <w:topLinePunct w:val="0"/>
              <w:autoSpaceDE/>
              <w:autoSpaceDN/>
              <w:bidi w:val="0"/>
              <w:adjustRightInd w:val="0"/>
              <w:snapToGrid w:val="0"/>
              <w:spacing w:line="360" w:lineRule="exact"/>
              <w:ind w:firstLine="0" w:firstLineChars="0"/>
              <w:jc w:val="left"/>
              <w:rPr>
                <w:rFonts w:hint="default" w:ascii="Times New Roman" w:hAnsi="Times New Roman"/>
                <w:color w:val="auto"/>
                <w:kern w:val="0"/>
                <w:sz w:val="18"/>
                <w:szCs w:val="18"/>
                <w:highlight w:val="none"/>
                <w:lang w:bidi="ar"/>
              </w:rPr>
            </w:pPr>
            <w:r>
              <w:rPr>
                <w:rFonts w:hint="eastAsia" w:ascii="Times New Roman" w:hAnsi="Times New Roman"/>
                <w:snapToGrid w:val="0"/>
                <w:color w:val="auto"/>
                <w:sz w:val="18"/>
                <w:szCs w:val="18"/>
                <w:highlight w:val="none"/>
              </w:rPr>
              <w:t>负责委托业务对接，签订合同，业务前期准备，制定绩效评价工作方案，组织实施绩效评价工作，撰写绩效评价报告；并对绩效评价工作的底稿内容及质量负责，对报告内容及报告质量负责。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28" w:hRule="atLeast"/>
          <w:jc w:val="center"/>
        </w:trPr>
        <w:tc>
          <w:tcPr>
            <w:tcW w:w="623"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color w:val="auto"/>
                <w:kern w:val="0"/>
                <w:sz w:val="18"/>
                <w:szCs w:val="18"/>
                <w:highlight w:val="none"/>
                <w:lang w:bidi="ar"/>
              </w:rPr>
            </w:pPr>
            <w:r>
              <w:rPr>
                <w:rFonts w:hint="default" w:ascii="Times New Roman" w:hAnsi="Times New Roman"/>
                <w:color w:val="auto"/>
                <w:kern w:val="0"/>
                <w:sz w:val="18"/>
                <w:szCs w:val="18"/>
                <w:highlight w:val="none"/>
                <w:lang w:bidi="ar"/>
              </w:rPr>
              <w:t>4</w:t>
            </w:r>
          </w:p>
        </w:tc>
        <w:tc>
          <w:tcPr>
            <w:tcW w:w="867"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kinsoku/>
              <w:wordWrap/>
              <w:overflowPunct/>
              <w:topLinePunct w:val="0"/>
              <w:autoSpaceDE/>
              <w:autoSpaceDN/>
              <w:bidi w:val="0"/>
              <w:adjustRightInd w:val="0"/>
              <w:snapToGrid w:val="0"/>
              <w:spacing w:line="360" w:lineRule="exact"/>
              <w:ind w:firstLine="0" w:firstLineChars="0"/>
              <w:jc w:val="center"/>
              <w:rPr>
                <w:rFonts w:hint="default" w:ascii="Times New Roman" w:hAnsi="Times New Roman"/>
                <w:snapToGrid w:val="0"/>
                <w:color w:val="auto"/>
                <w:sz w:val="18"/>
                <w:szCs w:val="18"/>
                <w:highlight w:val="none"/>
              </w:rPr>
            </w:pPr>
            <w:r>
              <w:rPr>
                <w:rFonts w:hint="eastAsia" w:ascii="Times New Roman" w:hAnsi="Times New Roman"/>
                <w:snapToGrid w:val="0"/>
                <w:color w:val="auto"/>
                <w:sz w:val="18"/>
                <w:szCs w:val="18"/>
                <w:highlight w:val="none"/>
              </w:rPr>
              <w:t>郭璐璐</w:t>
            </w:r>
          </w:p>
        </w:tc>
        <w:tc>
          <w:tcPr>
            <w:tcW w:w="1390"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widowControl/>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snapToGrid w:val="0"/>
                <w:color w:val="auto"/>
                <w:sz w:val="18"/>
                <w:szCs w:val="18"/>
                <w:highlight w:val="none"/>
              </w:rPr>
            </w:pPr>
            <w:r>
              <w:rPr>
                <w:rFonts w:hint="eastAsia" w:ascii="Times New Roman" w:hAnsi="Times New Roman"/>
                <w:snapToGrid w:val="0"/>
                <w:color w:val="auto"/>
                <w:sz w:val="18"/>
                <w:szCs w:val="18"/>
                <w:highlight w:val="none"/>
              </w:rPr>
              <w:t>项目绩效评价人员</w:t>
            </w:r>
          </w:p>
        </w:tc>
        <w:tc>
          <w:tcPr>
            <w:tcW w:w="1438"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kinsoku/>
              <w:wordWrap/>
              <w:overflowPunct/>
              <w:topLinePunct w:val="0"/>
              <w:autoSpaceDE/>
              <w:autoSpaceDN/>
              <w:bidi w:val="0"/>
              <w:adjustRightInd w:val="0"/>
              <w:snapToGrid w:val="0"/>
              <w:spacing w:line="360" w:lineRule="exact"/>
              <w:ind w:firstLine="0" w:firstLineChars="0"/>
              <w:jc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项目助理</w:t>
            </w:r>
          </w:p>
        </w:tc>
        <w:tc>
          <w:tcPr>
            <w:tcW w:w="4280" w:type="dxa"/>
            <w:tcBorders>
              <w:top w:val="single" w:color="000000" w:sz="4" w:space="0"/>
              <w:left w:val="single" w:color="000000" w:sz="4" w:space="0"/>
              <w:bottom w:val="single" w:color="000000" w:sz="4" w:space="0"/>
              <w:right w:val="single" w:color="000000" w:sz="4" w:space="0"/>
              <w:tl2br w:val="nil"/>
              <w:tr2bl w:val="nil"/>
            </w:tcBorders>
            <w:vAlign w:val="center"/>
          </w:tcPr>
          <w:p>
            <w:pPr>
              <w:pageBreakBefore w:val="0"/>
              <w:kinsoku/>
              <w:wordWrap/>
              <w:overflowPunct/>
              <w:topLinePunct w:val="0"/>
              <w:autoSpaceDE/>
              <w:autoSpaceDN/>
              <w:bidi w:val="0"/>
              <w:adjustRightInd w:val="0"/>
              <w:snapToGrid w:val="0"/>
              <w:spacing w:line="360" w:lineRule="exact"/>
              <w:ind w:firstLine="0" w:firstLineChars="0"/>
              <w:jc w:val="left"/>
              <w:rPr>
                <w:rFonts w:hint="default" w:ascii="Times New Roman" w:hAnsi="Times New Roman"/>
                <w:color w:val="auto"/>
                <w:kern w:val="0"/>
                <w:sz w:val="18"/>
                <w:szCs w:val="18"/>
                <w:highlight w:val="none"/>
                <w:lang w:bidi="ar"/>
              </w:rPr>
            </w:pPr>
            <w:r>
              <w:rPr>
                <w:rFonts w:hint="eastAsia" w:ascii="Times New Roman" w:hAnsi="Times New Roman"/>
                <w:snapToGrid w:val="0"/>
                <w:color w:val="auto"/>
                <w:sz w:val="18"/>
                <w:szCs w:val="18"/>
                <w:highlight w:val="none"/>
              </w:rPr>
              <w:t>负责收集、整理、归类项目相关资料；协助负责人整理调研工作材料、梳理项目相关资料和数据、开展指标评价分析等工作，并对独立完成的部分工作内容负责。</w:t>
            </w:r>
          </w:p>
        </w:tc>
      </w:tr>
    </w:tbl>
    <w:p>
      <w:pPr>
        <w:pageBreakBefore w:val="0"/>
        <w:kinsoku/>
        <w:wordWrap/>
        <w:overflowPunct/>
        <w:topLinePunct w:val="0"/>
        <w:autoSpaceDE/>
        <w:autoSpaceDN/>
        <w:bidi w:val="0"/>
        <w:spacing w:line="360" w:lineRule="exact"/>
        <w:ind w:firstLine="420"/>
        <w:rPr>
          <w:rFonts w:ascii="Times New Roman" w:hAnsi="Times New Roman" w:eastAsiaTheme="minorEastAsia"/>
          <w:color w:val="auto"/>
          <w:highlight w:val="none"/>
        </w:rPr>
      </w:pP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2.组织实施</w:t>
      </w:r>
    </w:p>
    <w:p>
      <w:pPr>
        <w:pageBreakBefore w:val="0"/>
        <w:kinsoku/>
        <w:wordWrap/>
        <w:overflowPunct/>
        <w:topLinePunct w:val="0"/>
        <w:autoSpaceDE/>
        <w:autoSpaceDN/>
        <w:bidi w:val="0"/>
        <w:spacing w:line="360" w:lineRule="exact"/>
        <w:ind w:firstLine="420"/>
        <w:rPr>
          <w:rFonts w:ascii="Times New Roman" w:hAnsi="Times New Roman" w:eastAsiaTheme="minorEastAsia"/>
          <w:color w:val="auto"/>
          <w:highlight w:val="none"/>
        </w:rPr>
      </w:pPr>
      <w:r>
        <w:rPr>
          <w:rFonts w:hint="default" w:ascii="Times New Roman" w:hAnsi="Times New Roman" w:cs="Times New Roman" w:eastAsiaTheme="minorEastAsia"/>
          <w:bCs/>
          <w:color w:val="auto"/>
          <w:highlight w:val="none"/>
        </w:rPr>
        <w:t>绩效评价小组采取现场和非现场评价相结合的方式开展调研、查阅基础资料、数据采集、访谈、数据分析等具体评价工作</w:t>
      </w:r>
      <w:r>
        <w:rPr>
          <w:rFonts w:ascii="Times New Roman" w:hAnsi="Times New Roman" w:eastAsiaTheme="minorEastAsia"/>
          <w:color w:val="auto"/>
          <w:highlight w:val="none"/>
        </w:rPr>
        <w:t>，具体</w:t>
      </w:r>
      <w:r>
        <w:rPr>
          <w:rFonts w:hint="default" w:ascii="Times New Roman" w:hAnsi="Times New Roman" w:eastAsiaTheme="minorEastAsia"/>
          <w:color w:val="auto"/>
          <w:highlight w:val="none"/>
        </w:rPr>
        <w:t>实施过程和方式</w:t>
      </w:r>
      <w:r>
        <w:rPr>
          <w:rFonts w:ascii="Times New Roman" w:hAnsi="Times New Roman" w:eastAsiaTheme="minorEastAsia"/>
          <w:color w:val="auto"/>
          <w:highlight w:val="none"/>
        </w:rPr>
        <w:t xml:space="preserve">如下： </w:t>
      </w:r>
    </w:p>
    <w:p>
      <w:pPr>
        <w:pageBreakBefore w:val="0"/>
        <w:kinsoku/>
        <w:wordWrap/>
        <w:overflowPunct/>
        <w:topLinePunct w:val="0"/>
        <w:autoSpaceDE/>
        <w:autoSpaceDN/>
        <w:bidi w:val="0"/>
        <w:spacing w:line="360" w:lineRule="exact"/>
        <w:ind w:firstLine="420"/>
        <w:rPr>
          <w:rFonts w:ascii="Times New Roman" w:hAnsi="Times New Roman" w:eastAsiaTheme="minorEastAsia"/>
          <w:color w:val="auto"/>
          <w:highlight w:val="none"/>
        </w:rPr>
      </w:pPr>
      <w:r>
        <w:rPr>
          <w:rFonts w:hint="default" w:ascii="Times New Roman" w:hAnsi="Times New Roman" w:eastAsiaTheme="minorEastAsia"/>
          <w:color w:val="auto"/>
          <w:highlight w:val="none"/>
        </w:rPr>
        <w:t>（1）</w:t>
      </w:r>
      <w:r>
        <w:rPr>
          <w:rFonts w:ascii="Times New Roman" w:hAnsi="Times New Roman" w:eastAsiaTheme="minorEastAsia"/>
          <w:color w:val="auto"/>
          <w:highlight w:val="none"/>
        </w:rPr>
        <w:t>与</w:t>
      </w:r>
      <w:r>
        <w:rPr>
          <w:rFonts w:hint="default" w:ascii="Times New Roman" w:hAnsi="Times New Roman" w:eastAsiaTheme="minorEastAsia"/>
          <w:color w:val="auto"/>
          <w:highlight w:val="none"/>
          <w:lang w:eastAsia="zh-CN"/>
        </w:rPr>
        <w:t>巴楚县</w:t>
      </w:r>
      <w:r>
        <w:rPr>
          <w:rFonts w:hint="default"/>
          <w:color w:val="auto"/>
          <w:highlight w:val="none"/>
          <w:lang w:val="en-US" w:eastAsia="zh-CN"/>
        </w:rPr>
        <w:t>农业农村局</w:t>
      </w:r>
      <w:r>
        <w:rPr>
          <w:rFonts w:hint="default" w:ascii="Times New Roman" w:hAnsi="Times New Roman" w:eastAsiaTheme="minorEastAsia"/>
          <w:color w:val="auto"/>
          <w:highlight w:val="none"/>
        </w:rPr>
        <w:t>负责人等相关单位管理人员或项目人员</w:t>
      </w:r>
      <w:r>
        <w:rPr>
          <w:rFonts w:ascii="Times New Roman" w:hAnsi="Times New Roman" w:eastAsiaTheme="minorEastAsia"/>
          <w:color w:val="auto"/>
          <w:highlight w:val="none"/>
        </w:rPr>
        <w:t>进行访谈沟通，全面了解</w:t>
      </w:r>
      <w:r>
        <w:rPr>
          <w:rFonts w:hint="default" w:ascii="Times New Roman" w:hAnsi="Times New Roman" w:eastAsiaTheme="minorEastAsia"/>
          <w:color w:val="auto"/>
          <w:highlight w:val="none"/>
        </w:rPr>
        <w:t>项目实施的目的</w:t>
      </w:r>
      <w:r>
        <w:rPr>
          <w:rFonts w:ascii="Times New Roman" w:hAnsi="Times New Roman" w:eastAsiaTheme="minorEastAsia"/>
          <w:color w:val="auto"/>
          <w:highlight w:val="none"/>
        </w:rPr>
        <w:t>、预算安排、组织管理、</w:t>
      </w:r>
      <w:r>
        <w:rPr>
          <w:rFonts w:hint="default" w:ascii="Times New Roman" w:hAnsi="Times New Roman" w:eastAsiaTheme="minorEastAsia"/>
          <w:color w:val="auto"/>
          <w:highlight w:val="none"/>
        </w:rPr>
        <w:t>实施</w:t>
      </w:r>
      <w:r>
        <w:rPr>
          <w:rFonts w:ascii="Times New Roman" w:hAnsi="Times New Roman" w:eastAsiaTheme="minorEastAsia"/>
          <w:color w:val="auto"/>
          <w:highlight w:val="none"/>
        </w:rPr>
        <w:t>结果等方面的内容</w:t>
      </w:r>
      <w:r>
        <w:rPr>
          <w:rFonts w:hint="default" w:ascii="Times New Roman" w:hAnsi="Times New Roman" w:eastAsiaTheme="minorEastAsia"/>
          <w:color w:val="auto"/>
          <w:highlight w:val="none"/>
        </w:rPr>
        <w:t>。</w:t>
      </w:r>
    </w:p>
    <w:p>
      <w:pPr>
        <w:pageBreakBefore w:val="0"/>
        <w:kinsoku/>
        <w:wordWrap/>
        <w:overflowPunct/>
        <w:topLinePunct w:val="0"/>
        <w:autoSpaceDE/>
        <w:autoSpaceDN/>
        <w:bidi w:val="0"/>
        <w:spacing w:line="360" w:lineRule="exact"/>
        <w:ind w:firstLine="420"/>
        <w:rPr>
          <w:rFonts w:ascii="Times New Roman" w:hAnsi="Times New Roman" w:eastAsiaTheme="minorEastAsia"/>
          <w:color w:val="auto"/>
          <w:highlight w:val="none"/>
        </w:rPr>
      </w:pPr>
      <w:r>
        <w:rPr>
          <w:rFonts w:hint="default" w:ascii="Times New Roman" w:hAnsi="Times New Roman" w:eastAsiaTheme="minorEastAsia"/>
          <w:color w:val="auto"/>
          <w:highlight w:val="none"/>
        </w:rPr>
        <w:t>（2）</w:t>
      </w:r>
      <w:r>
        <w:rPr>
          <w:rFonts w:ascii="Times New Roman" w:hAnsi="Times New Roman" w:eastAsiaTheme="minorEastAsia"/>
          <w:color w:val="auto"/>
          <w:highlight w:val="none"/>
        </w:rPr>
        <w:t>尽职开展前期调查，全面收集项目</w:t>
      </w:r>
      <w:r>
        <w:rPr>
          <w:rFonts w:hint="default" w:ascii="Times New Roman" w:hAnsi="Times New Roman" w:eastAsiaTheme="minorEastAsia"/>
          <w:color w:val="auto"/>
          <w:highlight w:val="none"/>
        </w:rPr>
        <w:t>决策依据、财政预算安排执行情况、</w:t>
      </w:r>
      <w:r>
        <w:rPr>
          <w:rFonts w:hint="default"/>
          <w:color w:val="auto"/>
          <w:highlight w:val="none"/>
          <w:lang w:val="en-US" w:eastAsia="zh-CN"/>
        </w:rPr>
        <w:t>政策执行实施过程，资金拨付</w:t>
      </w:r>
      <w:r>
        <w:rPr>
          <w:rFonts w:hint="default" w:ascii="Times New Roman" w:hAnsi="Times New Roman" w:eastAsiaTheme="minorEastAsia"/>
          <w:color w:val="auto"/>
          <w:highlight w:val="none"/>
        </w:rPr>
        <w:t>等</w:t>
      </w:r>
      <w:r>
        <w:rPr>
          <w:rFonts w:ascii="Times New Roman" w:hAnsi="Times New Roman" w:eastAsiaTheme="minorEastAsia"/>
          <w:color w:val="auto"/>
          <w:highlight w:val="none"/>
        </w:rPr>
        <w:t>相关资料</w:t>
      </w:r>
      <w:r>
        <w:rPr>
          <w:rFonts w:hint="default" w:ascii="Times New Roman" w:hAnsi="Times New Roman" w:eastAsiaTheme="minorEastAsia"/>
          <w:color w:val="auto"/>
          <w:highlight w:val="none"/>
        </w:rPr>
        <w:t>，</w:t>
      </w:r>
      <w:r>
        <w:rPr>
          <w:rFonts w:ascii="Times New Roman" w:hAnsi="Times New Roman" w:eastAsiaTheme="minorEastAsia"/>
          <w:color w:val="auto"/>
          <w:highlight w:val="none"/>
        </w:rPr>
        <w:t>完成</w:t>
      </w:r>
      <w:r>
        <w:rPr>
          <w:rFonts w:hint="default" w:ascii="Times New Roman" w:hAnsi="Times New Roman" w:eastAsiaTheme="minorEastAsia"/>
          <w:color w:val="auto"/>
          <w:highlight w:val="none"/>
        </w:rPr>
        <w:t>绩效评价</w:t>
      </w:r>
      <w:r>
        <w:rPr>
          <w:rFonts w:ascii="Times New Roman" w:hAnsi="Times New Roman" w:eastAsiaTheme="minorEastAsia"/>
          <w:color w:val="auto"/>
          <w:highlight w:val="none"/>
        </w:rPr>
        <w:t>内容所需的印证资料整理汇总</w:t>
      </w:r>
      <w:r>
        <w:rPr>
          <w:rFonts w:hint="default" w:ascii="Times New Roman" w:hAnsi="Times New Roman" w:eastAsiaTheme="minorEastAsia"/>
          <w:color w:val="auto"/>
          <w:highlight w:val="none"/>
        </w:rPr>
        <w:t>。</w:t>
      </w:r>
    </w:p>
    <w:p>
      <w:pPr>
        <w:pageBreakBefore w:val="0"/>
        <w:kinsoku/>
        <w:wordWrap/>
        <w:overflowPunct/>
        <w:topLinePunct w:val="0"/>
        <w:autoSpaceDE/>
        <w:autoSpaceDN/>
        <w:bidi w:val="0"/>
        <w:spacing w:line="360" w:lineRule="exact"/>
        <w:ind w:firstLine="420"/>
        <w:rPr>
          <w:rFonts w:ascii="Times New Roman" w:hAnsi="Times New Roman" w:eastAsiaTheme="minorEastAsia"/>
          <w:color w:val="auto"/>
          <w:highlight w:val="none"/>
        </w:rPr>
      </w:pPr>
      <w:r>
        <w:rPr>
          <w:rFonts w:hint="default" w:ascii="Times New Roman" w:hAnsi="Times New Roman" w:eastAsiaTheme="minorEastAsia"/>
          <w:color w:val="auto"/>
          <w:highlight w:val="none"/>
        </w:rPr>
        <w:t>（3）了解</w:t>
      </w:r>
      <w:r>
        <w:rPr>
          <w:rFonts w:hint="default"/>
          <w:color w:val="auto"/>
          <w:highlight w:val="none"/>
          <w:lang w:val="en-US" w:eastAsia="zh-CN"/>
        </w:rPr>
        <w:t>耕地地力保护补贴实际发放</w:t>
      </w:r>
      <w:r>
        <w:rPr>
          <w:rFonts w:hint="default" w:ascii="Times New Roman" w:hAnsi="Times New Roman" w:eastAsiaTheme="minorEastAsia"/>
          <w:color w:val="auto"/>
          <w:highlight w:val="none"/>
          <w:lang w:val="en-US" w:eastAsia="zh-CN"/>
        </w:rPr>
        <w:t>的</w:t>
      </w:r>
      <w:r>
        <w:rPr>
          <w:rFonts w:ascii="Times New Roman" w:hAnsi="Times New Roman" w:eastAsiaTheme="minorEastAsia"/>
          <w:color w:val="auto"/>
          <w:highlight w:val="none"/>
        </w:rPr>
        <w:t>情况，对项目</w:t>
      </w:r>
      <w:r>
        <w:rPr>
          <w:rFonts w:hint="default" w:ascii="Times New Roman" w:hAnsi="Times New Roman" w:eastAsiaTheme="minorEastAsia"/>
          <w:color w:val="auto"/>
          <w:highlight w:val="none"/>
          <w:lang w:val="en-US" w:eastAsia="zh-CN"/>
        </w:rPr>
        <w:t>实际</w:t>
      </w:r>
      <w:r>
        <w:rPr>
          <w:rFonts w:hint="default"/>
          <w:color w:val="auto"/>
          <w:highlight w:val="none"/>
          <w:lang w:val="en-US" w:eastAsia="zh-CN"/>
        </w:rPr>
        <w:t>补助的面积、涉及人数、补助程序</w:t>
      </w:r>
      <w:r>
        <w:rPr>
          <w:rFonts w:ascii="Times New Roman" w:hAnsi="Times New Roman" w:eastAsiaTheme="minorEastAsia"/>
          <w:color w:val="auto"/>
          <w:highlight w:val="none"/>
        </w:rPr>
        <w:t>进行调查、记录，与</w:t>
      </w:r>
      <w:r>
        <w:rPr>
          <w:rFonts w:hint="default"/>
          <w:color w:val="auto"/>
          <w:highlight w:val="none"/>
          <w:lang w:val="en-US" w:eastAsia="zh-CN"/>
        </w:rPr>
        <w:t>项目</w:t>
      </w:r>
      <w:r>
        <w:rPr>
          <w:rFonts w:ascii="Times New Roman" w:hAnsi="Times New Roman" w:eastAsiaTheme="minorEastAsia"/>
          <w:color w:val="auto"/>
          <w:highlight w:val="none"/>
        </w:rPr>
        <w:t>人员进行交谈，并对必要的数据进行取证，了解</w:t>
      </w:r>
      <w:r>
        <w:rPr>
          <w:rFonts w:hint="default"/>
          <w:color w:val="auto"/>
          <w:highlight w:val="none"/>
          <w:lang w:val="en-US" w:eastAsia="zh-CN"/>
        </w:rPr>
        <w:t>实际情况</w:t>
      </w:r>
      <w:r>
        <w:rPr>
          <w:rFonts w:hint="default" w:ascii="Times New Roman" w:hAnsi="Times New Roman" w:eastAsiaTheme="minorEastAsia"/>
          <w:color w:val="auto"/>
          <w:highlight w:val="none"/>
        </w:rPr>
        <w:t>。</w:t>
      </w:r>
    </w:p>
    <w:p>
      <w:pPr>
        <w:pageBreakBefore w:val="0"/>
        <w:kinsoku/>
        <w:wordWrap/>
        <w:overflowPunct/>
        <w:topLinePunct w:val="0"/>
        <w:autoSpaceDE/>
        <w:autoSpaceDN/>
        <w:bidi w:val="0"/>
        <w:spacing w:line="360" w:lineRule="exact"/>
        <w:ind w:firstLine="420"/>
        <w:rPr>
          <w:rFonts w:ascii="Times New Roman" w:hAnsi="Times New Roman" w:eastAsiaTheme="minorEastAsia"/>
          <w:color w:val="auto"/>
          <w:highlight w:val="none"/>
        </w:rPr>
      </w:pPr>
      <w:bookmarkStart w:id="70" w:name="_Toc428278235"/>
      <w:bookmarkStart w:id="71" w:name="_Toc419984726"/>
      <w:bookmarkStart w:id="72" w:name="_Toc26870"/>
      <w:r>
        <w:rPr>
          <w:rFonts w:ascii="Times New Roman" w:hAnsi="Times New Roman" w:eastAsiaTheme="minorEastAsia"/>
          <w:color w:val="auto"/>
          <w:highlight w:val="none"/>
        </w:rPr>
        <w:t>（</w:t>
      </w:r>
      <w:r>
        <w:rPr>
          <w:rFonts w:hint="default" w:ascii="Times New Roman" w:hAnsi="Times New Roman" w:eastAsiaTheme="minorEastAsia"/>
          <w:color w:val="auto"/>
          <w:highlight w:val="none"/>
        </w:rPr>
        <w:t>4</w:t>
      </w:r>
      <w:r>
        <w:rPr>
          <w:rFonts w:ascii="Times New Roman" w:hAnsi="Times New Roman" w:eastAsiaTheme="minorEastAsia"/>
          <w:color w:val="auto"/>
          <w:highlight w:val="none"/>
        </w:rPr>
        <w:t>）</w:t>
      </w:r>
      <w:bookmarkEnd w:id="70"/>
      <w:bookmarkEnd w:id="71"/>
      <w:bookmarkEnd w:id="72"/>
      <w:r>
        <w:rPr>
          <w:rFonts w:hint="default" w:ascii="Times New Roman" w:hAnsi="Times New Roman" w:eastAsiaTheme="minorEastAsia"/>
          <w:color w:val="auto"/>
          <w:highlight w:val="none"/>
        </w:rPr>
        <w:t>经调研了解，该项目主要受益群体为</w:t>
      </w:r>
      <w:r>
        <w:rPr>
          <w:rFonts w:hint="default"/>
          <w:color w:val="auto"/>
          <w:highlight w:val="none"/>
          <w:lang w:val="en-US" w:eastAsia="zh-CN"/>
        </w:rPr>
        <w:t>小麦种植农户</w:t>
      </w:r>
      <w:r>
        <w:rPr>
          <w:rFonts w:hint="default" w:ascii="Times New Roman" w:hAnsi="Times New Roman" w:eastAsiaTheme="minorEastAsia"/>
          <w:color w:val="auto"/>
          <w:highlight w:val="none"/>
        </w:rPr>
        <w:t>，我们根据绩效评价目标</w:t>
      </w:r>
      <w:r>
        <w:rPr>
          <w:rFonts w:ascii="Times New Roman" w:hAnsi="Times New Roman" w:eastAsiaTheme="minorEastAsia"/>
          <w:color w:val="auto"/>
          <w:highlight w:val="none"/>
        </w:rPr>
        <w:t>和</w:t>
      </w:r>
      <w:r>
        <w:rPr>
          <w:rFonts w:hint="default" w:ascii="Times New Roman" w:hAnsi="Times New Roman" w:eastAsiaTheme="minorEastAsia"/>
          <w:color w:val="auto"/>
          <w:highlight w:val="none"/>
        </w:rPr>
        <w:t>绩效指标体系，设计</w:t>
      </w:r>
      <w:r>
        <w:rPr>
          <w:rFonts w:ascii="Times New Roman" w:hAnsi="Times New Roman" w:eastAsiaTheme="minorEastAsia"/>
          <w:color w:val="auto"/>
          <w:highlight w:val="none"/>
        </w:rPr>
        <w:t>满意度</w:t>
      </w:r>
      <w:r>
        <w:rPr>
          <w:rFonts w:hint="default" w:ascii="Times New Roman" w:hAnsi="Times New Roman" w:eastAsiaTheme="minorEastAsia"/>
          <w:color w:val="auto"/>
          <w:highlight w:val="none"/>
        </w:rPr>
        <w:t>调查</w:t>
      </w:r>
      <w:r>
        <w:rPr>
          <w:rFonts w:ascii="Times New Roman" w:hAnsi="Times New Roman" w:eastAsiaTheme="minorEastAsia"/>
          <w:color w:val="auto"/>
          <w:highlight w:val="none"/>
        </w:rPr>
        <w:t>问卷</w:t>
      </w:r>
      <w:r>
        <w:rPr>
          <w:rFonts w:ascii="Times New Roman" w:hAnsi="Times New Roman" w:eastAsiaTheme="minorEastAsia"/>
          <w:color w:val="auto"/>
          <w:kern w:val="0"/>
          <w:szCs w:val="24"/>
          <w:highlight w:val="none"/>
        </w:rPr>
        <w:t>，独立开展第三方</w:t>
      </w:r>
      <w:r>
        <w:rPr>
          <w:rFonts w:hint="default" w:ascii="Times New Roman" w:hAnsi="Times New Roman" w:eastAsiaTheme="minorEastAsia"/>
          <w:color w:val="auto"/>
          <w:kern w:val="0"/>
          <w:szCs w:val="24"/>
          <w:highlight w:val="none"/>
        </w:rPr>
        <w:t>问卷调查</w:t>
      </w:r>
      <w:r>
        <w:rPr>
          <w:rFonts w:ascii="Times New Roman" w:hAnsi="Times New Roman" w:eastAsiaTheme="minorEastAsia"/>
          <w:color w:val="auto"/>
          <w:kern w:val="0"/>
          <w:szCs w:val="24"/>
          <w:highlight w:val="none"/>
        </w:rPr>
        <w:t>工作。</w:t>
      </w:r>
      <w:r>
        <w:rPr>
          <w:rFonts w:ascii="Times New Roman" w:hAnsi="Times New Roman" w:eastAsiaTheme="minorEastAsia"/>
          <w:color w:val="auto"/>
          <w:szCs w:val="28"/>
          <w:highlight w:val="none"/>
          <w:lang w:val="zh-TW"/>
        </w:rPr>
        <w:t>该项目问卷调查使用</w:t>
      </w:r>
      <w:r>
        <w:rPr>
          <w:rFonts w:hint="default" w:ascii="Times New Roman" w:hAnsi="Times New Roman" w:eastAsiaTheme="minorEastAsia"/>
          <w:color w:val="auto"/>
          <w:szCs w:val="28"/>
          <w:highlight w:val="none"/>
        </w:rPr>
        <w:t>随机抽样</w:t>
      </w:r>
      <w:r>
        <w:rPr>
          <w:rFonts w:ascii="Times New Roman" w:hAnsi="Times New Roman" w:eastAsiaTheme="minorEastAsia"/>
          <w:color w:val="auto"/>
          <w:szCs w:val="28"/>
          <w:highlight w:val="none"/>
          <w:lang w:val="zh-TW"/>
        </w:rPr>
        <w:t>的方式，</w:t>
      </w:r>
      <w:r>
        <w:rPr>
          <w:rFonts w:hint="default" w:ascii="Times New Roman" w:hAnsi="Times New Roman" w:eastAsiaTheme="minorEastAsia"/>
          <w:color w:val="auto"/>
          <w:szCs w:val="28"/>
          <w:highlight w:val="none"/>
        </w:rPr>
        <w:t>对</w:t>
      </w:r>
      <w:r>
        <w:rPr>
          <w:rFonts w:hint="default"/>
          <w:color w:val="auto"/>
          <w:szCs w:val="28"/>
          <w:highlight w:val="none"/>
          <w:lang w:val="en-US" w:eastAsia="zh-CN"/>
        </w:rPr>
        <w:t>巴楚县小麦种植农户</w:t>
      </w:r>
      <w:r>
        <w:rPr>
          <w:rFonts w:ascii="Times New Roman" w:hAnsi="Times New Roman" w:eastAsiaTheme="minorEastAsia"/>
          <w:color w:val="auto"/>
          <w:szCs w:val="28"/>
          <w:highlight w:val="none"/>
        </w:rPr>
        <w:t>发放</w:t>
      </w:r>
      <w:r>
        <w:rPr>
          <w:rFonts w:hint="default" w:ascii="Times New Roman" w:hAnsi="Times New Roman" w:eastAsiaTheme="minorEastAsia"/>
          <w:color w:val="auto"/>
          <w:szCs w:val="28"/>
          <w:highlight w:val="none"/>
        </w:rPr>
        <w:t>调查</w:t>
      </w:r>
      <w:r>
        <w:rPr>
          <w:rFonts w:ascii="Times New Roman" w:hAnsi="Times New Roman" w:eastAsiaTheme="minorEastAsia"/>
          <w:color w:val="auto"/>
          <w:szCs w:val="28"/>
          <w:highlight w:val="none"/>
        </w:rPr>
        <w:t>问卷</w:t>
      </w:r>
      <w:r>
        <w:rPr>
          <w:rFonts w:hint="default" w:ascii="Times New Roman" w:hAnsi="Times New Roman" w:eastAsiaTheme="minorEastAsia"/>
          <w:color w:val="auto"/>
          <w:szCs w:val="28"/>
          <w:highlight w:val="none"/>
        </w:rPr>
        <w:t>，有效回收问卷</w:t>
      </w:r>
      <w:r>
        <w:rPr>
          <w:rFonts w:hint="default"/>
          <w:color w:val="auto"/>
          <w:szCs w:val="28"/>
          <w:highlight w:val="none"/>
          <w:lang w:val="en-US" w:eastAsia="zh-CN"/>
        </w:rPr>
        <w:t>164</w:t>
      </w:r>
      <w:r>
        <w:rPr>
          <w:rFonts w:ascii="Times New Roman" w:hAnsi="Times New Roman" w:eastAsiaTheme="minorEastAsia"/>
          <w:color w:val="auto"/>
          <w:szCs w:val="28"/>
          <w:highlight w:val="none"/>
        </w:rPr>
        <w:t>份</w:t>
      </w:r>
      <w:r>
        <w:rPr>
          <w:rFonts w:hint="default" w:ascii="Times New Roman" w:hAnsi="Times New Roman" w:eastAsiaTheme="minorEastAsia"/>
          <w:color w:val="auto"/>
          <w:szCs w:val="28"/>
          <w:highlight w:val="none"/>
        </w:rPr>
        <w:t>。</w:t>
      </w:r>
    </w:p>
    <w:p>
      <w:pPr>
        <w:pageBreakBefore w:val="0"/>
        <w:kinsoku/>
        <w:wordWrap/>
        <w:overflowPunct/>
        <w:topLinePunct w:val="0"/>
        <w:autoSpaceDE/>
        <w:autoSpaceDN/>
        <w:bidi w:val="0"/>
        <w:spacing w:line="360" w:lineRule="exact"/>
        <w:ind w:firstLine="420"/>
        <w:rPr>
          <w:rFonts w:ascii="Times New Roman" w:hAnsi="Times New Roman" w:eastAsiaTheme="minorEastAsia"/>
          <w:color w:val="auto"/>
          <w:highlight w:val="none"/>
        </w:rPr>
      </w:pPr>
      <w:r>
        <w:rPr>
          <w:rFonts w:hint="default" w:ascii="Times New Roman" w:hAnsi="Times New Roman" w:eastAsiaTheme="minorEastAsia"/>
          <w:color w:val="auto"/>
          <w:kern w:val="0"/>
          <w:szCs w:val="24"/>
          <w:highlight w:val="none"/>
        </w:rPr>
        <w:t>（5）通过</w:t>
      </w:r>
      <w:r>
        <w:rPr>
          <w:rFonts w:ascii="Times New Roman" w:hAnsi="Times New Roman" w:eastAsiaTheme="minorEastAsia"/>
          <w:color w:val="auto"/>
          <w:kern w:val="0"/>
          <w:szCs w:val="24"/>
          <w:highlight w:val="none"/>
        </w:rPr>
        <w:t>对采集的数据资料进行复核汇总、分类整理和综合分析</w:t>
      </w:r>
      <w:r>
        <w:rPr>
          <w:rFonts w:hint="default" w:ascii="Times New Roman" w:hAnsi="Times New Roman" w:eastAsiaTheme="minorEastAsia"/>
          <w:color w:val="auto"/>
          <w:kern w:val="0"/>
          <w:szCs w:val="24"/>
          <w:highlight w:val="none"/>
        </w:rPr>
        <w:t>，</w:t>
      </w:r>
      <w:r>
        <w:rPr>
          <w:rFonts w:ascii="Times New Roman" w:hAnsi="Times New Roman" w:eastAsiaTheme="minorEastAsia"/>
          <w:color w:val="auto"/>
          <w:kern w:val="0"/>
          <w:szCs w:val="24"/>
          <w:highlight w:val="none"/>
        </w:rPr>
        <w:t>按照设立的评价指标、标准、权重、方法实施评价，并形成评价</w:t>
      </w:r>
      <w:r>
        <w:rPr>
          <w:rFonts w:hint="default" w:ascii="Times New Roman" w:hAnsi="Times New Roman" w:eastAsiaTheme="minorEastAsia"/>
          <w:color w:val="auto"/>
          <w:kern w:val="0"/>
          <w:szCs w:val="24"/>
          <w:highlight w:val="none"/>
        </w:rPr>
        <w:t>工作底稿</w:t>
      </w:r>
      <w:r>
        <w:rPr>
          <w:rFonts w:ascii="Times New Roman" w:hAnsi="Times New Roman" w:eastAsiaTheme="minorEastAsia"/>
          <w:color w:val="auto"/>
          <w:highlight w:val="none"/>
        </w:rPr>
        <w:t>。</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eastAsia"/>
          <w:b/>
          <w:bCs/>
          <w:color w:val="auto"/>
          <w:sz w:val="24"/>
          <w:szCs w:val="28"/>
          <w:highlight w:val="none"/>
          <w:lang w:val="en-US" w:eastAsia="zh-CN"/>
        </w:rPr>
        <w:t>3</w:t>
      </w:r>
      <w:r>
        <w:rPr>
          <w:rFonts w:hint="default"/>
          <w:b/>
          <w:bCs/>
          <w:color w:val="auto"/>
          <w:sz w:val="24"/>
          <w:szCs w:val="28"/>
          <w:highlight w:val="none"/>
          <w:lang w:val="en-US" w:eastAsia="zh-CN"/>
        </w:rPr>
        <w:t xml:space="preserve">.撰写绩效评价报告 </w:t>
      </w:r>
    </w:p>
    <w:p>
      <w:pPr>
        <w:pageBreakBefore w:val="0"/>
        <w:kinsoku/>
        <w:wordWrap/>
        <w:overflowPunct/>
        <w:topLinePunct w:val="0"/>
        <w:autoSpaceDE/>
        <w:autoSpaceDN/>
        <w:bidi w:val="0"/>
        <w:spacing w:line="360" w:lineRule="exact"/>
        <w:ind w:firstLine="420"/>
        <w:rPr>
          <w:rFonts w:ascii="Times New Roman" w:hAnsi="Times New Roman" w:eastAsiaTheme="minorEastAsia"/>
          <w:color w:val="auto"/>
          <w:highlight w:val="none"/>
        </w:rPr>
      </w:pPr>
      <w:r>
        <w:rPr>
          <w:rFonts w:ascii="Times New Roman" w:hAnsi="Times New Roman" w:eastAsiaTheme="minorEastAsia"/>
          <w:color w:val="auto"/>
          <w:highlight w:val="none"/>
        </w:rPr>
        <w:t>归集</w:t>
      </w:r>
      <w:r>
        <w:rPr>
          <w:rFonts w:hint="default" w:ascii="Times New Roman" w:hAnsi="Times New Roman" w:eastAsiaTheme="minorEastAsia"/>
          <w:color w:val="auto"/>
          <w:highlight w:val="none"/>
        </w:rPr>
        <w:t>绩效评价</w:t>
      </w:r>
      <w:r>
        <w:rPr>
          <w:rFonts w:ascii="Times New Roman" w:hAnsi="Times New Roman" w:eastAsiaTheme="minorEastAsia"/>
          <w:color w:val="auto"/>
          <w:highlight w:val="none"/>
        </w:rPr>
        <w:t>工作底稿，起草项目</w:t>
      </w:r>
      <w:r>
        <w:rPr>
          <w:rFonts w:hint="default" w:ascii="Times New Roman" w:hAnsi="Times New Roman" w:eastAsiaTheme="minorEastAsia"/>
          <w:color w:val="auto"/>
          <w:highlight w:val="none"/>
        </w:rPr>
        <w:t>绩效评价</w:t>
      </w:r>
      <w:r>
        <w:rPr>
          <w:rFonts w:ascii="Times New Roman" w:hAnsi="Times New Roman" w:eastAsiaTheme="minorEastAsia"/>
          <w:color w:val="auto"/>
          <w:highlight w:val="none"/>
        </w:rPr>
        <w:t>报告，经公司内部质量审核通过后向委托人提交评估报告初稿，并报送项目实施机构以及行业主管部门，进行结果反馈，充分交换意见</w:t>
      </w:r>
      <w:r>
        <w:rPr>
          <w:rFonts w:hint="eastAsia"/>
          <w:color w:val="auto"/>
          <w:highlight w:val="none"/>
          <w:lang w:eastAsia="zh-CN"/>
        </w:rPr>
        <w:t>，</w:t>
      </w:r>
      <w:r>
        <w:rPr>
          <w:rFonts w:hint="eastAsia"/>
          <w:color w:val="auto"/>
          <w:highlight w:val="none"/>
          <w:lang w:val="en-US" w:eastAsia="zh-CN"/>
        </w:rPr>
        <w:t>双方反馈均为“无意见”，具体可见“</w:t>
      </w:r>
      <w:r>
        <w:rPr>
          <w:rFonts w:hint="eastAsia"/>
          <w:color w:val="auto"/>
          <w:highlight w:val="none"/>
        </w:rPr>
        <w:t>附件4：绩效评价工作沟通反馈结果</w:t>
      </w:r>
      <w:r>
        <w:rPr>
          <w:rFonts w:hint="eastAsia"/>
          <w:color w:val="auto"/>
          <w:highlight w:val="none"/>
          <w:lang w:val="en-US" w:eastAsia="zh-CN"/>
        </w:rPr>
        <w:t>”。</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73" w:name="_Toc471"/>
      <w:r>
        <w:rPr>
          <w:rFonts w:hint="eastAsia"/>
          <w:b/>
          <w:bCs/>
          <w:color w:val="auto"/>
          <w:sz w:val="24"/>
          <w:szCs w:val="28"/>
          <w:highlight w:val="none"/>
          <w:lang w:val="en-US" w:eastAsia="zh-CN"/>
        </w:rPr>
        <w:t>4</w:t>
      </w:r>
      <w:r>
        <w:rPr>
          <w:rFonts w:hint="default"/>
          <w:b/>
          <w:bCs/>
          <w:color w:val="auto"/>
          <w:sz w:val="24"/>
          <w:szCs w:val="28"/>
          <w:highlight w:val="none"/>
          <w:lang w:val="en-US" w:eastAsia="zh-CN"/>
        </w:rPr>
        <w:t>.</w:t>
      </w:r>
      <w:bookmarkEnd w:id="73"/>
      <w:r>
        <w:rPr>
          <w:rFonts w:hint="default"/>
          <w:b/>
          <w:bCs/>
          <w:color w:val="auto"/>
          <w:sz w:val="24"/>
          <w:szCs w:val="28"/>
          <w:highlight w:val="none"/>
          <w:lang w:val="en-US" w:eastAsia="zh-CN"/>
        </w:rPr>
        <w:t>资料档案</w:t>
      </w:r>
    </w:p>
    <w:p>
      <w:pPr>
        <w:pageBreakBefore w:val="0"/>
        <w:kinsoku/>
        <w:wordWrap/>
        <w:overflowPunct/>
        <w:topLinePunct w:val="0"/>
        <w:autoSpaceDE/>
        <w:autoSpaceDN/>
        <w:bidi w:val="0"/>
        <w:spacing w:line="360" w:lineRule="exact"/>
        <w:ind w:firstLine="420"/>
        <w:rPr>
          <w:rFonts w:ascii="Times New Roman" w:hAnsi="Times New Roman" w:eastAsiaTheme="minorEastAsia"/>
          <w:color w:val="auto"/>
          <w:highlight w:val="none"/>
        </w:rPr>
      </w:pPr>
      <w:r>
        <w:rPr>
          <w:rFonts w:ascii="Times New Roman" w:hAnsi="Times New Roman" w:eastAsiaTheme="minorEastAsia"/>
          <w:color w:val="auto"/>
          <w:highlight w:val="none"/>
        </w:rPr>
        <w:t>第三方机构将绩效评价过程中收集的全部有效资料，主要包括绩效评价工作方案、绩效指标的佐证材料、</w:t>
      </w:r>
      <w:r>
        <w:rPr>
          <w:rFonts w:hint="default" w:ascii="Times New Roman" w:hAnsi="Times New Roman" w:eastAsiaTheme="minorEastAsia"/>
          <w:color w:val="auto"/>
          <w:highlight w:val="none"/>
        </w:rPr>
        <w:t>各单位反馈</w:t>
      </w:r>
      <w:r>
        <w:rPr>
          <w:rFonts w:ascii="Times New Roman" w:hAnsi="Times New Roman" w:eastAsiaTheme="minorEastAsia"/>
          <w:color w:val="auto"/>
          <w:highlight w:val="none"/>
        </w:rPr>
        <w:t>意见和建议、实地调研记录、调查问卷、绩效评价报告等一并归档，并按照有关档案管理规定妥善管理。</w:t>
      </w:r>
    </w:p>
    <w:bookmarkEnd w:id="69"/>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74" w:name="_Toc2195"/>
      <w:bookmarkStart w:id="75" w:name="_Toc18458"/>
      <w:r>
        <w:rPr>
          <w:rFonts w:hint="default"/>
          <w:b/>
          <w:bCs/>
          <w:color w:val="auto"/>
          <w:sz w:val="24"/>
          <w:szCs w:val="28"/>
          <w:highlight w:val="none"/>
          <w:lang w:val="en-US" w:eastAsia="zh-CN"/>
        </w:rPr>
        <w:t>四、综合评价情况及评价结论</w:t>
      </w:r>
      <w:bookmarkEnd w:id="53"/>
      <w:bookmarkEnd w:id="74"/>
      <w:bookmarkEnd w:id="75"/>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TW"/>
        </w:rPr>
      </w:pPr>
      <w:bookmarkStart w:id="76" w:name="_Toc14545"/>
      <w:bookmarkStart w:id="77" w:name="_Toc28232"/>
      <w:bookmarkStart w:id="78" w:name="_Toc22544"/>
      <w:bookmarkStart w:id="79" w:name="_Toc535"/>
      <w:r>
        <w:rPr>
          <w:rFonts w:hint="default"/>
          <w:b/>
          <w:bCs/>
          <w:color w:val="auto"/>
          <w:sz w:val="24"/>
          <w:szCs w:val="28"/>
          <w:highlight w:val="none"/>
          <w:lang w:val="en-US" w:eastAsia="zh-CN"/>
        </w:rPr>
        <w:t>（一）评价得分情况</w:t>
      </w:r>
      <w:bookmarkEnd w:id="76"/>
      <w:bookmarkEnd w:id="77"/>
    </w:p>
    <w:p>
      <w:pPr>
        <w:pageBreakBefore w:val="0"/>
        <w:kinsoku/>
        <w:wordWrap/>
        <w:overflowPunct/>
        <w:topLinePunct w:val="0"/>
        <w:autoSpaceDE/>
        <w:autoSpaceDN/>
        <w:bidi w:val="0"/>
        <w:spacing w:line="360" w:lineRule="exact"/>
        <w:ind w:firstLine="420"/>
        <w:rPr>
          <w:color w:val="auto"/>
          <w:highlight w:val="none"/>
          <w:lang w:val="zh-TW"/>
        </w:rPr>
      </w:pPr>
      <w:r>
        <w:rPr>
          <w:color w:val="auto"/>
          <w:highlight w:val="none"/>
          <w:lang w:val="zh-TW" w:eastAsia="zh-TW"/>
        </w:rPr>
        <w:t>通过调研、数据分析、访谈等方式，根据</w:t>
      </w:r>
      <w:r>
        <w:rPr>
          <w:color w:val="auto"/>
          <w:highlight w:val="none"/>
        </w:rPr>
        <w:t>绩效评价</w:t>
      </w:r>
      <w:r>
        <w:rPr>
          <w:color w:val="auto"/>
          <w:highlight w:val="none"/>
          <w:lang w:val="zh-TW" w:eastAsia="zh-TW"/>
        </w:rPr>
        <w:t>方案确定的指标体系及评分标准，对</w:t>
      </w:r>
      <w:r>
        <w:rPr>
          <w:rFonts w:hint="default"/>
          <w:color w:val="auto"/>
          <w:highlight w:val="none"/>
          <w:lang w:val="zh-TW"/>
        </w:rPr>
        <w:t>“巴楚县2023年耕地地力保护补贴项目”</w:t>
      </w:r>
      <w:r>
        <w:rPr>
          <w:color w:val="auto"/>
          <w:highlight w:val="none"/>
          <w:lang w:val="zh-TW" w:eastAsia="zh-TW"/>
        </w:rPr>
        <w:t>绩效进行客观评价，综合评价</w:t>
      </w:r>
      <w:r>
        <w:rPr>
          <w:rFonts w:hint="default"/>
          <w:color w:val="auto"/>
          <w:highlight w:val="none"/>
        </w:rPr>
        <w:t>情况</w:t>
      </w:r>
      <w:r>
        <w:rPr>
          <w:color w:val="auto"/>
          <w:highlight w:val="none"/>
          <w:lang w:val="zh-TW" w:eastAsia="zh-TW"/>
        </w:rPr>
        <w:t>如下：</w:t>
      </w:r>
      <w:r>
        <w:rPr>
          <w:rFonts w:hint="default"/>
          <w:color w:val="auto"/>
          <w:highlight w:val="none"/>
        </w:rPr>
        <w:t>该</w:t>
      </w:r>
      <w:r>
        <w:rPr>
          <w:color w:val="auto"/>
          <w:highlight w:val="none"/>
          <w:lang w:val="zh-TW" w:eastAsia="zh-TW"/>
        </w:rPr>
        <w:t>项目共设置绩效目标</w:t>
      </w:r>
      <w:r>
        <w:rPr>
          <w:color w:val="auto"/>
          <w:highlight w:val="none"/>
        </w:rPr>
        <w:t>21</w:t>
      </w:r>
      <w:r>
        <w:rPr>
          <w:color w:val="auto"/>
          <w:highlight w:val="none"/>
          <w:lang w:val="zh-TW" w:eastAsia="zh-TW"/>
        </w:rPr>
        <w:t>个，实现目标</w:t>
      </w:r>
      <w:r>
        <w:rPr>
          <w:color w:val="auto"/>
          <w:highlight w:val="none"/>
        </w:rPr>
        <w:t>18</w:t>
      </w:r>
      <w:r>
        <w:rPr>
          <w:color w:val="auto"/>
          <w:highlight w:val="none"/>
          <w:lang w:val="zh-TW" w:eastAsia="zh-TW"/>
        </w:rPr>
        <w:t>个，完成率</w:t>
      </w:r>
      <w:r>
        <w:rPr>
          <w:color w:val="auto"/>
          <w:highlight w:val="none"/>
        </w:rPr>
        <w:t>85.71</w:t>
      </w:r>
      <w:r>
        <w:rPr>
          <w:color w:val="auto"/>
          <w:highlight w:val="none"/>
          <w:lang w:val="zh-TW" w:eastAsia="zh-TW"/>
        </w:rPr>
        <w:t>%，得分率</w:t>
      </w:r>
      <w:r>
        <w:rPr>
          <w:rFonts w:hint="eastAsia"/>
          <w:color w:val="auto"/>
          <w:highlight w:val="none"/>
          <w:lang w:eastAsia="zh-CN"/>
        </w:rPr>
        <w:t>93.31</w:t>
      </w:r>
      <w:r>
        <w:rPr>
          <w:color w:val="auto"/>
          <w:highlight w:val="none"/>
        </w:rPr>
        <w:t>%</w:t>
      </w:r>
      <w:r>
        <w:rPr>
          <w:color w:val="auto"/>
          <w:highlight w:val="none"/>
          <w:lang w:val="zh-TW" w:eastAsia="zh-TW"/>
        </w:rPr>
        <w:t>；</w:t>
      </w:r>
      <w:r>
        <w:rPr>
          <w:color w:val="auto"/>
          <w:highlight w:val="none"/>
        </w:rPr>
        <w:t>项目</w:t>
      </w:r>
      <w:r>
        <w:rPr>
          <w:rFonts w:hint="default"/>
          <w:color w:val="auto"/>
          <w:highlight w:val="none"/>
        </w:rPr>
        <w:t>决策</w:t>
      </w:r>
      <w:r>
        <w:rPr>
          <w:color w:val="auto"/>
          <w:highlight w:val="none"/>
          <w:lang w:val="zh-TW" w:eastAsia="zh-TW"/>
        </w:rPr>
        <w:t>指标共设置</w:t>
      </w:r>
      <w:r>
        <w:rPr>
          <w:color w:val="auto"/>
          <w:highlight w:val="none"/>
        </w:rPr>
        <w:t>6</w:t>
      </w:r>
      <w:r>
        <w:rPr>
          <w:color w:val="auto"/>
          <w:highlight w:val="none"/>
          <w:lang w:val="zh-TW" w:eastAsia="zh-TW"/>
        </w:rPr>
        <w:t>个，满分指标</w:t>
      </w:r>
      <w:r>
        <w:rPr>
          <w:color w:val="auto"/>
          <w:highlight w:val="none"/>
        </w:rPr>
        <w:t>6</w:t>
      </w:r>
      <w:r>
        <w:rPr>
          <w:color w:val="auto"/>
          <w:highlight w:val="none"/>
          <w:lang w:val="zh-TW" w:eastAsia="zh-TW"/>
        </w:rPr>
        <w:t>个，得分率</w:t>
      </w:r>
      <w:r>
        <w:rPr>
          <w:color w:val="auto"/>
          <w:highlight w:val="none"/>
        </w:rPr>
        <w:t>100%</w:t>
      </w:r>
      <w:r>
        <w:rPr>
          <w:color w:val="auto"/>
          <w:highlight w:val="none"/>
          <w:lang w:val="zh-TW" w:eastAsia="zh-TW"/>
        </w:rPr>
        <w:t>；</w:t>
      </w:r>
      <w:r>
        <w:rPr>
          <w:color w:val="auto"/>
          <w:highlight w:val="none"/>
        </w:rPr>
        <w:t>项目过程</w:t>
      </w:r>
      <w:r>
        <w:rPr>
          <w:color w:val="auto"/>
          <w:highlight w:val="none"/>
          <w:lang w:val="zh-TW" w:eastAsia="zh-TW"/>
        </w:rPr>
        <w:t>指标共设置</w:t>
      </w:r>
      <w:r>
        <w:rPr>
          <w:color w:val="auto"/>
          <w:highlight w:val="none"/>
        </w:rPr>
        <w:t>5</w:t>
      </w:r>
      <w:r>
        <w:rPr>
          <w:color w:val="auto"/>
          <w:highlight w:val="none"/>
          <w:lang w:val="zh-TW" w:eastAsia="zh-TW"/>
        </w:rPr>
        <w:t>个，满分指标</w:t>
      </w:r>
      <w:r>
        <w:rPr>
          <w:color w:val="auto"/>
          <w:highlight w:val="none"/>
        </w:rPr>
        <w:t>4</w:t>
      </w:r>
      <w:r>
        <w:rPr>
          <w:color w:val="auto"/>
          <w:highlight w:val="none"/>
          <w:lang w:val="zh-TW" w:eastAsia="zh-TW"/>
        </w:rPr>
        <w:t>个，得分率</w:t>
      </w:r>
      <w:r>
        <w:rPr>
          <w:color w:val="auto"/>
          <w:highlight w:val="none"/>
        </w:rPr>
        <w:t>92%</w:t>
      </w:r>
      <w:r>
        <w:rPr>
          <w:color w:val="auto"/>
          <w:highlight w:val="none"/>
          <w:lang w:val="zh-TW" w:eastAsia="zh-TW"/>
        </w:rPr>
        <w:t>；</w:t>
      </w:r>
      <w:r>
        <w:rPr>
          <w:color w:val="auto"/>
          <w:highlight w:val="none"/>
        </w:rPr>
        <w:t>项目产出</w:t>
      </w:r>
      <w:r>
        <w:rPr>
          <w:color w:val="auto"/>
          <w:highlight w:val="none"/>
          <w:lang w:val="zh-TW" w:eastAsia="zh-TW"/>
        </w:rPr>
        <w:t>指标共设置</w:t>
      </w:r>
      <w:r>
        <w:rPr>
          <w:color w:val="auto"/>
          <w:highlight w:val="none"/>
        </w:rPr>
        <w:t>6</w:t>
      </w:r>
      <w:r>
        <w:rPr>
          <w:color w:val="auto"/>
          <w:highlight w:val="none"/>
          <w:lang w:val="zh-TW" w:eastAsia="zh-TW"/>
        </w:rPr>
        <w:t>个，满分指标</w:t>
      </w:r>
      <w:r>
        <w:rPr>
          <w:color w:val="auto"/>
          <w:highlight w:val="none"/>
        </w:rPr>
        <w:t>6</w:t>
      </w:r>
      <w:r>
        <w:rPr>
          <w:color w:val="auto"/>
          <w:highlight w:val="none"/>
          <w:lang w:val="zh-TW" w:eastAsia="zh-TW"/>
        </w:rPr>
        <w:t>个，得分率</w:t>
      </w:r>
      <w:r>
        <w:rPr>
          <w:color w:val="auto"/>
          <w:highlight w:val="none"/>
        </w:rPr>
        <w:t>100%；项目效益</w:t>
      </w:r>
      <w:r>
        <w:rPr>
          <w:color w:val="auto"/>
          <w:highlight w:val="none"/>
          <w:lang w:val="zh-TW" w:eastAsia="zh-TW"/>
        </w:rPr>
        <w:t>指标共设置</w:t>
      </w:r>
      <w:r>
        <w:rPr>
          <w:color w:val="auto"/>
          <w:highlight w:val="none"/>
        </w:rPr>
        <w:t>4</w:t>
      </w:r>
      <w:r>
        <w:rPr>
          <w:color w:val="auto"/>
          <w:highlight w:val="none"/>
          <w:lang w:val="zh-TW" w:eastAsia="zh-TW"/>
        </w:rPr>
        <w:t>个，满分指标</w:t>
      </w:r>
      <w:r>
        <w:rPr>
          <w:color w:val="auto"/>
          <w:highlight w:val="none"/>
        </w:rPr>
        <w:t>2</w:t>
      </w:r>
      <w:r>
        <w:rPr>
          <w:color w:val="auto"/>
          <w:highlight w:val="none"/>
          <w:lang w:val="zh-TW" w:eastAsia="zh-TW"/>
        </w:rPr>
        <w:t>个，得分率</w:t>
      </w:r>
      <w:r>
        <w:rPr>
          <w:rFonts w:hint="eastAsia"/>
          <w:color w:val="auto"/>
          <w:highlight w:val="none"/>
          <w:lang w:eastAsia="zh-CN"/>
        </w:rPr>
        <w:t>86.6</w:t>
      </w:r>
      <w:r>
        <w:rPr>
          <w:color w:val="auto"/>
          <w:highlight w:val="none"/>
        </w:rPr>
        <w:t>%</w:t>
      </w:r>
      <w:r>
        <w:rPr>
          <w:color w:val="auto"/>
          <w:highlight w:val="none"/>
          <w:lang w:val="zh-TW"/>
        </w:rPr>
        <w:t>。</w:t>
      </w:r>
    </w:p>
    <w:p>
      <w:pPr>
        <w:pageBreakBefore w:val="0"/>
        <w:kinsoku/>
        <w:wordWrap/>
        <w:overflowPunct/>
        <w:topLinePunct w:val="0"/>
        <w:autoSpaceDE/>
        <w:autoSpaceDN/>
        <w:bidi w:val="0"/>
        <w:spacing w:line="360" w:lineRule="exact"/>
        <w:ind w:firstLine="420"/>
        <w:rPr>
          <w:color w:val="auto"/>
          <w:highlight w:val="none"/>
        </w:rPr>
      </w:pPr>
      <w:r>
        <w:rPr>
          <w:rFonts w:hint="eastAsia" w:ascii="Times New Roman" w:hAnsi="Times New Roman"/>
          <w:color w:val="auto"/>
          <w:sz w:val="21"/>
          <w:szCs w:val="24"/>
          <w:highlight w:val="none"/>
        </w:rPr>
        <w:t>依据《中共中央国务院关于全面实施预算绩效管理的意见》（中发〔2018〕34号）、《项目支出绩效评价管理办法》（财预〔2020〕10号）以及《关于进一步加强和规范喀什地区项目支出“全过程”预算绩效管理结果应用的通知》（喀地财绩〔2022〕2号）文件，绩效评价总分设置为100分，划分为四档：</w:t>
      </w:r>
      <w:r>
        <w:rPr>
          <w:rFonts w:hint="eastAsia"/>
          <w:color w:val="auto"/>
          <w:sz w:val="21"/>
          <w:szCs w:val="24"/>
          <w:highlight w:val="none"/>
          <w:lang w:eastAsia="zh-CN"/>
        </w:rPr>
        <w:t>90（含）~100分为优、80（含）~90分为良、70（含）~80分为中、70分以下为差</w:t>
      </w:r>
      <w:r>
        <w:rPr>
          <w:rFonts w:hint="eastAsia" w:ascii="Times New Roman" w:hAnsi="Times New Roman"/>
          <w:color w:val="auto"/>
          <w:sz w:val="21"/>
          <w:szCs w:val="24"/>
          <w:highlight w:val="none"/>
        </w:rPr>
        <w:t>。</w:t>
      </w:r>
      <w:r>
        <w:rPr>
          <w:rFonts w:hint="default"/>
          <w:color w:val="auto"/>
          <w:highlight w:val="none"/>
        </w:rPr>
        <w:t>经评价分析，</w:t>
      </w:r>
      <w:r>
        <w:rPr>
          <w:color w:val="auto"/>
          <w:highlight w:val="none"/>
          <w:lang w:val="zh-TW" w:eastAsia="zh-TW"/>
        </w:rPr>
        <w:t>该项目最终评分结果为</w:t>
      </w:r>
      <w:r>
        <w:rPr>
          <w:rFonts w:hint="eastAsia"/>
          <w:color w:val="auto"/>
          <w:highlight w:val="none"/>
          <w:lang w:eastAsia="zh-CN"/>
        </w:rPr>
        <w:t>93.31</w:t>
      </w:r>
      <w:r>
        <w:rPr>
          <w:color w:val="auto"/>
          <w:highlight w:val="none"/>
          <w:lang w:val="zh-TW" w:eastAsia="zh-TW"/>
        </w:rPr>
        <w:t>分，绩效评级为</w:t>
      </w:r>
      <w:r>
        <w:rPr>
          <w:rFonts w:hint="default"/>
          <w:color w:val="auto"/>
          <w:highlight w:val="none"/>
          <w:lang w:val="zh-TW"/>
        </w:rPr>
        <w:t>“优”</w:t>
      </w:r>
      <w:r>
        <w:rPr>
          <w:color w:val="auto"/>
          <w:highlight w:val="none"/>
          <w:lang w:val="zh-TW" w:eastAsia="zh-TW"/>
        </w:rPr>
        <w:t>。各部分权重和绩效分值如下表</w:t>
      </w:r>
      <w:r>
        <w:rPr>
          <w:color w:val="auto"/>
          <w:highlight w:val="none"/>
          <w:lang w:val="zh-TW"/>
        </w:rPr>
        <w:t>：</w:t>
      </w:r>
    </w:p>
    <w:p>
      <w:pPr>
        <w:pageBreakBefore w:val="0"/>
        <w:kinsoku/>
        <w:wordWrap/>
        <w:overflowPunct/>
        <w:topLinePunct w:val="0"/>
        <w:autoSpaceDE/>
        <w:autoSpaceDN/>
        <w:bidi w:val="0"/>
        <w:spacing w:line="360" w:lineRule="exact"/>
        <w:ind w:firstLine="0" w:firstLineChars="0"/>
        <w:jc w:val="center"/>
        <w:rPr>
          <w:rFonts w:hint="eastAsia" w:ascii="宋体" w:hAnsi="宋体" w:eastAsia="宋体" w:cs="宋体"/>
          <w:b/>
          <w:bCs/>
          <w:color w:val="auto"/>
          <w:highlight w:val="none"/>
        </w:rPr>
      </w:pPr>
      <w:r>
        <w:rPr>
          <w:rFonts w:hint="eastAsia" w:ascii="宋体" w:hAnsi="宋体" w:eastAsia="宋体" w:cs="宋体"/>
          <w:b/>
          <w:bCs/>
          <w:color w:val="auto"/>
          <w:highlight w:val="none"/>
          <w:lang w:val="zh-TW" w:eastAsia="zh-TW"/>
        </w:rPr>
        <w:t>表</w:t>
      </w:r>
      <w:r>
        <w:rPr>
          <w:rFonts w:hint="eastAsia" w:ascii="宋体" w:hAnsi="宋体" w:eastAsia="宋体" w:cs="宋体"/>
          <w:b/>
          <w:bCs/>
          <w:color w:val="auto"/>
          <w:highlight w:val="none"/>
          <w:lang w:val="en-US" w:eastAsia="zh-CN"/>
        </w:rPr>
        <w:t>4</w:t>
      </w:r>
      <w:r>
        <w:rPr>
          <w:rFonts w:hint="eastAsia" w:ascii="宋体" w:hAnsi="宋体" w:eastAsia="宋体" w:cs="宋体"/>
          <w:b/>
          <w:bCs/>
          <w:color w:val="auto"/>
          <w:highlight w:val="none"/>
          <w:lang w:val="zh-TW" w:eastAsia="zh-TW"/>
        </w:rPr>
        <w:t>-1</w:t>
      </w:r>
      <w:r>
        <w:rPr>
          <w:rFonts w:hint="eastAsia" w:ascii="宋体" w:hAnsi="宋体" w:eastAsia="宋体" w:cs="宋体"/>
          <w:b/>
          <w:bCs/>
          <w:color w:val="auto"/>
          <w:highlight w:val="none"/>
          <w:lang w:val="zh-TW"/>
        </w:rPr>
        <w:t>：</w:t>
      </w:r>
      <w:r>
        <w:rPr>
          <w:rFonts w:hint="eastAsia" w:ascii="宋体" w:hAnsi="宋体" w:eastAsia="宋体" w:cs="宋体"/>
          <w:b/>
          <w:bCs/>
          <w:color w:val="auto"/>
          <w:highlight w:val="none"/>
          <w:lang w:val="zh-TW" w:eastAsia="zh-TW"/>
        </w:rPr>
        <w:t>巴楚县2023年耕地地力保护补贴项目</w:t>
      </w:r>
      <w:r>
        <w:rPr>
          <w:rFonts w:hint="eastAsia" w:ascii="宋体" w:hAnsi="宋体" w:eastAsia="宋体" w:cs="宋体"/>
          <w:b/>
          <w:bCs/>
          <w:color w:val="auto"/>
          <w:highlight w:val="none"/>
          <w:lang w:val="zh-TW"/>
        </w:rPr>
        <w:t>得分表</w:t>
      </w:r>
    </w:p>
    <w:tbl>
      <w:tblPr>
        <w:tblStyle w:val="18"/>
        <w:tblW w:w="84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3"/>
        <w:gridCol w:w="1613"/>
        <w:gridCol w:w="1613"/>
        <w:gridCol w:w="1613"/>
        <w:gridCol w:w="1613"/>
        <w:gridCol w:w="11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指标</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项目决策类</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项目</w:t>
            </w:r>
            <w:r>
              <w:rPr>
                <w:rFonts w:hAnsi="Times New Roman" w:eastAsia="宋体" w:cs="Times New Roman"/>
                <w:b/>
                <w:bCs/>
                <w:color w:val="auto"/>
                <w:sz w:val="21"/>
                <w:szCs w:val="21"/>
                <w:highlight w:val="none"/>
              </w:rPr>
              <w:t>过程</w:t>
            </w:r>
            <w:r>
              <w:rPr>
                <w:rFonts w:hAnsi="Times New Roman" w:eastAsia="宋体" w:cs="Times New Roman"/>
                <w:b/>
                <w:bCs/>
                <w:color w:val="auto"/>
                <w:sz w:val="21"/>
                <w:szCs w:val="21"/>
                <w:highlight w:val="none"/>
                <w:lang w:val="zh-TW" w:eastAsia="zh-TW"/>
              </w:rPr>
              <w:t>类</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项目</w:t>
            </w:r>
            <w:r>
              <w:rPr>
                <w:rFonts w:hAnsi="Times New Roman" w:eastAsia="宋体" w:cs="Times New Roman"/>
                <w:b/>
                <w:bCs/>
                <w:color w:val="auto"/>
                <w:sz w:val="21"/>
                <w:szCs w:val="21"/>
                <w:highlight w:val="none"/>
              </w:rPr>
              <w:t>产出</w:t>
            </w:r>
            <w:r>
              <w:rPr>
                <w:rFonts w:hAnsi="Times New Roman" w:eastAsia="宋体" w:cs="Times New Roman"/>
                <w:b/>
                <w:bCs/>
                <w:color w:val="auto"/>
                <w:sz w:val="21"/>
                <w:szCs w:val="21"/>
                <w:highlight w:val="none"/>
                <w:lang w:val="zh-TW" w:eastAsia="zh-TW"/>
              </w:rPr>
              <w:t>类</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highlight w:val="none"/>
                <w:lang w:val="zh-TW" w:eastAsia="zh-TW"/>
              </w:rPr>
            </w:pPr>
            <w:r>
              <w:rPr>
                <w:rFonts w:hAnsi="Times New Roman" w:eastAsia="宋体" w:cs="Times New Roman"/>
                <w:b/>
                <w:bCs/>
                <w:color w:val="auto"/>
                <w:sz w:val="21"/>
                <w:szCs w:val="21"/>
                <w:highlight w:val="none"/>
                <w:lang w:val="zh-TW" w:eastAsia="zh-TW"/>
              </w:rPr>
              <w:t>项目</w:t>
            </w:r>
            <w:r>
              <w:rPr>
                <w:rFonts w:hAnsi="Times New Roman" w:eastAsia="宋体" w:cs="Times New Roman"/>
                <w:b/>
                <w:bCs/>
                <w:color w:val="auto"/>
                <w:sz w:val="21"/>
                <w:szCs w:val="21"/>
                <w:highlight w:val="none"/>
              </w:rPr>
              <w:t>效益</w:t>
            </w:r>
            <w:r>
              <w:rPr>
                <w:rFonts w:hAnsi="Times New Roman" w:eastAsia="宋体" w:cs="Times New Roman"/>
                <w:b/>
                <w:bCs/>
                <w:color w:val="auto"/>
                <w:sz w:val="21"/>
                <w:szCs w:val="21"/>
                <w:highlight w:val="none"/>
                <w:lang w:val="zh-TW" w:eastAsia="zh-TW"/>
              </w:rPr>
              <w:t>类</w:t>
            </w:r>
          </w:p>
        </w:tc>
        <w:tc>
          <w:tcPr>
            <w:tcW w:w="1128"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权重</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highlight w:val="none"/>
                <w:lang w:eastAsia="zh-CN"/>
              </w:rPr>
            </w:pPr>
            <w:r>
              <w:rPr>
                <w:rFonts w:hint="default" w:hAnsi="Times New Roman" w:eastAsia="宋体" w:cs="Times New Roman"/>
                <w:color w:val="auto"/>
                <w:sz w:val="21"/>
                <w:szCs w:val="21"/>
                <w:highlight w:val="none"/>
              </w:rPr>
              <w:t>10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highlight w:val="none"/>
                <w:lang w:eastAsia="zh-CN"/>
              </w:rPr>
            </w:pPr>
            <w:r>
              <w:rPr>
                <w:rFonts w:hint="default" w:hAnsi="Times New Roman" w:eastAsia="宋体" w:cs="Times New Roman"/>
                <w:color w:val="auto"/>
                <w:sz w:val="21"/>
                <w:szCs w:val="21"/>
                <w:highlight w:val="none"/>
              </w:rPr>
              <w:t>25</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highlight w:val="none"/>
                <w:lang w:eastAsia="zh-CN"/>
              </w:rPr>
            </w:pPr>
            <w:r>
              <w:rPr>
                <w:rFonts w:hint="default" w:hAnsi="Times New Roman" w:eastAsia="宋体" w:cs="Times New Roman"/>
                <w:color w:val="auto"/>
                <w:sz w:val="21"/>
                <w:szCs w:val="21"/>
                <w:highlight w:val="none"/>
              </w:rPr>
              <w:t>30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highlight w:val="none"/>
                <w:lang w:eastAsia="zh-CN"/>
              </w:rPr>
            </w:pPr>
            <w:r>
              <w:rPr>
                <w:rFonts w:hint="default" w:hAnsi="Times New Roman" w:eastAsia="宋体" w:cs="Times New Roman"/>
                <w:color w:val="auto"/>
                <w:sz w:val="21"/>
                <w:szCs w:val="21"/>
                <w:highlight w:val="none"/>
              </w:rPr>
              <w:t>35</w:t>
            </w:r>
          </w:p>
        </w:tc>
        <w:tc>
          <w:tcPr>
            <w:tcW w:w="112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highlight w:val="none"/>
                <w:lang w:eastAsia="zh-CN"/>
              </w:rPr>
            </w:pPr>
            <w:r>
              <w:rPr>
                <w:rFonts w:hint="default" w:hAnsi="Times New Roman" w:eastAsia="宋体" w:cs="Times New Roman"/>
                <w:color w:val="auto"/>
                <w:sz w:val="21"/>
                <w:szCs w:val="21"/>
                <w:highlight w:val="none"/>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得分</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highlight w:val="none"/>
                <w:lang w:eastAsia="zh-CN"/>
              </w:rPr>
            </w:pPr>
            <w:r>
              <w:rPr>
                <w:rFonts w:hint="default" w:hAnsi="Times New Roman" w:eastAsia="宋体" w:cs="Times New Roman"/>
                <w:color w:val="auto"/>
                <w:sz w:val="21"/>
                <w:szCs w:val="21"/>
                <w:highlight w:val="none"/>
              </w:rPr>
              <w:t>10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highlight w:val="none"/>
                <w:lang w:eastAsia="zh-CN"/>
              </w:rPr>
            </w:pPr>
            <w:r>
              <w:rPr>
                <w:rFonts w:hint="default" w:hAnsi="Times New Roman" w:eastAsia="宋体" w:cs="Times New Roman"/>
                <w:color w:val="auto"/>
                <w:sz w:val="21"/>
                <w:szCs w:val="21"/>
                <w:highlight w:val="none"/>
              </w:rPr>
              <w:t>23</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highlight w:val="none"/>
                <w:lang w:eastAsia="zh-CN"/>
              </w:rPr>
            </w:pPr>
            <w:r>
              <w:rPr>
                <w:rFonts w:hint="default" w:hAnsi="Times New Roman" w:eastAsia="宋体" w:cs="Times New Roman"/>
                <w:color w:val="auto"/>
                <w:sz w:val="21"/>
                <w:szCs w:val="21"/>
                <w:highlight w:val="none"/>
              </w:rPr>
              <w:t>30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lang w:eastAsia="zh-CN"/>
              </w:rPr>
              <w:t>30.31</w:t>
            </w:r>
          </w:p>
        </w:tc>
        <w:tc>
          <w:tcPr>
            <w:tcW w:w="112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lang w:eastAsia="zh-CN"/>
              </w:rPr>
              <w:t>93.31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得分率</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highlight w:val="none"/>
              </w:rPr>
            </w:pPr>
            <w:r>
              <w:rPr>
                <w:rFonts w:hint="default" w:hAnsi="Times New Roman" w:eastAsia="宋体" w:cs="Times New Roman"/>
                <w:color w:val="auto"/>
                <w:sz w:val="21"/>
                <w:szCs w:val="21"/>
                <w:highlight w:val="none"/>
              </w:rPr>
              <w:t>100%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highlight w:val="none"/>
              </w:rPr>
            </w:pPr>
            <w:r>
              <w:rPr>
                <w:rFonts w:hint="default" w:hAnsi="Times New Roman" w:eastAsia="宋体" w:cs="Times New Roman"/>
                <w:color w:val="auto"/>
                <w:sz w:val="21"/>
                <w:szCs w:val="21"/>
                <w:highlight w:val="none"/>
              </w:rPr>
              <w:t>92%</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highlight w:val="none"/>
              </w:rPr>
            </w:pPr>
            <w:r>
              <w:rPr>
                <w:rFonts w:hint="default" w:hAnsi="Times New Roman" w:eastAsia="宋体" w:cs="Times New Roman"/>
                <w:color w:val="auto"/>
                <w:sz w:val="21"/>
                <w:szCs w:val="21"/>
                <w:highlight w:val="none"/>
              </w:rPr>
              <w:t>100%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eastAsia="zh-CN"/>
              </w:rPr>
              <w:t>86.6</w:t>
            </w:r>
            <w:r>
              <w:rPr>
                <w:rFonts w:hint="default" w:hAnsi="Times New Roman" w:eastAsia="宋体" w:cs="Times New Roman"/>
                <w:color w:val="auto"/>
                <w:sz w:val="21"/>
                <w:szCs w:val="21"/>
                <w:highlight w:val="none"/>
              </w:rPr>
              <w:t>%</w:t>
            </w:r>
          </w:p>
        </w:tc>
        <w:tc>
          <w:tcPr>
            <w:tcW w:w="112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9"/>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eastAsia="zh-CN"/>
              </w:rPr>
              <w:t>93.31</w:t>
            </w:r>
            <w:r>
              <w:rPr>
                <w:rFonts w:hint="default" w:hAnsi="Times New Roman" w:eastAsia="宋体" w:cs="Times New Roman"/>
                <w:color w:val="auto"/>
                <w:sz w:val="21"/>
                <w:szCs w:val="21"/>
                <w:highlight w:val="none"/>
              </w:rPr>
              <w:t>%</w:t>
            </w:r>
          </w:p>
        </w:tc>
      </w:tr>
    </w:tbl>
    <w:p>
      <w:pPr>
        <w:pageBreakBefore w:val="0"/>
        <w:kinsoku/>
        <w:wordWrap/>
        <w:overflowPunct/>
        <w:topLinePunct w:val="0"/>
        <w:autoSpaceDE/>
        <w:autoSpaceDN/>
        <w:bidi w:val="0"/>
        <w:spacing w:line="360" w:lineRule="exact"/>
        <w:ind w:firstLine="420"/>
        <w:rPr>
          <w:color w:val="auto"/>
          <w:highlight w:val="none"/>
        </w:rPr>
      </w:pP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80" w:name="_Toc21869"/>
      <w:bookmarkStart w:id="81" w:name="_Toc19845"/>
      <w:bookmarkStart w:id="82" w:name="_Toc8669"/>
      <w:r>
        <w:rPr>
          <w:rFonts w:hint="default"/>
          <w:b/>
          <w:bCs/>
          <w:color w:val="auto"/>
          <w:sz w:val="24"/>
          <w:szCs w:val="28"/>
          <w:highlight w:val="none"/>
          <w:lang w:val="en-US" w:eastAsia="zh-CN"/>
        </w:rPr>
        <w:t>（二）综合评价结论</w:t>
      </w:r>
      <w:bookmarkEnd w:id="80"/>
      <w:bookmarkEnd w:id="81"/>
      <w:bookmarkEnd w:id="82"/>
    </w:p>
    <w:p>
      <w:pPr>
        <w:pageBreakBefore w:val="0"/>
        <w:kinsoku/>
        <w:wordWrap/>
        <w:overflowPunct/>
        <w:topLinePunct w:val="0"/>
        <w:autoSpaceDE/>
        <w:autoSpaceDN/>
        <w:bidi w:val="0"/>
        <w:spacing w:line="360" w:lineRule="exact"/>
        <w:ind w:firstLine="420"/>
        <w:rPr>
          <w:color w:val="auto"/>
          <w:highlight w:val="none"/>
        </w:rPr>
      </w:pPr>
      <w:r>
        <w:rPr>
          <w:rFonts w:hint="default" w:eastAsia="宋体" w:cs="Times New Roman"/>
          <w:color w:val="auto"/>
          <w:highlight w:val="none"/>
        </w:rPr>
        <w:t>经评价分析，</w:t>
      </w:r>
      <w:r>
        <w:rPr>
          <w:rFonts w:hint="default" w:eastAsia="宋体" w:cs="Times New Roman"/>
          <w:color w:val="auto"/>
          <w:highlight w:val="none"/>
          <w:lang w:val="zh-TW" w:eastAsia="zh-CN"/>
        </w:rPr>
        <w:t>项目总体实施情况</w:t>
      </w:r>
      <w:r>
        <w:rPr>
          <w:rFonts w:hint="default" w:eastAsia="宋体" w:cs="Times New Roman"/>
          <w:color w:val="auto"/>
          <w:highlight w:val="none"/>
          <w:lang w:val="en-US" w:eastAsia="zh-CN"/>
        </w:rPr>
        <w:t>较好</w:t>
      </w:r>
      <w:r>
        <w:rPr>
          <w:rFonts w:hint="default" w:eastAsia="宋体" w:cs="Times New Roman"/>
          <w:color w:val="auto"/>
          <w:highlight w:val="none"/>
        </w:rPr>
        <w:t>，项目实施单位按要求编制实施方案，并指导</w:t>
      </w:r>
      <w:r>
        <w:rPr>
          <w:rFonts w:hint="default" w:eastAsia="宋体" w:cs="Times New Roman"/>
          <w:color w:val="auto"/>
          <w:highlight w:val="none"/>
          <w:lang w:val="en-US" w:eastAsia="zh-CN"/>
        </w:rPr>
        <w:t>乡镇按程序开展前期数据汇总、核定、公示等各项工作</w:t>
      </w:r>
      <w:r>
        <w:rPr>
          <w:rFonts w:hint="default" w:eastAsia="宋体" w:cs="Times New Roman"/>
          <w:color w:val="auto"/>
          <w:highlight w:val="none"/>
        </w:rPr>
        <w:t>，按期完成了</w:t>
      </w:r>
      <w:r>
        <w:rPr>
          <w:rFonts w:hint="default" w:eastAsia="宋体" w:cs="Times New Roman"/>
          <w:color w:val="auto"/>
          <w:highlight w:val="none"/>
          <w:lang w:val="en-US" w:eastAsia="zh-CN"/>
        </w:rPr>
        <w:t>11个乡镇耕地地力保护补贴资金的兑付</w:t>
      </w:r>
      <w:r>
        <w:rPr>
          <w:rFonts w:hint="default"/>
          <w:color w:val="auto"/>
          <w:highlight w:val="none"/>
          <w:lang w:eastAsia="zh-CN"/>
        </w:rPr>
        <w:t>，</w:t>
      </w:r>
      <w:r>
        <w:rPr>
          <w:rFonts w:hint="default" w:ascii="Times New Roman" w:hAnsi="Times New Roman" w:cs="Times New Roman"/>
          <w:color w:val="auto"/>
          <w:highlight w:val="none"/>
          <w:lang w:val="en-US" w:eastAsia="zh-CN"/>
        </w:rPr>
        <w:t>实际完成冬小麦补助面积</w:t>
      </w:r>
      <w:r>
        <w:rPr>
          <w:rFonts w:hint="eastAsia" w:cs="Times New Roman"/>
          <w:color w:val="auto"/>
          <w:highlight w:val="none"/>
          <w:lang w:val="en-US" w:eastAsia="zh-CN"/>
        </w:rPr>
        <w:t>269060.8亩</w:t>
      </w:r>
      <w:r>
        <w:rPr>
          <w:rFonts w:hint="default" w:ascii="Times New Roman" w:hAnsi="Times New Roman" w:cs="Times New Roman"/>
          <w:color w:val="auto"/>
          <w:highlight w:val="none"/>
          <w:lang w:val="en-US" w:eastAsia="zh-CN"/>
        </w:rPr>
        <w:t>，惠及</w:t>
      </w:r>
      <w:r>
        <w:rPr>
          <w:rFonts w:hint="eastAsia" w:cs="Times New Roman"/>
          <w:color w:val="auto"/>
          <w:highlight w:val="none"/>
          <w:lang w:val="en-US" w:eastAsia="zh-CN"/>
        </w:rPr>
        <w:t>25321人</w:t>
      </w:r>
      <w:r>
        <w:rPr>
          <w:rFonts w:hint="default" w:ascii="Times New Roman" w:hAnsi="Times New Roman" w:cs="Times New Roman"/>
          <w:color w:val="auto"/>
          <w:highlight w:val="none"/>
          <w:lang w:val="en-US" w:eastAsia="zh-CN"/>
        </w:rPr>
        <w:t>；实际完成春小麦补助面积</w:t>
      </w:r>
      <w:r>
        <w:rPr>
          <w:rFonts w:hint="eastAsia" w:cs="Times New Roman"/>
          <w:color w:val="auto"/>
          <w:highlight w:val="none"/>
          <w:lang w:val="en-US" w:eastAsia="zh-CN"/>
        </w:rPr>
        <w:t>2739.38亩</w:t>
      </w:r>
      <w:r>
        <w:rPr>
          <w:rFonts w:hint="default" w:ascii="Times New Roman" w:hAnsi="Times New Roman" w:cs="Times New Roman"/>
          <w:color w:val="auto"/>
          <w:highlight w:val="none"/>
          <w:lang w:val="en-US" w:eastAsia="zh-CN"/>
        </w:rPr>
        <w:t>，惠及463人</w:t>
      </w:r>
      <w:r>
        <w:rPr>
          <w:rFonts w:hint="eastAsia" w:cs="Times New Roman"/>
          <w:color w:val="auto"/>
          <w:highlight w:val="none"/>
          <w:lang w:val="en-US" w:eastAsia="zh-CN"/>
        </w:rPr>
        <w:t>；</w:t>
      </w:r>
      <w:r>
        <w:rPr>
          <w:rFonts w:hint="default"/>
          <w:color w:val="auto"/>
          <w:highlight w:val="none"/>
        </w:rPr>
        <w:t>促进</w:t>
      </w:r>
      <w:r>
        <w:rPr>
          <w:rFonts w:hint="default"/>
          <w:color w:val="auto"/>
          <w:highlight w:val="none"/>
          <w:lang w:val="en-US" w:eastAsia="zh-CN"/>
        </w:rPr>
        <w:t>巴楚县</w:t>
      </w:r>
      <w:r>
        <w:rPr>
          <w:rFonts w:hint="default"/>
          <w:color w:val="auto"/>
          <w:highlight w:val="none"/>
        </w:rPr>
        <w:t>种植业结构合理调整</w:t>
      </w:r>
      <w:r>
        <w:rPr>
          <w:rFonts w:hint="default"/>
          <w:color w:val="auto"/>
          <w:highlight w:val="none"/>
          <w:lang w:eastAsia="zh-CN"/>
        </w:rPr>
        <w:t>，</w:t>
      </w:r>
      <w:r>
        <w:rPr>
          <w:rFonts w:hint="default"/>
          <w:color w:val="auto"/>
          <w:highlight w:val="none"/>
        </w:rPr>
        <w:t>引导农民自觉提升耕地地力</w:t>
      </w:r>
      <w:r>
        <w:rPr>
          <w:rFonts w:hint="default" w:eastAsia="宋体" w:cs="Times New Roman"/>
          <w:color w:val="auto"/>
          <w:highlight w:val="none"/>
          <w:lang w:val="en-US" w:eastAsia="zh-CN"/>
        </w:rPr>
        <w:t>，促进了农民增收。</w:t>
      </w:r>
      <w:r>
        <w:rPr>
          <w:rFonts w:hint="default" w:eastAsia="宋体" w:cs="Times New Roman"/>
          <w:color w:val="auto"/>
          <w:highlight w:val="none"/>
        </w:rPr>
        <w:t>但在实施过程中也存在一些不足：项目在实施过程中，</w:t>
      </w:r>
      <w:r>
        <w:rPr>
          <w:rFonts w:hint="default"/>
          <w:color w:val="auto"/>
          <w:highlight w:val="none"/>
          <w:lang w:val="en-US" w:eastAsia="zh-CN"/>
        </w:rPr>
        <w:t>补贴发放程序实施不到位，自治区耕地地力保护补贴实时</w:t>
      </w:r>
      <w:r>
        <w:rPr>
          <w:rFonts w:hint="eastAsia"/>
          <w:color w:val="auto"/>
          <w:highlight w:val="none"/>
          <w:lang w:val="en-US" w:eastAsia="zh-CN"/>
        </w:rPr>
        <w:t>监测系统录入工作未全部完成</w:t>
      </w:r>
      <w:r>
        <w:rPr>
          <w:rFonts w:hint="default"/>
          <w:color w:val="auto"/>
          <w:highlight w:val="none"/>
          <w:lang w:val="en-US" w:eastAsia="zh-CN"/>
        </w:rPr>
        <w:t>等</w:t>
      </w:r>
      <w:r>
        <w:rPr>
          <w:rFonts w:hint="default"/>
          <w:color w:val="auto"/>
          <w:highlight w:val="none"/>
        </w:rPr>
        <w:t>。</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83" w:name="_Toc10526"/>
      <w:bookmarkStart w:id="84" w:name="_Toc20503"/>
      <w:r>
        <w:rPr>
          <w:rFonts w:hint="default"/>
          <w:b/>
          <w:bCs/>
          <w:color w:val="auto"/>
          <w:sz w:val="24"/>
          <w:szCs w:val="28"/>
          <w:highlight w:val="none"/>
          <w:lang w:val="en-US" w:eastAsia="zh-CN"/>
        </w:rPr>
        <w:t>五、绩效评价指标分析</w:t>
      </w:r>
      <w:bookmarkEnd w:id="78"/>
      <w:bookmarkEnd w:id="79"/>
      <w:bookmarkEnd w:id="83"/>
      <w:bookmarkEnd w:id="84"/>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85" w:name="_Toc18078"/>
      <w:bookmarkStart w:id="86" w:name="_Toc17725"/>
      <w:bookmarkStart w:id="87" w:name="_Toc22260"/>
      <w:bookmarkStart w:id="88" w:name="_Toc4122"/>
      <w:r>
        <w:rPr>
          <w:rFonts w:hint="default"/>
          <w:b/>
          <w:bCs/>
          <w:color w:val="auto"/>
          <w:sz w:val="24"/>
          <w:szCs w:val="28"/>
          <w:highlight w:val="none"/>
          <w:lang w:val="en-US" w:eastAsia="zh-CN"/>
        </w:rPr>
        <w:t>（一）项目决策情况</w:t>
      </w:r>
      <w:bookmarkEnd w:id="85"/>
      <w:bookmarkEnd w:id="86"/>
      <w:bookmarkEnd w:id="87"/>
      <w:bookmarkEnd w:id="88"/>
    </w:p>
    <w:p>
      <w:pPr>
        <w:pageBreakBefore w:val="0"/>
        <w:kinsoku/>
        <w:wordWrap/>
        <w:overflowPunct/>
        <w:topLinePunct w:val="0"/>
        <w:autoSpaceDE/>
        <w:autoSpaceDN/>
        <w:bidi w:val="0"/>
        <w:adjustRightInd/>
        <w:spacing w:line="360" w:lineRule="exact"/>
        <w:ind w:firstLine="420"/>
        <w:rPr>
          <w:color w:val="auto"/>
          <w:highlight w:val="none"/>
        </w:rPr>
      </w:pPr>
      <w:r>
        <w:rPr>
          <w:color w:val="auto"/>
          <w:highlight w:val="none"/>
        </w:rPr>
        <w:t>项目决策类指标由</w:t>
      </w:r>
      <w:r>
        <w:rPr>
          <w:rFonts w:hint="default"/>
          <w:color w:val="auto"/>
          <w:highlight w:val="none"/>
        </w:rPr>
        <w:t>3</w:t>
      </w:r>
      <w:r>
        <w:rPr>
          <w:color w:val="auto"/>
          <w:highlight w:val="none"/>
        </w:rPr>
        <w:t>个二级指标和</w:t>
      </w:r>
      <w:r>
        <w:rPr>
          <w:rFonts w:hint="default"/>
          <w:color w:val="auto"/>
          <w:highlight w:val="none"/>
        </w:rPr>
        <w:t>6</w:t>
      </w:r>
      <w:r>
        <w:rPr>
          <w:color w:val="auto"/>
          <w:highlight w:val="none"/>
        </w:rPr>
        <w:t>个三级指标构成，权重分</w:t>
      </w:r>
      <w:r>
        <w:rPr>
          <w:rFonts w:hint="default"/>
          <w:color w:val="auto"/>
          <w:highlight w:val="none"/>
        </w:rPr>
        <w:t>10</w:t>
      </w:r>
      <w:r>
        <w:rPr>
          <w:color w:val="auto"/>
          <w:highlight w:val="none"/>
        </w:rPr>
        <w:t>分，实际得分</w:t>
      </w:r>
      <w:r>
        <w:rPr>
          <w:rFonts w:hint="default"/>
          <w:color w:val="auto"/>
          <w:highlight w:val="none"/>
        </w:rPr>
        <w:t>10</w:t>
      </w:r>
      <w:r>
        <w:rPr>
          <w:color w:val="auto"/>
          <w:highlight w:val="none"/>
        </w:rPr>
        <w:t>分</w:t>
      </w:r>
      <w:r>
        <w:rPr>
          <w:rFonts w:hint="default"/>
          <w:color w:val="auto"/>
          <w:highlight w:val="none"/>
        </w:rPr>
        <w:t>，得分率为100%</w:t>
      </w:r>
      <w:r>
        <w:rPr>
          <w:color w:val="auto"/>
          <w:highlight w:val="none"/>
        </w:rPr>
        <w:t>。各指标业绩值和绩效分值如下表所示：</w:t>
      </w:r>
    </w:p>
    <w:p>
      <w:pPr>
        <w:pageBreakBefore w:val="0"/>
        <w:kinsoku/>
        <w:wordWrap/>
        <w:overflowPunct/>
        <w:topLinePunct w:val="0"/>
        <w:autoSpaceDE/>
        <w:autoSpaceDN/>
        <w:bidi w:val="0"/>
        <w:spacing w:line="360" w:lineRule="exact"/>
        <w:ind w:firstLine="0" w:firstLineChars="0"/>
        <w:jc w:val="center"/>
        <w:rPr>
          <w:b/>
          <w:bCs/>
          <w:color w:val="auto"/>
          <w:szCs w:val="16"/>
          <w:highlight w:val="none"/>
        </w:rPr>
      </w:pPr>
      <w:r>
        <w:rPr>
          <w:b/>
          <w:bCs/>
          <w:color w:val="auto"/>
          <w:szCs w:val="16"/>
          <w:highlight w:val="none"/>
        </w:rPr>
        <w:t>表</w:t>
      </w:r>
      <w:r>
        <w:rPr>
          <w:rFonts w:hint="eastAsia"/>
          <w:b/>
          <w:bCs/>
          <w:color w:val="auto"/>
          <w:szCs w:val="16"/>
          <w:highlight w:val="none"/>
          <w:lang w:val="en-US" w:eastAsia="zh-CN"/>
        </w:rPr>
        <w:t>5</w:t>
      </w:r>
      <w:r>
        <w:rPr>
          <w:b/>
          <w:bCs/>
          <w:color w:val="auto"/>
          <w:szCs w:val="16"/>
          <w:highlight w:val="none"/>
        </w:rPr>
        <w:t>-1：项目决策类指标及分值</w:t>
      </w:r>
    </w:p>
    <w:tbl>
      <w:tblPr>
        <w:tblStyle w:val="18"/>
        <w:tblW w:w="8327" w:type="dxa"/>
        <w:tblInd w:w="0" w:type="dxa"/>
        <w:tblLayout w:type="fixed"/>
        <w:tblCellMar>
          <w:top w:w="0" w:type="dxa"/>
          <w:left w:w="0" w:type="dxa"/>
          <w:bottom w:w="0" w:type="dxa"/>
          <w:right w:w="0" w:type="dxa"/>
        </w:tblCellMar>
      </w:tblPr>
      <w:tblGrid>
        <w:gridCol w:w="1081"/>
        <w:gridCol w:w="1068"/>
        <w:gridCol w:w="1848"/>
        <w:gridCol w:w="968"/>
        <w:gridCol w:w="1028"/>
        <w:gridCol w:w="763"/>
        <w:gridCol w:w="785"/>
        <w:gridCol w:w="786"/>
      </w:tblGrid>
      <w:tr>
        <w:tblPrEx>
          <w:tblCellMar>
            <w:top w:w="0" w:type="dxa"/>
            <w:left w:w="0" w:type="dxa"/>
            <w:bottom w:w="0" w:type="dxa"/>
            <w:right w:w="0" w:type="dxa"/>
          </w:tblCellMar>
        </w:tblPrEx>
        <w:trPr>
          <w:trHeight w:val="397" w:hRule="atLeast"/>
          <w:tblHeader/>
        </w:trPr>
        <w:tc>
          <w:tcPr>
            <w:tcW w:w="108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一级指标</w:t>
            </w:r>
          </w:p>
        </w:tc>
        <w:tc>
          <w:tcPr>
            <w:tcW w:w="10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二级指标</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三级指标</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目标值</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实际完成值</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权重</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得分</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得分率</w:t>
            </w:r>
          </w:p>
        </w:tc>
      </w:tr>
      <w:tr>
        <w:tblPrEx>
          <w:tblCellMar>
            <w:top w:w="0" w:type="dxa"/>
            <w:left w:w="0" w:type="dxa"/>
            <w:bottom w:w="0" w:type="dxa"/>
            <w:right w:w="0" w:type="dxa"/>
          </w:tblCellMar>
        </w:tblPrEx>
        <w:trPr>
          <w:trHeight w:val="397" w:hRule="atLeast"/>
        </w:trPr>
        <w:tc>
          <w:tcPr>
            <w:tcW w:w="1081"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A决策（10分）　</w:t>
            </w:r>
          </w:p>
        </w:tc>
        <w:tc>
          <w:tcPr>
            <w:tcW w:w="106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 项目立项（3分）　</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A11立项依据充分性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充分</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充分</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06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A12立项程序规范性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合规</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合规</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06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 绩效目标（4分）　</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A21绩效目标合理性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2</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2</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06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A22绩效指标明确性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明确</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明确</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2</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2</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06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 资金投入（3分）</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A31预算编制科学性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科学</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科学</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06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A32资金分配合理性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3997"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default" w:ascii="Times New Roman" w:hAnsi="Times New Roman" w:eastAsia="宋体" w:cs="Times New Roman"/>
                <w:b/>
                <w:bCs/>
                <w:color w:val="auto"/>
                <w:kern w:val="0"/>
                <w:sz w:val="20"/>
                <w:szCs w:val="20"/>
                <w:highlight w:val="none"/>
                <w:lang w:bidi="ar"/>
              </w:rPr>
              <w:t>合计</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bCs/>
                <w:color w:val="auto"/>
                <w:kern w:val="0"/>
                <w:sz w:val="20"/>
                <w:szCs w:val="20"/>
                <w:highlight w:val="none"/>
                <w:lang w:bidi="ar"/>
              </w:rPr>
            </w:pP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bCs/>
                <w:color w:val="auto"/>
                <w:kern w:val="0"/>
                <w:sz w:val="20"/>
                <w:szCs w:val="20"/>
                <w:highlight w:val="none"/>
                <w:lang w:bidi="ar"/>
              </w:rPr>
            </w:pP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b/>
                <w:bCs/>
                <w:color w:val="auto"/>
                <w:kern w:val="0"/>
                <w:sz w:val="20"/>
                <w:szCs w:val="20"/>
                <w:highlight w:val="none"/>
                <w:lang w:eastAsia="zh-CN" w:bidi="ar"/>
              </w:rPr>
            </w:pPr>
            <w:r>
              <w:rPr>
                <w:rFonts w:hint="default" w:ascii="Times New Roman" w:hAnsi="Times New Roman" w:eastAsia="宋体" w:cs="Times New Roman"/>
                <w:b/>
                <w:bCs/>
                <w:color w:val="auto"/>
                <w:kern w:val="0"/>
                <w:sz w:val="20"/>
                <w:szCs w:val="20"/>
                <w:highlight w:val="none"/>
                <w:lang w:bidi="ar"/>
              </w:rPr>
              <w:t>10</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b/>
                <w:bCs/>
                <w:color w:val="auto"/>
                <w:kern w:val="0"/>
                <w:sz w:val="20"/>
                <w:szCs w:val="20"/>
                <w:highlight w:val="none"/>
                <w:lang w:eastAsia="zh-CN" w:bidi="ar"/>
              </w:rPr>
            </w:pPr>
            <w:r>
              <w:rPr>
                <w:rFonts w:hint="default" w:ascii="Times New Roman" w:hAnsi="Times New Roman" w:eastAsia="宋体" w:cs="Times New Roman"/>
                <w:b/>
                <w:bCs/>
                <w:color w:val="auto"/>
                <w:kern w:val="0"/>
                <w:sz w:val="20"/>
                <w:szCs w:val="20"/>
                <w:highlight w:val="none"/>
                <w:lang w:bidi="ar"/>
              </w:rPr>
              <w:t>10</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default" w:ascii="Times New Roman" w:hAnsi="Times New Roman" w:eastAsia="宋体" w:cs="Times New Roman"/>
                <w:b/>
                <w:bCs/>
                <w:color w:val="auto"/>
                <w:kern w:val="0"/>
                <w:sz w:val="20"/>
                <w:szCs w:val="20"/>
                <w:highlight w:val="none"/>
                <w:lang w:bidi="ar"/>
              </w:rPr>
              <w:t>100%</w:t>
            </w:r>
          </w:p>
        </w:tc>
      </w:tr>
    </w:tbl>
    <w:p>
      <w:pPr>
        <w:pageBreakBefore w:val="0"/>
        <w:kinsoku/>
        <w:wordWrap/>
        <w:overflowPunct/>
        <w:topLinePunct w:val="0"/>
        <w:autoSpaceDE/>
        <w:autoSpaceDN/>
        <w:bidi w:val="0"/>
        <w:spacing w:line="360" w:lineRule="exact"/>
        <w:ind w:firstLine="422"/>
        <w:rPr>
          <w:rFonts w:eastAsia="宋体"/>
          <w:b/>
          <w:bCs/>
          <w:color w:val="auto"/>
          <w:highlight w:val="none"/>
        </w:rPr>
      </w:pP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指标得分分析：</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（1）A11立项依据充分性指标</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①</w:t>
      </w:r>
      <w:r>
        <w:rPr>
          <w:rFonts w:hint="default" w:ascii="Times New Roman" w:hAnsi="Times New Roman" w:eastAsia="宋体" w:cs="Times New Roman"/>
          <w:color w:val="auto"/>
          <w:highlight w:val="none"/>
          <w:lang w:eastAsia="zh-CN"/>
        </w:rPr>
        <w:t>该项目</w:t>
      </w:r>
      <w:r>
        <w:rPr>
          <w:rFonts w:hint="default" w:ascii="Times New Roman" w:hAnsi="Times New Roman" w:eastAsia="宋体" w:cs="Times New Roman"/>
          <w:color w:val="auto"/>
          <w:highlight w:val="none"/>
        </w:rPr>
        <w:t>立项符合《关于全面推开农业“三项补贴”改革工作的通知》“提高补贴政策的指向性、精准性和实效性，鼓励农民主动保护耕地地力，实现‘藏粮于地’的战略目标”；符合《财政部 农业部关于全面推进农业“三项补贴”改革工作的通知》（财农〔2016〕26号）“切实做好农业支持保护补贴工作，支持耕地地力保护”的文件精神。项目立项符合国家法律法规、国民经济发展规划和相关政策。</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②</w:t>
      </w:r>
      <w:r>
        <w:rPr>
          <w:rFonts w:hint="default" w:ascii="Times New Roman" w:hAnsi="Times New Roman" w:eastAsia="宋体" w:cs="Times New Roman"/>
          <w:color w:val="auto"/>
          <w:highlight w:val="none"/>
          <w:lang w:eastAsia="zh-CN"/>
        </w:rPr>
        <w:t>该项目</w:t>
      </w:r>
      <w:r>
        <w:rPr>
          <w:rFonts w:hint="default" w:ascii="Times New Roman" w:hAnsi="Times New Roman" w:eastAsia="宋体" w:cs="Times New Roman"/>
          <w:color w:val="auto"/>
          <w:highlight w:val="none"/>
        </w:rPr>
        <w:t>立项符合按照《财政部办公厅 农业农村部办公厅关于进一步做好耕地地力保护补贴工作的通知》（财办农〔2021〕11号）要求，探索耕地地力保护补贴发放与耕地地力保护行为相挂钩的有效机制，加大耕地使用情况的核实力度，做到享受补贴农民的耕地不撂荒、地力不下降，切实推动落实“藏粮于地”战略部署，遏制耕地“非农化”。项目立项符合《财政部、农业农村部发布2022年重点强农惠农政策》贯彻落实耕地地力保护补贴政策的重点工作安排。项目立项符合行业发展规划和政策要求。</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③该项目立项与《关于印发&lt;巴楚县农业农村局职能配置内设机构和人员编制规定&gt;的通知》中“贯彻落实党中央、自治区党委、地委关于</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三农</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工作的方针政策和决策部署以及县委工作要求，统筹巴楚乡村振兴工作，组织开展</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三农</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重大问题的政策研究”的部门职责范围相符，属于部门履职所需。</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④</w:t>
      </w:r>
      <w:r>
        <w:rPr>
          <w:rFonts w:hint="default" w:ascii="Times New Roman" w:hAnsi="Times New Roman" w:eastAsia="宋体" w:cs="Times New Roman"/>
          <w:color w:val="auto"/>
          <w:highlight w:val="none"/>
          <w:lang w:eastAsia="zh-CN"/>
        </w:rPr>
        <w:t>该项目</w:t>
      </w:r>
      <w:r>
        <w:rPr>
          <w:rFonts w:hint="default" w:ascii="Times New Roman" w:hAnsi="Times New Roman" w:eastAsia="宋体" w:cs="Times New Roman"/>
          <w:color w:val="auto"/>
          <w:highlight w:val="none"/>
        </w:rPr>
        <w:t>预算资金专项用于耕地地力保护补贴，项目资金性质为“一般公共财政预算”，功能分类为“2130122农业生产发展”，经济分类为“30310个人农业生产补贴”</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属于公共财政支持范围，符合中央、地方事权支出责任划分原则。</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⑤经查阅部门单位预决算公开平台，该项目不存在重复。</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该指标满分为1</w:t>
      </w:r>
      <w:r>
        <w:rPr>
          <w:rFonts w:hint="eastAsia"/>
          <w:color w:val="auto"/>
          <w:highlight w:val="none"/>
          <w:lang w:eastAsia="zh-CN"/>
        </w:rPr>
        <w:t>.5</w:t>
      </w:r>
      <w:r>
        <w:rPr>
          <w:color w:val="auto"/>
          <w:highlight w:val="none"/>
        </w:rPr>
        <w:t>分，根据评分标准得1</w:t>
      </w:r>
      <w:r>
        <w:rPr>
          <w:rFonts w:hint="eastAsia"/>
          <w:color w:val="auto"/>
          <w:highlight w:val="none"/>
          <w:lang w:eastAsia="zh-CN"/>
        </w:rPr>
        <w:t>.5</w:t>
      </w:r>
      <w:r>
        <w:rPr>
          <w:color w:val="auto"/>
          <w:highlight w:val="none"/>
        </w:rPr>
        <w:t>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（2）A12立项程序规范性指标</w:t>
      </w:r>
    </w:p>
    <w:p>
      <w:pPr>
        <w:pageBreakBefore w:val="0"/>
        <w:kinsoku/>
        <w:wordWrap/>
        <w:overflowPunct/>
        <w:topLinePunct w:val="0"/>
        <w:autoSpaceDE/>
        <w:autoSpaceDN/>
        <w:bidi w:val="0"/>
        <w:spacing w:line="360" w:lineRule="exact"/>
        <w:ind w:firstLine="420"/>
        <w:rPr>
          <w:rFonts w:hint="default" w:eastAsia="宋体"/>
          <w:color w:val="auto"/>
          <w:highlight w:val="none"/>
          <w:lang w:val="en-US" w:eastAsia="zh-CN"/>
        </w:rPr>
      </w:pPr>
      <w:r>
        <w:rPr>
          <w:rFonts w:hint="default" w:ascii="Times New Roman" w:hAnsi="Times New Roman" w:eastAsia="宋体" w:cs="Times New Roman"/>
          <w:color w:val="auto"/>
          <w:highlight w:val="none"/>
        </w:rPr>
        <w:t>根据喀什地区财政局《关于提前下达2023年中央农业生产发展资金</w:t>
      </w:r>
      <w:r>
        <w:rPr>
          <w:rFonts w:hint="eastAsia" w:eastAsia="宋体" w:cs="Times New Roman"/>
          <w:color w:val="auto"/>
          <w:highlight w:val="none"/>
          <w:lang w:eastAsia="zh-CN"/>
        </w:rPr>
        <w:t>（耕地保护补贴）</w:t>
      </w:r>
      <w:r>
        <w:rPr>
          <w:rFonts w:hint="default" w:ascii="Times New Roman" w:hAnsi="Times New Roman" w:eastAsia="宋体" w:cs="Times New Roman"/>
          <w:color w:val="auto"/>
          <w:highlight w:val="none"/>
        </w:rPr>
        <w:t>预算的通知》（喀地财农〔2022〕31号）、《关于提前下达2023年自治区农业发展资金（耕地地力保护补贴）预算的通知）》（喀地财农〔2022〕40号）、自治区农业农村厅下发的《2023年自治区耕地地力保护补贴实施方案》文件精神，巴楚县农业农村局根据2022年第三批实际种粮农民一次性补贴资金、2023年中央财政和自治区财政安排农业生产支持补贴资金情况、各乡镇申报2023年度冬春小麦补贴面积以及历年结存资金四项因素，核定直达补贴资金</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根据实际核查面积制定《巴楚县2023年耕地地力保护补贴实施方案》，</w:t>
      </w:r>
      <w:r>
        <w:rPr>
          <w:rFonts w:hint="default" w:ascii="Times New Roman" w:hAnsi="Times New Roman" w:eastAsia="宋体" w:cs="Times New Roman"/>
          <w:color w:val="auto"/>
          <w:highlight w:val="none"/>
          <w:lang w:val="en-US" w:eastAsia="zh-CN"/>
        </w:rPr>
        <w:t>组织实施巴楚县2023年度</w:t>
      </w:r>
      <w:r>
        <w:rPr>
          <w:rFonts w:hint="default" w:ascii="Times New Roman" w:hAnsi="Times New Roman" w:eastAsia="宋体" w:cs="Times New Roman"/>
          <w:color w:val="auto"/>
          <w:highlight w:val="none"/>
        </w:rPr>
        <w:t>耕地地力保护补贴</w:t>
      </w:r>
      <w:r>
        <w:rPr>
          <w:rFonts w:hint="default" w:ascii="Times New Roman" w:hAnsi="Times New Roman" w:eastAsia="宋体" w:cs="Times New Roman"/>
          <w:color w:val="auto"/>
          <w:highlight w:val="none"/>
          <w:lang w:val="en-US" w:eastAsia="zh-CN"/>
        </w:rPr>
        <w:t>项目</w:t>
      </w:r>
      <w:r>
        <w:rPr>
          <w:rFonts w:hint="default" w:ascii="Times New Roman" w:hAnsi="Times New Roman" w:eastAsia="宋体" w:cs="Times New Roman"/>
          <w:color w:val="auto"/>
          <w:highlight w:val="none"/>
        </w:rPr>
        <w:t>。</w:t>
      </w:r>
      <w:r>
        <w:rPr>
          <w:rFonts w:hint="default" w:ascii="Times New Roman" w:hAnsi="Times New Roman" w:eastAsia="宋体" w:cs="Times New Roman"/>
          <w:color w:val="auto"/>
          <w:highlight w:val="none"/>
          <w:lang w:val="en-US" w:eastAsia="zh-CN"/>
        </w:rPr>
        <w:t>项目按规定的程序设立实施。</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该指标满分为1</w:t>
      </w:r>
      <w:r>
        <w:rPr>
          <w:rFonts w:hint="eastAsia"/>
          <w:color w:val="auto"/>
          <w:highlight w:val="none"/>
          <w:lang w:eastAsia="zh-CN"/>
        </w:rPr>
        <w:t>.5</w:t>
      </w:r>
      <w:r>
        <w:rPr>
          <w:color w:val="auto"/>
          <w:highlight w:val="none"/>
        </w:rPr>
        <w:t>分，根据评分标准得1</w:t>
      </w:r>
      <w:r>
        <w:rPr>
          <w:rFonts w:hint="eastAsia"/>
          <w:color w:val="auto"/>
          <w:highlight w:val="none"/>
          <w:lang w:eastAsia="zh-CN"/>
        </w:rPr>
        <w:t>.5</w:t>
      </w:r>
      <w:r>
        <w:rPr>
          <w:color w:val="auto"/>
          <w:highlight w:val="none"/>
        </w:rPr>
        <w:t>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（3）A21绩效目标合理性指标</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①根据项目实施单位《项目支出绩效目标表》，项目有绩效目标，具体目标内容是：“本项目总投资5</w:t>
      </w:r>
      <w:r>
        <w:rPr>
          <w:rFonts w:hint="eastAsia" w:eastAsia="宋体" w:cs="Times New Roman"/>
          <w:color w:val="auto"/>
          <w:highlight w:val="none"/>
          <w:lang w:eastAsia="zh-CN"/>
        </w:rPr>
        <w:t>，</w:t>
      </w:r>
      <w:r>
        <w:rPr>
          <w:rFonts w:hint="default" w:ascii="Times New Roman" w:hAnsi="Times New Roman" w:eastAsia="宋体" w:cs="Times New Roman"/>
          <w:color w:val="auto"/>
          <w:highlight w:val="none"/>
        </w:rPr>
        <w:t>821.1万元，补贴乡镇数为</w:t>
      </w:r>
      <w:r>
        <w:rPr>
          <w:rFonts w:hint="eastAsia" w:eastAsia="宋体" w:cs="Times New Roman"/>
          <w:color w:val="auto"/>
          <w:highlight w:val="none"/>
          <w:lang w:eastAsia="zh-CN"/>
        </w:rPr>
        <w:t>1</w:t>
      </w:r>
      <w:r>
        <w:rPr>
          <w:rFonts w:hint="eastAsia" w:eastAsia="宋体" w:cs="Times New Roman"/>
          <w:color w:val="auto"/>
          <w:highlight w:val="none"/>
          <w:lang w:val="en-US" w:eastAsia="zh-CN"/>
        </w:rPr>
        <w:t>1</w:t>
      </w:r>
      <w:r>
        <w:rPr>
          <w:rFonts w:hint="default" w:ascii="Times New Roman" w:hAnsi="Times New Roman" w:eastAsia="宋体" w:cs="Times New Roman"/>
          <w:color w:val="auto"/>
          <w:highlight w:val="none"/>
        </w:rPr>
        <w:t>个，补贴亩数</w:t>
      </w:r>
      <w:r>
        <w:rPr>
          <w:rFonts w:hint="eastAsia" w:eastAsia="宋体" w:cs="Times New Roman"/>
          <w:color w:val="auto"/>
          <w:highlight w:val="none"/>
          <w:lang w:eastAsia="zh-CN"/>
        </w:rPr>
        <w:t>271567.24亩</w:t>
      </w:r>
      <w:r>
        <w:rPr>
          <w:rFonts w:hint="default" w:ascii="Times New Roman" w:hAnsi="Times New Roman" w:eastAsia="宋体" w:cs="Times New Roman"/>
          <w:color w:val="auto"/>
          <w:highlight w:val="none"/>
        </w:rPr>
        <w:t>，补助标准为230元/亩，享受补贴人数为</w:t>
      </w:r>
      <w:r>
        <w:rPr>
          <w:rFonts w:hint="eastAsia" w:eastAsia="宋体" w:cs="Times New Roman"/>
          <w:color w:val="auto"/>
          <w:highlight w:val="none"/>
          <w:lang w:eastAsia="zh-CN"/>
        </w:rPr>
        <w:t>25798人</w:t>
      </w:r>
      <w:r>
        <w:rPr>
          <w:rFonts w:hint="default" w:ascii="Times New Roman" w:hAnsi="Times New Roman" w:eastAsia="宋体" w:cs="Times New Roman"/>
          <w:color w:val="auto"/>
          <w:highlight w:val="none"/>
        </w:rPr>
        <w:t>，补贴资金兑付率100%；保障粮食等重要农产品有效供给和促进农民持续增收为重点，完善耕地地力保护补贴政策体系，引导农民自觉提升耕地地力，推动粮食生产能力稳步提升，提高农民收入”。</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②根据项目资金申报及审核拨付的过程文件等资料，</w:t>
      </w:r>
      <w:r>
        <w:rPr>
          <w:rFonts w:hint="default" w:ascii="Times New Roman" w:hAnsi="Times New Roman" w:eastAsia="宋体" w:cs="Times New Roman"/>
          <w:color w:val="auto"/>
          <w:highlight w:val="none"/>
          <w:lang w:eastAsia="zh-CN"/>
        </w:rPr>
        <w:t>该项目</w:t>
      </w:r>
      <w:r>
        <w:rPr>
          <w:rFonts w:hint="default" w:ascii="Times New Roman" w:hAnsi="Times New Roman" w:eastAsia="宋体" w:cs="Times New Roman"/>
          <w:color w:val="auto"/>
          <w:highlight w:val="none"/>
          <w:lang w:val="en-US" w:eastAsia="zh-CN"/>
        </w:rPr>
        <w:t>补贴资金</w:t>
      </w:r>
      <w:r>
        <w:rPr>
          <w:rFonts w:hint="default" w:ascii="Times New Roman" w:hAnsi="Times New Roman" w:eastAsia="宋体" w:cs="Times New Roman"/>
          <w:color w:val="auto"/>
          <w:highlight w:val="none"/>
        </w:rPr>
        <w:t>用于巴楚县11个乡镇耕地地力保护补贴的发放，项目绩效目标与实际工作内容具有相关性。</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③该项目通过补助资金发放，保障粮食等重要农产品有效供给和促进农民持续增收为重点，完善耕地地力保护补贴政策体系，引导农民自觉提升耕地地力，推动粮食生产能力稳步提升，提高农民收入，项目预期产出效益和效果根据项目的实际用途设置，符合正常的业绩水平。</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④经查阅项目资金下达文件，该项目耕地地力保护补贴到位资金5</w:t>
      </w:r>
      <w:r>
        <w:rPr>
          <w:rFonts w:hint="eastAsia" w:eastAsia="宋体" w:cs="Times New Roman"/>
          <w:color w:val="auto"/>
          <w:highlight w:val="none"/>
          <w:lang w:eastAsia="zh-CN"/>
        </w:rPr>
        <w:t>，</w:t>
      </w:r>
      <w:r>
        <w:rPr>
          <w:rFonts w:hint="default" w:ascii="Times New Roman" w:hAnsi="Times New Roman" w:eastAsia="宋体" w:cs="Times New Roman"/>
          <w:color w:val="auto"/>
          <w:highlight w:val="none"/>
        </w:rPr>
        <w:t>821.11万元。根据《项目支出绩效目标表》，绩效目标表填报的预算资金总额度与到位资金一致，故绩效目标确定的预算与预算确定的项目资金量匹配。</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该指标满分为2分，根据评分标准得2分。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（4）A22绩效指标明确性指标</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①根据《项目支出绩效目标表》分析可知，该项目共设立一级指标4个，二级指标6个，三级指标11个，项目实施单位已将绩效目标细化分解为具体的绩效指标。</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②该项目已设置三级指标11个，其中定量指标8个，定性指标3个，指标量化率为72.73％，指标量化率达到目标。经评价分析，项目实施后可产生预期的社会效益，项目指标设置有相应的时效指标，项目绩效目标设置与预算关联性紧密，绩效目标和指标设置明确且合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该指标满分为2分，根据评分标准得2分。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（5）A31预算编制科学性指标</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该项目资金来源为2023年中央农业生产发展资金，专项用于耕地地力保护补贴发放，项目预算资金由上级财政安排下达，项目依据上级文件要求</w:t>
      </w:r>
      <w:r>
        <w:rPr>
          <w:rFonts w:hint="default" w:ascii="Times New Roman" w:hAnsi="Times New Roman" w:eastAsia="宋体" w:cs="Times New Roman"/>
          <w:color w:val="auto"/>
          <w:highlight w:val="none"/>
          <w:lang w:val="en-US" w:eastAsia="zh-CN"/>
        </w:rPr>
        <w:t>编制巴楚县项目预算计划</w:t>
      </w:r>
      <w:r>
        <w:rPr>
          <w:rFonts w:hint="default" w:ascii="Times New Roman" w:hAnsi="Times New Roman" w:eastAsia="宋体" w:cs="Times New Roman"/>
          <w:color w:val="auto"/>
          <w:highlight w:val="none"/>
        </w:rPr>
        <w:t>，根据实际核查面积编制《巴楚县2023年耕地地力保护补贴实施方案》，补贴</w:t>
      </w:r>
      <w:r>
        <w:rPr>
          <w:rFonts w:hint="default" w:ascii="Times New Roman" w:hAnsi="Times New Roman" w:eastAsia="宋体" w:cs="Times New Roman"/>
          <w:color w:val="auto"/>
          <w:highlight w:val="none"/>
          <w:lang w:val="en-US" w:eastAsia="zh-CN"/>
        </w:rPr>
        <w:t>范围及</w:t>
      </w:r>
      <w:r>
        <w:rPr>
          <w:rFonts w:hint="default" w:ascii="Times New Roman" w:hAnsi="Times New Roman" w:eastAsia="宋体" w:cs="Times New Roman"/>
          <w:color w:val="auto"/>
          <w:highlight w:val="none"/>
        </w:rPr>
        <w:t>面积</w:t>
      </w:r>
      <w:r>
        <w:rPr>
          <w:rFonts w:hint="default" w:ascii="Times New Roman" w:hAnsi="Times New Roman" w:eastAsia="宋体" w:cs="Times New Roman"/>
          <w:color w:val="auto"/>
          <w:highlight w:val="none"/>
          <w:lang w:val="en-US" w:eastAsia="zh-CN"/>
        </w:rPr>
        <w:t>和补贴</w:t>
      </w:r>
      <w:r>
        <w:rPr>
          <w:rFonts w:hint="default" w:ascii="Times New Roman" w:hAnsi="Times New Roman" w:eastAsia="宋体" w:cs="Times New Roman"/>
          <w:color w:val="auto"/>
          <w:highlight w:val="none"/>
        </w:rPr>
        <w:t>标准</w:t>
      </w:r>
      <w:r>
        <w:rPr>
          <w:rFonts w:hint="default" w:ascii="Times New Roman" w:hAnsi="Times New Roman" w:eastAsia="宋体" w:cs="Times New Roman"/>
          <w:color w:val="auto"/>
          <w:highlight w:val="none"/>
          <w:lang w:val="en-US" w:eastAsia="zh-CN"/>
        </w:rPr>
        <w:t>均明确且符合地区的政策要求</w:t>
      </w:r>
      <w:r>
        <w:rPr>
          <w:rFonts w:hint="default" w:ascii="Times New Roman" w:hAnsi="Times New Roman" w:eastAsia="宋体" w:cs="Times New Roman"/>
          <w:color w:val="auto"/>
          <w:highlight w:val="none"/>
        </w:rPr>
        <w:t>，并经过喀什地区农业农村局审批通过。故项目预算额度分配依据充分，预算确定的项目资金量与实际使用资金量匹配，项目预算安排合理。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该指标满分为1</w:t>
      </w:r>
      <w:r>
        <w:rPr>
          <w:rFonts w:hint="eastAsia"/>
          <w:color w:val="auto"/>
          <w:highlight w:val="none"/>
          <w:lang w:eastAsia="zh-CN"/>
        </w:rPr>
        <w:t>.5</w:t>
      </w:r>
      <w:r>
        <w:rPr>
          <w:color w:val="auto"/>
          <w:highlight w:val="none"/>
        </w:rPr>
        <w:t>分，根据评分标准得1</w:t>
      </w:r>
      <w:r>
        <w:rPr>
          <w:rFonts w:hint="eastAsia"/>
          <w:color w:val="auto"/>
          <w:highlight w:val="none"/>
          <w:lang w:eastAsia="zh-CN"/>
        </w:rPr>
        <w:t>.5</w:t>
      </w:r>
      <w:r>
        <w:rPr>
          <w:color w:val="auto"/>
          <w:highlight w:val="none"/>
        </w:rPr>
        <w:t>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（6）A32资金分配合理性指标</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根据喀什地区财政局《关于提前下达2023年中央农业生产发展资金</w:t>
      </w:r>
      <w:r>
        <w:rPr>
          <w:rFonts w:hint="eastAsia" w:eastAsia="宋体" w:cs="Times New Roman"/>
          <w:color w:val="auto"/>
          <w:highlight w:val="none"/>
          <w:lang w:eastAsia="zh-CN"/>
        </w:rPr>
        <w:t>（耕地保护补贴）</w:t>
      </w:r>
      <w:r>
        <w:rPr>
          <w:rFonts w:hint="default" w:ascii="Times New Roman" w:hAnsi="Times New Roman" w:eastAsia="宋体" w:cs="Times New Roman"/>
          <w:color w:val="auto"/>
          <w:highlight w:val="none"/>
        </w:rPr>
        <w:t>预算的通知》（喀地财农〔2022〕31号）、《关于提前下达2023年自治区农业发展资金（耕地地力保护补贴）预算的通知）》（喀地财农〔2022〕40号）、《巴楚县2023年耕地地力保护补贴实施方案》，该项目根据资金下达文件，按照项目实施方案分配资金。项目实施方案根据实际核查面积、人员情况、补贴标准分配补助资金额度，补助资金额度符合相关标准要求，资金分配依据充足，与项目单位实际相适应。</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该指标满分为1</w:t>
      </w:r>
      <w:r>
        <w:rPr>
          <w:rFonts w:hint="eastAsia"/>
          <w:color w:val="auto"/>
          <w:highlight w:val="none"/>
          <w:lang w:eastAsia="zh-CN"/>
        </w:rPr>
        <w:t>.5</w:t>
      </w:r>
      <w:r>
        <w:rPr>
          <w:color w:val="auto"/>
          <w:highlight w:val="none"/>
        </w:rPr>
        <w:t>分，根据评分标准得1</w:t>
      </w:r>
      <w:r>
        <w:rPr>
          <w:rFonts w:hint="eastAsia"/>
          <w:color w:val="auto"/>
          <w:highlight w:val="none"/>
          <w:lang w:eastAsia="zh-CN"/>
        </w:rPr>
        <w:t>.5</w:t>
      </w:r>
      <w:r>
        <w:rPr>
          <w:color w:val="auto"/>
          <w:highlight w:val="none"/>
        </w:rPr>
        <w:t>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89" w:name="_Toc29307"/>
      <w:bookmarkStart w:id="90" w:name="_Toc31917"/>
      <w:r>
        <w:rPr>
          <w:rFonts w:hint="default"/>
          <w:b/>
          <w:bCs/>
          <w:color w:val="auto"/>
          <w:sz w:val="24"/>
          <w:szCs w:val="28"/>
          <w:highlight w:val="none"/>
          <w:lang w:val="en-US" w:eastAsia="zh-CN"/>
        </w:rPr>
        <w:t>（二）项目过程情况</w:t>
      </w:r>
      <w:bookmarkEnd w:id="89"/>
      <w:bookmarkEnd w:id="90"/>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项目过程类指标由</w:t>
      </w:r>
      <w:r>
        <w:rPr>
          <w:rFonts w:hint="default"/>
          <w:color w:val="auto"/>
          <w:highlight w:val="none"/>
        </w:rPr>
        <w:t>2</w:t>
      </w:r>
      <w:r>
        <w:rPr>
          <w:color w:val="auto"/>
          <w:highlight w:val="none"/>
        </w:rPr>
        <w:t>个二级指标和</w:t>
      </w:r>
      <w:r>
        <w:rPr>
          <w:rFonts w:hint="default"/>
          <w:color w:val="auto"/>
          <w:highlight w:val="none"/>
        </w:rPr>
        <w:t>5</w:t>
      </w:r>
      <w:r>
        <w:rPr>
          <w:color w:val="auto"/>
          <w:highlight w:val="none"/>
        </w:rPr>
        <w:t>个三级指标构成，权重分</w:t>
      </w:r>
      <w:r>
        <w:rPr>
          <w:rFonts w:hint="default"/>
          <w:color w:val="auto"/>
          <w:highlight w:val="none"/>
        </w:rPr>
        <w:t>25</w:t>
      </w:r>
      <w:r>
        <w:rPr>
          <w:color w:val="auto"/>
          <w:highlight w:val="none"/>
        </w:rPr>
        <w:t>分，实际得分</w:t>
      </w:r>
      <w:r>
        <w:rPr>
          <w:rFonts w:hint="default"/>
          <w:color w:val="auto"/>
          <w:highlight w:val="none"/>
        </w:rPr>
        <w:t>23</w:t>
      </w:r>
      <w:r>
        <w:rPr>
          <w:color w:val="auto"/>
          <w:highlight w:val="none"/>
        </w:rPr>
        <w:t>分</w:t>
      </w:r>
      <w:r>
        <w:rPr>
          <w:rFonts w:hint="default"/>
          <w:color w:val="auto"/>
          <w:highlight w:val="none"/>
        </w:rPr>
        <w:t>，得分率为92%</w:t>
      </w:r>
      <w:r>
        <w:rPr>
          <w:color w:val="auto"/>
          <w:highlight w:val="none"/>
        </w:rPr>
        <w:t>。各指标业绩值和绩效分值如下表所示：</w:t>
      </w:r>
    </w:p>
    <w:p>
      <w:pPr>
        <w:pageBreakBefore w:val="0"/>
        <w:kinsoku/>
        <w:wordWrap/>
        <w:overflowPunct/>
        <w:topLinePunct w:val="0"/>
        <w:autoSpaceDE/>
        <w:autoSpaceDN/>
        <w:bidi w:val="0"/>
        <w:spacing w:line="360" w:lineRule="exact"/>
        <w:ind w:firstLine="0" w:firstLineChars="0"/>
        <w:jc w:val="center"/>
        <w:rPr>
          <w:rFonts w:eastAsia="黑体"/>
          <w:color w:val="auto"/>
          <w:highlight w:val="none"/>
        </w:rPr>
      </w:pPr>
      <w:r>
        <w:rPr>
          <w:b/>
          <w:bCs/>
          <w:color w:val="auto"/>
          <w:szCs w:val="16"/>
          <w:highlight w:val="none"/>
        </w:rPr>
        <w:t>表</w:t>
      </w:r>
      <w:r>
        <w:rPr>
          <w:rFonts w:hint="eastAsia"/>
          <w:b/>
          <w:bCs/>
          <w:color w:val="auto"/>
          <w:szCs w:val="16"/>
          <w:highlight w:val="none"/>
          <w:lang w:val="en-US" w:eastAsia="zh-CN"/>
        </w:rPr>
        <w:t>5</w:t>
      </w:r>
      <w:r>
        <w:rPr>
          <w:b/>
          <w:bCs/>
          <w:color w:val="auto"/>
          <w:szCs w:val="16"/>
          <w:highlight w:val="none"/>
        </w:rPr>
        <w:t>-2：项目过程类指标及分值</w:t>
      </w:r>
    </w:p>
    <w:tbl>
      <w:tblPr>
        <w:tblStyle w:val="18"/>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103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一级指标</w:t>
            </w:r>
          </w:p>
        </w:tc>
        <w:tc>
          <w:tcPr>
            <w:tcW w:w="1112"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二级指标</w:t>
            </w:r>
          </w:p>
        </w:tc>
        <w:tc>
          <w:tcPr>
            <w:tcW w:w="2020"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三级指标</w:t>
            </w:r>
          </w:p>
        </w:tc>
        <w:tc>
          <w:tcPr>
            <w:tcW w:w="841" w:type="dxa"/>
            <w:vAlign w:val="center"/>
          </w:tcPr>
          <w:p>
            <w:pPr>
              <w:pageBreakBefore w:val="0"/>
              <w:widowControl/>
              <w:kinsoku/>
              <w:wordWrap/>
              <w:overflowPunct/>
              <w:topLinePunct w:val="0"/>
              <w:autoSpaceDE/>
              <w:autoSpaceDN/>
              <w:bidi w:val="0"/>
              <w:spacing w:line="360" w:lineRule="exact"/>
              <w:ind w:firstLine="0" w:firstLineChars="0"/>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目标值</w:t>
            </w:r>
          </w:p>
        </w:tc>
        <w:tc>
          <w:tcPr>
            <w:tcW w:w="1110" w:type="dxa"/>
            <w:vAlign w:val="center"/>
          </w:tcPr>
          <w:p>
            <w:pPr>
              <w:pageBreakBefore w:val="0"/>
              <w:widowControl/>
              <w:kinsoku/>
              <w:wordWrap/>
              <w:overflowPunct/>
              <w:topLinePunct w:val="0"/>
              <w:autoSpaceDE/>
              <w:autoSpaceDN/>
              <w:bidi w:val="0"/>
              <w:spacing w:line="360" w:lineRule="exact"/>
              <w:ind w:firstLine="0" w:firstLineChars="0"/>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实际完成值</w:t>
            </w:r>
          </w:p>
        </w:tc>
        <w:tc>
          <w:tcPr>
            <w:tcW w:w="759"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权重</w:t>
            </w:r>
          </w:p>
        </w:tc>
        <w:tc>
          <w:tcPr>
            <w:tcW w:w="690"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得分</w:t>
            </w:r>
          </w:p>
        </w:tc>
        <w:tc>
          <w:tcPr>
            <w:tcW w:w="83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restar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sz w:val="20"/>
                <w:szCs w:val="20"/>
                <w:highlight w:val="none"/>
              </w:rPr>
              <w:t>B过程（25分）</w:t>
            </w:r>
          </w:p>
        </w:tc>
        <w:tc>
          <w:tcPr>
            <w:tcW w:w="1112" w:type="dxa"/>
            <w:vMerge w:val="restar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B1 资金管理（13分）　</w:t>
            </w:r>
          </w:p>
        </w:tc>
        <w:tc>
          <w:tcPr>
            <w:tcW w:w="2020" w:type="dxa"/>
            <w:vAlign w:val="center"/>
          </w:tcPr>
          <w:p>
            <w:pPr>
              <w:pageBreakBefore w:val="0"/>
              <w:widowControl/>
              <w:kinsoku/>
              <w:wordWrap/>
              <w:overflowPunct/>
              <w:topLinePunct w:val="0"/>
              <w:autoSpaceDE/>
              <w:autoSpaceDN/>
              <w:bidi w:val="0"/>
              <w:spacing w:line="360" w:lineRule="exact"/>
              <w:ind w:firstLine="0" w:firstLineChars="0"/>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B11资金到位率</w:t>
            </w:r>
          </w:p>
        </w:tc>
        <w:tc>
          <w:tcPr>
            <w:tcW w:w="841"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c>
          <w:tcPr>
            <w:tcW w:w="1110"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c>
          <w:tcPr>
            <w:tcW w:w="759"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3</w:t>
            </w:r>
          </w:p>
        </w:tc>
        <w:tc>
          <w:tcPr>
            <w:tcW w:w="690"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3</w:t>
            </w:r>
          </w:p>
        </w:tc>
        <w:tc>
          <w:tcPr>
            <w:tcW w:w="838"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p>
        </w:tc>
        <w:tc>
          <w:tcPr>
            <w:tcW w:w="1112" w:type="dxa"/>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p>
        </w:tc>
        <w:tc>
          <w:tcPr>
            <w:tcW w:w="2020" w:type="dxa"/>
            <w:vAlign w:val="center"/>
          </w:tcPr>
          <w:p>
            <w:pPr>
              <w:pageBreakBefore w:val="0"/>
              <w:widowControl/>
              <w:kinsoku/>
              <w:wordWrap/>
              <w:overflowPunct/>
              <w:topLinePunct w:val="0"/>
              <w:autoSpaceDE/>
              <w:autoSpaceDN/>
              <w:bidi w:val="0"/>
              <w:spacing w:line="360" w:lineRule="exact"/>
              <w:ind w:firstLine="0" w:firstLineChars="0"/>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B12预算执行率</w:t>
            </w:r>
          </w:p>
        </w:tc>
        <w:tc>
          <w:tcPr>
            <w:tcW w:w="841"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c>
          <w:tcPr>
            <w:tcW w:w="1110"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c>
          <w:tcPr>
            <w:tcW w:w="759"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5</w:t>
            </w:r>
          </w:p>
        </w:tc>
        <w:tc>
          <w:tcPr>
            <w:tcW w:w="690"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5</w:t>
            </w:r>
          </w:p>
        </w:tc>
        <w:tc>
          <w:tcPr>
            <w:tcW w:w="838"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p>
        </w:tc>
        <w:tc>
          <w:tcPr>
            <w:tcW w:w="1112" w:type="dxa"/>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p>
        </w:tc>
        <w:tc>
          <w:tcPr>
            <w:tcW w:w="2020" w:type="dxa"/>
            <w:vAlign w:val="center"/>
          </w:tcPr>
          <w:p>
            <w:pPr>
              <w:pageBreakBefore w:val="0"/>
              <w:widowControl/>
              <w:kinsoku/>
              <w:wordWrap/>
              <w:overflowPunct/>
              <w:topLinePunct w:val="0"/>
              <w:autoSpaceDE/>
              <w:autoSpaceDN/>
              <w:bidi w:val="0"/>
              <w:spacing w:line="360" w:lineRule="exact"/>
              <w:ind w:firstLine="0" w:firstLineChars="0"/>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B13资金使用合规性</w:t>
            </w:r>
          </w:p>
        </w:tc>
        <w:tc>
          <w:tcPr>
            <w:tcW w:w="841"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合规</w:t>
            </w:r>
          </w:p>
        </w:tc>
        <w:tc>
          <w:tcPr>
            <w:tcW w:w="1110"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合规</w:t>
            </w:r>
          </w:p>
        </w:tc>
        <w:tc>
          <w:tcPr>
            <w:tcW w:w="759"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5</w:t>
            </w:r>
          </w:p>
        </w:tc>
        <w:tc>
          <w:tcPr>
            <w:tcW w:w="690"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5</w:t>
            </w:r>
          </w:p>
        </w:tc>
        <w:tc>
          <w:tcPr>
            <w:tcW w:w="838"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p>
        </w:tc>
        <w:tc>
          <w:tcPr>
            <w:tcW w:w="1112" w:type="dxa"/>
            <w:vMerge w:val="restar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B2 组织实施（12分）　</w:t>
            </w:r>
          </w:p>
        </w:tc>
        <w:tc>
          <w:tcPr>
            <w:tcW w:w="2020" w:type="dxa"/>
            <w:vAlign w:val="center"/>
          </w:tcPr>
          <w:p>
            <w:pPr>
              <w:pageBreakBefore w:val="0"/>
              <w:widowControl/>
              <w:kinsoku/>
              <w:wordWrap/>
              <w:overflowPunct/>
              <w:topLinePunct w:val="0"/>
              <w:autoSpaceDE/>
              <w:autoSpaceDN/>
              <w:bidi w:val="0"/>
              <w:spacing w:line="360" w:lineRule="exact"/>
              <w:ind w:firstLine="0" w:firstLineChars="0"/>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B21管理制度健全性</w:t>
            </w:r>
          </w:p>
        </w:tc>
        <w:tc>
          <w:tcPr>
            <w:tcW w:w="841"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健全</w:t>
            </w:r>
          </w:p>
        </w:tc>
        <w:tc>
          <w:tcPr>
            <w:tcW w:w="1110"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健全</w:t>
            </w:r>
          </w:p>
        </w:tc>
        <w:tc>
          <w:tcPr>
            <w:tcW w:w="759"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4</w:t>
            </w:r>
          </w:p>
        </w:tc>
        <w:tc>
          <w:tcPr>
            <w:tcW w:w="690"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4</w:t>
            </w:r>
          </w:p>
        </w:tc>
        <w:tc>
          <w:tcPr>
            <w:tcW w:w="838"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p>
        </w:tc>
        <w:tc>
          <w:tcPr>
            <w:tcW w:w="1112" w:type="dxa"/>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p>
        </w:tc>
        <w:tc>
          <w:tcPr>
            <w:tcW w:w="2020" w:type="dxa"/>
            <w:vAlign w:val="center"/>
          </w:tcPr>
          <w:p>
            <w:pPr>
              <w:pageBreakBefore w:val="0"/>
              <w:widowControl/>
              <w:kinsoku/>
              <w:wordWrap/>
              <w:overflowPunct/>
              <w:topLinePunct w:val="0"/>
              <w:autoSpaceDE/>
              <w:autoSpaceDN/>
              <w:bidi w:val="0"/>
              <w:spacing w:line="360" w:lineRule="exact"/>
              <w:ind w:firstLine="0" w:firstLineChars="0"/>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B22制度执行有效性</w:t>
            </w:r>
          </w:p>
        </w:tc>
        <w:tc>
          <w:tcPr>
            <w:tcW w:w="841"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有效</w:t>
            </w:r>
          </w:p>
        </w:tc>
        <w:tc>
          <w:tcPr>
            <w:tcW w:w="1110"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较有效</w:t>
            </w:r>
          </w:p>
        </w:tc>
        <w:tc>
          <w:tcPr>
            <w:tcW w:w="759"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8</w:t>
            </w:r>
          </w:p>
        </w:tc>
        <w:tc>
          <w:tcPr>
            <w:tcW w:w="690"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6</w:t>
            </w:r>
          </w:p>
        </w:tc>
        <w:tc>
          <w:tcPr>
            <w:tcW w:w="838"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170" w:type="dxa"/>
            <w:gridSpan w:val="3"/>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sz w:val="20"/>
                <w:szCs w:val="20"/>
                <w:highlight w:val="none"/>
              </w:rPr>
              <w:t>合计</w:t>
            </w:r>
          </w:p>
        </w:tc>
        <w:tc>
          <w:tcPr>
            <w:tcW w:w="841"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color w:val="auto"/>
                <w:sz w:val="20"/>
                <w:szCs w:val="20"/>
                <w:highlight w:val="none"/>
              </w:rPr>
            </w:pPr>
          </w:p>
        </w:tc>
        <w:tc>
          <w:tcPr>
            <w:tcW w:w="1110"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color w:val="auto"/>
                <w:sz w:val="20"/>
                <w:szCs w:val="20"/>
                <w:highlight w:val="none"/>
              </w:rPr>
            </w:pPr>
          </w:p>
        </w:tc>
        <w:tc>
          <w:tcPr>
            <w:tcW w:w="759"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b/>
                <w:bCs/>
                <w:color w:val="auto"/>
                <w:sz w:val="20"/>
                <w:szCs w:val="20"/>
                <w:highlight w:val="none"/>
                <w:lang w:eastAsia="zh-CN"/>
              </w:rPr>
            </w:pPr>
            <w:r>
              <w:rPr>
                <w:rFonts w:hint="default" w:ascii="Times New Roman" w:hAnsi="Times New Roman" w:eastAsia="宋体" w:cs="Times New Roman"/>
                <w:b/>
                <w:bCs/>
                <w:color w:val="auto"/>
                <w:kern w:val="0"/>
                <w:sz w:val="20"/>
                <w:szCs w:val="20"/>
                <w:highlight w:val="none"/>
                <w:lang w:bidi="ar"/>
              </w:rPr>
              <w:t>25</w:t>
            </w:r>
          </w:p>
        </w:tc>
        <w:tc>
          <w:tcPr>
            <w:tcW w:w="690"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b/>
                <w:bCs/>
                <w:color w:val="auto"/>
                <w:sz w:val="20"/>
                <w:szCs w:val="20"/>
                <w:highlight w:val="none"/>
                <w:lang w:eastAsia="zh-CN"/>
              </w:rPr>
            </w:pPr>
            <w:r>
              <w:rPr>
                <w:rFonts w:hint="default" w:ascii="Times New Roman" w:hAnsi="Times New Roman" w:eastAsia="宋体" w:cs="Times New Roman"/>
                <w:b/>
                <w:bCs/>
                <w:color w:val="auto"/>
                <w:kern w:val="0"/>
                <w:sz w:val="20"/>
                <w:szCs w:val="20"/>
                <w:highlight w:val="none"/>
                <w:lang w:bidi="ar"/>
              </w:rPr>
              <w:t>23</w:t>
            </w:r>
          </w:p>
        </w:tc>
        <w:tc>
          <w:tcPr>
            <w:tcW w:w="838"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92%</w:t>
            </w:r>
          </w:p>
        </w:tc>
      </w:tr>
    </w:tbl>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指标得分分析：</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（1）B11资金到位率指标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根据喀什地区财政局《关于提前下达2023年中央农业生产发展资金</w:t>
      </w:r>
      <w:r>
        <w:rPr>
          <w:rFonts w:hint="eastAsia"/>
          <w:color w:val="auto"/>
          <w:highlight w:val="none"/>
          <w:lang w:eastAsia="zh-CN"/>
        </w:rPr>
        <w:t>（耕地保护补贴）</w:t>
      </w:r>
      <w:r>
        <w:rPr>
          <w:color w:val="auto"/>
          <w:highlight w:val="none"/>
        </w:rPr>
        <w:t>预算的通知》（喀地财农〔2022〕31号）、《关于提前下达2023年自治区农业发展资金（耕地地力保护补贴）预算的通知）》（喀地财农〔2022〕40号）以及结余资金指标，项目预算资金5</w:t>
      </w:r>
      <w:r>
        <w:rPr>
          <w:rFonts w:hint="eastAsia"/>
          <w:color w:val="auto"/>
          <w:highlight w:val="none"/>
          <w:lang w:eastAsia="zh-CN"/>
        </w:rPr>
        <w:t>，</w:t>
      </w:r>
      <w:r>
        <w:rPr>
          <w:color w:val="auto"/>
          <w:highlight w:val="none"/>
        </w:rPr>
        <w:t>821.11万元，实际到位资金5</w:t>
      </w:r>
      <w:r>
        <w:rPr>
          <w:rFonts w:hint="eastAsia"/>
          <w:color w:val="auto"/>
          <w:highlight w:val="none"/>
          <w:lang w:eastAsia="zh-CN"/>
        </w:rPr>
        <w:t>，</w:t>
      </w:r>
      <w:r>
        <w:rPr>
          <w:color w:val="auto"/>
          <w:highlight w:val="none"/>
        </w:rPr>
        <w:t>821.11万元，资金到位率100%，得满分。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该指标满分为3分，根据评分标准得3分。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（2）B12预算执行率指标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根据项目资金支付材料，该项目实际支出5</w:t>
      </w:r>
      <w:r>
        <w:rPr>
          <w:rFonts w:hint="eastAsia"/>
          <w:color w:val="auto"/>
          <w:highlight w:val="none"/>
          <w:lang w:eastAsia="zh-CN"/>
        </w:rPr>
        <w:t>，</w:t>
      </w:r>
      <w:r>
        <w:rPr>
          <w:color w:val="auto"/>
          <w:highlight w:val="none"/>
        </w:rPr>
        <w:t>821.11万元，预算执行率100%，得</w:t>
      </w:r>
      <w:r>
        <w:rPr>
          <w:rFonts w:hint="default"/>
          <w:color w:val="auto"/>
          <w:highlight w:val="none"/>
          <w:lang w:val="en-US" w:eastAsia="zh-CN"/>
        </w:rPr>
        <w:t>满</w:t>
      </w:r>
      <w:r>
        <w:rPr>
          <w:color w:val="auto"/>
          <w:highlight w:val="none"/>
        </w:rPr>
        <w:t>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该指标满分为5分，根据评分标准得5分。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（3）B13资金使用合规性指标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经查证项目财务会计凭证、《巴楚县农业农村局收支业务管理制度》《新疆维吾尔自治区农业生产发展资金管理办法》（新财规〔2020〕17号）等文件，该项目的资金全部用于巴楚县11个乡镇耕地地力保护补贴资金的发放，符合耕地地力保护补贴资金支持的方向。巴楚县各乡镇对农户申报面积、品种进行审核、公示、</w:t>
      </w:r>
      <w:r>
        <w:rPr>
          <w:rFonts w:hint="eastAsia" w:ascii="Times New Roman" w:hAnsi="Times New Roman" w:cs="Times New Roman"/>
          <w:color w:val="auto"/>
          <w:highlight w:val="none"/>
          <w:lang w:eastAsia="zh-CN"/>
        </w:rPr>
        <w:t>复核</w:t>
      </w:r>
      <w:r>
        <w:rPr>
          <w:color w:val="auto"/>
          <w:highlight w:val="none"/>
        </w:rPr>
        <w:t>和二次公示后，向巴楚县农业农村局提交资金支付申请及相关材料。巴楚县农业农村部门向同级财政部门提供耕地补贴面积基础数据和补贴发放清单，并会同财政部门办理补贴兑付工作，将资金拨付至巴楚县农村信用合作联社惠民惠农一卡通代付户，资金的审批程序和手续完整。项目资金使用符合上述文件有关专项资金管理办法的规定，符合国家财经法规和财务管理制度。</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该指标满分为5分，根据评分标准得5分。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（4）B21管理制度健全性指标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经查阅项目实施单位建立的《巴楚县农业农村局收支业务管理制度》《专项资金管理办法》，已制定或具有相应的财务和业务管理制度，内容基本完整。</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项目实施单位根据上级要求，编制《巴楚县2023年耕地地力保护补贴实施方案》，从补贴对象、面积、条件、标准和程序等方面做出细化和规范，</w:t>
      </w:r>
      <w:r>
        <w:rPr>
          <w:rFonts w:hint="default" w:ascii="Times New Roman" w:hAnsi="Times New Roman" w:eastAsia="宋体" w:cs="Times New Roman"/>
          <w:color w:val="auto"/>
          <w:highlight w:val="none"/>
          <w:lang w:val="en-US" w:eastAsia="zh-CN"/>
        </w:rPr>
        <w:t>项目业务组织实施内容完整且具有可操作性</w:t>
      </w:r>
      <w:r>
        <w:rPr>
          <w:rFonts w:hint="default" w:ascii="Times New Roman" w:hAnsi="Times New Roman" w:eastAsia="宋体" w:cs="Times New Roman"/>
          <w:color w:val="auto"/>
          <w:highlight w:val="none"/>
        </w:rPr>
        <w:t>。</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该指标满分为4分，根据评分标准得4分。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（5）B22制度执行有效性指标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项目实施过程中按照《巴楚县农业农村局收支业务管理制度》《新疆维吾尔自治区农业生产发展资金管理办法》（新财规〔2020〕17号）等资金管理文件执行资金使用流程、严格按照《巴楚县2023年耕地地力保护补贴实施方案》指导项目开展。根据项目单位提供的印证材料，项目通过“农户申报、核实公示、乡镇复核、核实认定、二次公示、发放补贴、录入系统”的程序执行完成兑付补贴资金的工作。</w:t>
      </w:r>
      <w:r>
        <w:rPr>
          <w:rFonts w:hint="default" w:ascii="Times New Roman" w:hAnsi="Times New Roman" w:eastAsia="宋体" w:cs="Times New Roman"/>
          <w:color w:val="auto"/>
          <w:highlight w:val="none"/>
        </w:rPr>
        <w:t>但实际调研</w:t>
      </w:r>
      <w:r>
        <w:rPr>
          <w:rFonts w:hint="default" w:ascii="Times New Roman" w:hAnsi="Times New Roman" w:eastAsia="宋体" w:cs="Times New Roman"/>
          <w:color w:val="auto"/>
          <w:highlight w:val="none"/>
          <w:lang w:val="en-US" w:eastAsia="zh-CN"/>
        </w:rPr>
        <w:t>过程中</w:t>
      </w:r>
      <w:r>
        <w:rPr>
          <w:rFonts w:hint="default" w:ascii="Times New Roman" w:hAnsi="Times New Roman" w:eastAsia="宋体" w:cs="Times New Roman"/>
          <w:color w:val="auto"/>
          <w:highlight w:val="none"/>
        </w:rPr>
        <w:t>，我们注意到项目实施过程仍存在部分程序执行不到位情况：</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一是根据项目实施方案，进行兑付前，要按照分户清册向农民发放补贴兑现通知书，农民领取补贴兑现通知书时在分户清册上签字、按手印。经了解，项目实施过程未开展该项工作，巴楚县农业农村局对补助面积及内容抽查核实通过后，执行国库集中支付程序，拨付补贴至农户“一卡通”账户。</w:t>
      </w:r>
    </w:p>
    <w:p>
      <w:pPr>
        <w:pageBreakBefore w:val="0"/>
        <w:kinsoku/>
        <w:wordWrap/>
        <w:overflowPunct/>
        <w:topLinePunct w:val="0"/>
        <w:autoSpaceDE/>
        <w:autoSpaceDN/>
        <w:bidi w:val="0"/>
        <w:spacing w:line="360" w:lineRule="exact"/>
        <w:ind w:firstLine="420"/>
        <w:rPr>
          <w:color w:val="auto"/>
          <w:highlight w:val="none"/>
        </w:rPr>
      </w:pPr>
      <w:r>
        <w:rPr>
          <w:rFonts w:hint="default" w:ascii="Times New Roman" w:hAnsi="Times New Roman" w:eastAsia="宋体" w:cs="Times New Roman"/>
          <w:color w:val="auto"/>
          <w:highlight w:val="none"/>
        </w:rPr>
        <w:t>二是根据项目实施方案，完成资金兑付后，各乡镇需要及时对照发放清单录入自治区耕地地力保护补贴实时监测系统，经核查，乡镇未</w:t>
      </w:r>
      <w:r>
        <w:rPr>
          <w:rFonts w:hint="eastAsia" w:eastAsia="宋体" w:cs="Times New Roman"/>
          <w:color w:val="auto"/>
          <w:highlight w:val="none"/>
          <w:lang w:val="en-US" w:eastAsia="zh-CN"/>
        </w:rPr>
        <w:t>完成</w:t>
      </w:r>
      <w:r>
        <w:rPr>
          <w:rFonts w:hint="default" w:ascii="Times New Roman" w:hAnsi="Times New Roman" w:eastAsia="宋体" w:cs="Times New Roman"/>
          <w:color w:val="auto"/>
          <w:highlight w:val="none"/>
        </w:rPr>
        <w:t>该项工作，巴楚县农业农村局未监督乡镇完成</w:t>
      </w:r>
      <w:r>
        <w:rPr>
          <w:rFonts w:hint="eastAsia" w:eastAsia="宋体" w:cs="Times New Roman"/>
          <w:color w:val="auto"/>
          <w:highlight w:val="none"/>
          <w:lang w:val="en-US" w:eastAsia="zh-CN"/>
        </w:rPr>
        <w:t>全部的</w:t>
      </w:r>
      <w:r>
        <w:rPr>
          <w:rFonts w:hint="default" w:ascii="Times New Roman" w:hAnsi="Times New Roman" w:eastAsia="宋体" w:cs="Times New Roman"/>
          <w:color w:val="auto"/>
          <w:highlight w:val="none"/>
        </w:rPr>
        <w:t>系统录入。</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该指标满分为8分，根据评分标准得6分。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91" w:name="_Toc24607"/>
      <w:bookmarkStart w:id="92" w:name="_Toc15186"/>
      <w:r>
        <w:rPr>
          <w:rFonts w:hint="default"/>
          <w:b/>
          <w:bCs/>
          <w:color w:val="auto"/>
          <w:sz w:val="24"/>
          <w:szCs w:val="28"/>
          <w:highlight w:val="none"/>
          <w:lang w:val="en-US" w:eastAsia="zh-CN"/>
        </w:rPr>
        <w:t>（三）项目产出情况</w:t>
      </w:r>
      <w:bookmarkEnd w:id="91"/>
      <w:bookmarkEnd w:id="92"/>
    </w:p>
    <w:p>
      <w:pPr>
        <w:pageBreakBefore w:val="0"/>
        <w:kinsoku/>
        <w:wordWrap/>
        <w:overflowPunct/>
        <w:topLinePunct w:val="0"/>
        <w:autoSpaceDE/>
        <w:autoSpaceDN/>
        <w:bidi w:val="0"/>
        <w:spacing w:line="360" w:lineRule="exact"/>
        <w:ind w:firstLine="420"/>
        <w:jc w:val="left"/>
        <w:rPr>
          <w:color w:val="auto"/>
          <w:highlight w:val="none"/>
        </w:rPr>
      </w:pPr>
      <w:r>
        <w:rPr>
          <w:color w:val="auto"/>
          <w:highlight w:val="none"/>
        </w:rPr>
        <w:t>项目产出指标由</w:t>
      </w:r>
      <w:r>
        <w:rPr>
          <w:rFonts w:hint="default"/>
          <w:color w:val="auto"/>
          <w:highlight w:val="none"/>
        </w:rPr>
        <w:t>4</w:t>
      </w:r>
      <w:r>
        <w:rPr>
          <w:color w:val="auto"/>
          <w:highlight w:val="none"/>
        </w:rPr>
        <w:t>个二级和</w:t>
      </w:r>
      <w:r>
        <w:rPr>
          <w:rFonts w:hint="default"/>
          <w:color w:val="auto"/>
          <w:highlight w:val="none"/>
        </w:rPr>
        <w:t>6</w:t>
      </w:r>
      <w:r>
        <w:rPr>
          <w:color w:val="auto"/>
          <w:highlight w:val="none"/>
        </w:rPr>
        <w:t>个三级指标构成，权重分</w:t>
      </w:r>
      <w:r>
        <w:rPr>
          <w:rFonts w:hint="default"/>
          <w:color w:val="auto"/>
          <w:highlight w:val="none"/>
        </w:rPr>
        <w:t>30</w:t>
      </w:r>
      <w:r>
        <w:rPr>
          <w:color w:val="auto"/>
          <w:highlight w:val="none"/>
        </w:rPr>
        <w:t>分，实际得分</w:t>
      </w:r>
      <w:r>
        <w:rPr>
          <w:rFonts w:hint="default"/>
          <w:color w:val="auto"/>
          <w:highlight w:val="none"/>
        </w:rPr>
        <w:t>30</w:t>
      </w:r>
      <w:r>
        <w:rPr>
          <w:color w:val="auto"/>
          <w:highlight w:val="none"/>
        </w:rPr>
        <w:t>分</w:t>
      </w:r>
      <w:r>
        <w:rPr>
          <w:rFonts w:hint="default"/>
          <w:color w:val="auto"/>
          <w:highlight w:val="none"/>
        </w:rPr>
        <w:t>，得分率为100%</w:t>
      </w:r>
      <w:r>
        <w:rPr>
          <w:color w:val="auto"/>
          <w:highlight w:val="none"/>
        </w:rPr>
        <w:t>。各指标业绩值和绩效分值如下表所示：</w:t>
      </w:r>
    </w:p>
    <w:p>
      <w:pPr>
        <w:pageBreakBefore w:val="0"/>
        <w:kinsoku/>
        <w:wordWrap/>
        <w:overflowPunct/>
        <w:topLinePunct w:val="0"/>
        <w:autoSpaceDE/>
        <w:autoSpaceDN/>
        <w:bidi w:val="0"/>
        <w:spacing w:line="360" w:lineRule="exact"/>
        <w:ind w:firstLine="0" w:firstLineChars="0"/>
        <w:jc w:val="center"/>
        <w:rPr>
          <w:rFonts w:eastAsia="黑体"/>
          <w:color w:val="auto"/>
          <w:szCs w:val="16"/>
          <w:highlight w:val="none"/>
        </w:rPr>
      </w:pPr>
      <w:r>
        <w:rPr>
          <w:b/>
          <w:bCs/>
          <w:color w:val="auto"/>
          <w:szCs w:val="16"/>
          <w:highlight w:val="none"/>
        </w:rPr>
        <w:t>表</w:t>
      </w:r>
      <w:r>
        <w:rPr>
          <w:rFonts w:hint="eastAsia"/>
          <w:b/>
          <w:bCs/>
          <w:color w:val="auto"/>
          <w:szCs w:val="16"/>
          <w:highlight w:val="none"/>
          <w:lang w:val="en-US" w:eastAsia="zh-CN"/>
        </w:rPr>
        <w:t>5</w:t>
      </w:r>
      <w:r>
        <w:rPr>
          <w:b/>
          <w:bCs/>
          <w:color w:val="auto"/>
          <w:szCs w:val="16"/>
          <w:highlight w:val="none"/>
        </w:rPr>
        <w:t>-3：项目产出指标及分值</w:t>
      </w:r>
    </w:p>
    <w:tbl>
      <w:tblPr>
        <w:tblStyle w:val="18"/>
        <w:tblW w:w="84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3" w:type="dxa"/>
          <w:bottom w:w="0" w:type="dxa"/>
          <w:right w:w="23" w:type="dxa"/>
        </w:tblCellMar>
      </w:tblPr>
      <w:tblGrid>
        <w:gridCol w:w="977"/>
        <w:gridCol w:w="1195"/>
        <w:gridCol w:w="1702"/>
        <w:gridCol w:w="1316"/>
        <w:gridCol w:w="1112"/>
        <w:gridCol w:w="600"/>
        <w:gridCol w:w="688"/>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blHeader/>
          <w:jc w:val="center"/>
        </w:trPr>
        <w:tc>
          <w:tcPr>
            <w:tcW w:w="977"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一级指标</w:t>
            </w:r>
          </w:p>
        </w:tc>
        <w:tc>
          <w:tcPr>
            <w:tcW w:w="1195"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二级指标</w:t>
            </w:r>
          </w:p>
        </w:tc>
        <w:tc>
          <w:tcPr>
            <w:tcW w:w="1702"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三级指标</w:t>
            </w:r>
          </w:p>
        </w:tc>
        <w:tc>
          <w:tcPr>
            <w:tcW w:w="1316"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目标值</w:t>
            </w:r>
          </w:p>
        </w:tc>
        <w:tc>
          <w:tcPr>
            <w:tcW w:w="1112"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实际完成值</w:t>
            </w:r>
          </w:p>
        </w:tc>
        <w:tc>
          <w:tcPr>
            <w:tcW w:w="600"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权重</w:t>
            </w:r>
          </w:p>
        </w:tc>
        <w:tc>
          <w:tcPr>
            <w:tcW w:w="68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得分</w:t>
            </w:r>
          </w:p>
        </w:tc>
        <w:tc>
          <w:tcPr>
            <w:tcW w:w="84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977" w:type="dxa"/>
            <w:vMerge w:val="restar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C产出（30分）</w:t>
            </w:r>
          </w:p>
        </w:tc>
        <w:tc>
          <w:tcPr>
            <w:tcW w:w="1195" w:type="dxa"/>
            <w:vMerge w:val="restar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C1产出数量（10分）</w:t>
            </w:r>
          </w:p>
        </w:tc>
        <w:tc>
          <w:tcPr>
            <w:tcW w:w="1702" w:type="dxa"/>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C11补助冬小麦亩数</w:t>
            </w:r>
          </w:p>
        </w:tc>
        <w:tc>
          <w:tcPr>
            <w:tcW w:w="1316"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eastAsia" w:eastAsia="宋体" w:cs="Times New Roman"/>
                <w:color w:val="auto"/>
                <w:kern w:val="0"/>
                <w:sz w:val="20"/>
                <w:szCs w:val="20"/>
                <w:highlight w:val="none"/>
                <w:lang w:eastAsia="zh-CN" w:bidi="ar"/>
              </w:rPr>
              <w:t>≥269060.8亩</w:t>
            </w:r>
          </w:p>
        </w:tc>
        <w:tc>
          <w:tcPr>
            <w:tcW w:w="1112"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eastAsia" w:eastAsia="宋体" w:cs="Times New Roman"/>
                <w:color w:val="auto"/>
                <w:kern w:val="0"/>
                <w:sz w:val="20"/>
                <w:szCs w:val="20"/>
                <w:highlight w:val="none"/>
                <w:lang w:eastAsia="zh-CN" w:bidi="ar"/>
              </w:rPr>
              <w:t>269060.8亩</w:t>
            </w:r>
          </w:p>
        </w:tc>
        <w:tc>
          <w:tcPr>
            <w:tcW w:w="600"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6</w:t>
            </w:r>
          </w:p>
        </w:tc>
        <w:tc>
          <w:tcPr>
            <w:tcW w:w="68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6</w:t>
            </w:r>
          </w:p>
        </w:tc>
        <w:tc>
          <w:tcPr>
            <w:tcW w:w="84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977" w:type="dxa"/>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sz w:val="20"/>
                <w:szCs w:val="20"/>
                <w:highlight w:val="none"/>
              </w:rPr>
            </w:pPr>
          </w:p>
        </w:tc>
        <w:tc>
          <w:tcPr>
            <w:tcW w:w="1195" w:type="dxa"/>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702" w:type="dxa"/>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C11补助春小麦亩数</w:t>
            </w:r>
          </w:p>
        </w:tc>
        <w:tc>
          <w:tcPr>
            <w:tcW w:w="1316"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eastAsia" w:eastAsia="宋体" w:cs="Times New Roman"/>
                <w:color w:val="auto"/>
                <w:kern w:val="0"/>
                <w:sz w:val="20"/>
                <w:szCs w:val="20"/>
                <w:highlight w:val="none"/>
                <w:lang w:eastAsia="zh-CN" w:bidi="ar"/>
              </w:rPr>
              <w:t>≥2739.38亩</w:t>
            </w:r>
          </w:p>
        </w:tc>
        <w:tc>
          <w:tcPr>
            <w:tcW w:w="1112"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eastAsia" w:eastAsia="宋体" w:cs="Times New Roman"/>
                <w:color w:val="auto"/>
                <w:kern w:val="0"/>
                <w:sz w:val="20"/>
                <w:szCs w:val="20"/>
                <w:highlight w:val="none"/>
                <w:lang w:eastAsia="zh-CN" w:bidi="ar"/>
              </w:rPr>
              <w:t>2739.38亩</w:t>
            </w:r>
          </w:p>
        </w:tc>
        <w:tc>
          <w:tcPr>
            <w:tcW w:w="600"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68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84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977" w:type="dxa"/>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sz w:val="20"/>
                <w:szCs w:val="20"/>
                <w:highlight w:val="none"/>
              </w:rPr>
            </w:pPr>
          </w:p>
        </w:tc>
        <w:tc>
          <w:tcPr>
            <w:tcW w:w="1195" w:type="dxa"/>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C2产出质量（5分）</w:t>
            </w:r>
          </w:p>
        </w:tc>
        <w:tc>
          <w:tcPr>
            <w:tcW w:w="1702" w:type="dxa"/>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w:t>
            </w:r>
            <w:r>
              <w:rPr>
                <w:rFonts w:hint="eastAsia" w:eastAsia="宋体" w:cs="Times New Roman"/>
                <w:color w:val="auto"/>
                <w:kern w:val="0"/>
                <w:sz w:val="20"/>
                <w:szCs w:val="20"/>
                <w:highlight w:val="none"/>
                <w:lang w:val="en-US" w:eastAsia="zh-CN" w:bidi="ar"/>
              </w:rPr>
              <w:t>2</w:t>
            </w:r>
            <w:r>
              <w:rPr>
                <w:rFonts w:hint="default" w:ascii="Times New Roman" w:hAnsi="Times New Roman" w:eastAsia="宋体" w:cs="Times New Roman"/>
                <w:color w:val="auto"/>
                <w:kern w:val="0"/>
                <w:sz w:val="20"/>
                <w:szCs w:val="20"/>
                <w:highlight w:val="none"/>
                <w:lang w:bidi="ar"/>
              </w:rPr>
              <w:t>1补贴合法耕地冬小麦种植占比</w:t>
            </w:r>
          </w:p>
        </w:tc>
        <w:tc>
          <w:tcPr>
            <w:tcW w:w="1316"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90%</w:t>
            </w:r>
          </w:p>
        </w:tc>
        <w:tc>
          <w:tcPr>
            <w:tcW w:w="1112"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98.99%</w:t>
            </w:r>
          </w:p>
        </w:tc>
        <w:tc>
          <w:tcPr>
            <w:tcW w:w="600"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68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84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977" w:type="dxa"/>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sz w:val="20"/>
                <w:szCs w:val="20"/>
                <w:highlight w:val="none"/>
              </w:rPr>
            </w:pPr>
          </w:p>
        </w:tc>
        <w:tc>
          <w:tcPr>
            <w:tcW w:w="1195" w:type="dxa"/>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C3产出时效（5分）</w:t>
            </w:r>
          </w:p>
        </w:tc>
        <w:tc>
          <w:tcPr>
            <w:tcW w:w="1702" w:type="dxa"/>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C31补贴兑付完成时间</w:t>
            </w:r>
          </w:p>
        </w:tc>
        <w:tc>
          <w:tcPr>
            <w:tcW w:w="1316"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2023年6月30日前</w:t>
            </w:r>
          </w:p>
        </w:tc>
        <w:tc>
          <w:tcPr>
            <w:tcW w:w="1112"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2023年6月16日前</w:t>
            </w:r>
          </w:p>
        </w:tc>
        <w:tc>
          <w:tcPr>
            <w:tcW w:w="600"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68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84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977" w:type="dxa"/>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sz w:val="20"/>
                <w:szCs w:val="20"/>
                <w:highlight w:val="none"/>
              </w:rPr>
            </w:pPr>
          </w:p>
        </w:tc>
        <w:tc>
          <w:tcPr>
            <w:tcW w:w="1195" w:type="dxa"/>
            <w:vMerge w:val="restar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C4产出成本（10分）</w:t>
            </w:r>
          </w:p>
        </w:tc>
        <w:tc>
          <w:tcPr>
            <w:tcW w:w="1702" w:type="dxa"/>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eastAsia="zh-CN" w:bidi="ar"/>
              </w:rPr>
              <w:t>C41冬小麦补助标准</w:t>
            </w:r>
          </w:p>
        </w:tc>
        <w:tc>
          <w:tcPr>
            <w:tcW w:w="1316"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eastAsia="zh-CN" w:bidi="ar"/>
              </w:rPr>
              <w:t>230元/亩</w:t>
            </w:r>
          </w:p>
        </w:tc>
        <w:tc>
          <w:tcPr>
            <w:tcW w:w="1112"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eastAsia="zh-CN" w:bidi="ar"/>
              </w:rPr>
              <w:t>230元/亩</w:t>
            </w:r>
          </w:p>
        </w:tc>
        <w:tc>
          <w:tcPr>
            <w:tcW w:w="600"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6</w:t>
            </w:r>
          </w:p>
        </w:tc>
        <w:tc>
          <w:tcPr>
            <w:tcW w:w="68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6</w:t>
            </w:r>
          </w:p>
        </w:tc>
        <w:tc>
          <w:tcPr>
            <w:tcW w:w="84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977" w:type="dxa"/>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sz w:val="20"/>
                <w:szCs w:val="20"/>
                <w:highlight w:val="none"/>
              </w:rPr>
            </w:pPr>
          </w:p>
        </w:tc>
        <w:tc>
          <w:tcPr>
            <w:tcW w:w="1195" w:type="dxa"/>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1702" w:type="dxa"/>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eastAsia="zh-CN" w:bidi="ar"/>
              </w:rPr>
              <w:t>C42春小麦补助标准</w:t>
            </w:r>
          </w:p>
        </w:tc>
        <w:tc>
          <w:tcPr>
            <w:tcW w:w="1316"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eastAsia="zh-CN" w:bidi="ar"/>
              </w:rPr>
              <w:t>230元/亩</w:t>
            </w:r>
          </w:p>
        </w:tc>
        <w:tc>
          <w:tcPr>
            <w:tcW w:w="1112"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eastAsia="zh-CN" w:bidi="ar"/>
              </w:rPr>
              <w:t>230元/亩</w:t>
            </w:r>
          </w:p>
        </w:tc>
        <w:tc>
          <w:tcPr>
            <w:tcW w:w="600"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68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84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3874" w:type="dxa"/>
            <w:gridSpan w:val="3"/>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合计</w:t>
            </w:r>
          </w:p>
        </w:tc>
        <w:tc>
          <w:tcPr>
            <w:tcW w:w="1316"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kern w:val="0"/>
                <w:sz w:val="20"/>
                <w:szCs w:val="20"/>
                <w:highlight w:val="none"/>
                <w:lang w:bidi="ar"/>
              </w:rPr>
            </w:pPr>
          </w:p>
        </w:tc>
        <w:tc>
          <w:tcPr>
            <w:tcW w:w="1112"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kern w:val="0"/>
                <w:sz w:val="20"/>
                <w:szCs w:val="20"/>
                <w:highlight w:val="none"/>
                <w:lang w:bidi="ar"/>
              </w:rPr>
            </w:pPr>
          </w:p>
        </w:tc>
        <w:tc>
          <w:tcPr>
            <w:tcW w:w="600"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b/>
                <w:bCs/>
                <w:color w:val="auto"/>
                <w:kern w:val="0"/>
                <w:sz w:val="20"/>
                <w:szCs w:val="20"/>
                <w:highlight w:val="none"/>
                <w:lang w:eastAsia="zh-CN" w:bidi="ar"/>
              </w:rPr>
            </w:pPr>
            <w:r>
              <w:rPr>
                <w:rFonts w:hint="default" w:ascii="Times New Roman" w:hAnsi="Times New Roman" w:eastAsia="宋体" w:cs="Times New Roman"/>
                <w:b/>
                <w:bCs/>
                <w:color w:val="auto"/>
                <w:kern w:val="0"/>
                <w:sz w:val="20"/>
                <w:szCs w:val="20"/>
                <w:highlight w:val="none"/>
                <w:lang w:bidi="ar"/>
              </w:rPr>
              <w:t>30</w:t>
            </w:r>
          </w:p>
        </w:tc>
        <w:tc>
          <w:tcPr>
            <w:tcW w:w="68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b/>
                <w:bCs/>
                <w:color w:val="auto"/>
                <w:kern w:val="0"/>
                <w:sz w:val="20"/>
                <w:szCs w:val="20"/>
                <w:highlight w:val="none"/>
                <w:lang w:eastAsia="zh-CN" w:bidi="ar"/>
              </w:rPr>
            </w:pPr>
            <w:r>
              <w:rPr>
                <w:rFonts w:hint="default" w:ascii="Times New Roman" w:hAnsi="Times New Roman" w:eastAsia="宋体" w:cs="Times New Roman"/>
                <w:b/>
                <w:bCs/>
                <w:color w:val="auto"/>
                <w:kern w:val="0"/>
                <w:sz w:val="20"/>
                <w:szCs w:val="20"/>
                <w:highlight w:val="none"/>
                <w:lang w:bidi="ar"/>
              </w:rPr>
              <w:t>30</w:t>
            </w:r>
          </w:p>
        </w:tc>
        <w:tc>
          <w:tcPr>
            <w:tcW w:w="848"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default" w:ascii="Times New Roman" w:hAnsi="Times New Roman" w:eastAsia="宋体" w:cs="Times New Roman"/>
                <w:b/>
                <w:bCs/>
                <w:color w:val="auto"/>
                <w:kern w:val="0"/>
                <w:sz w:val="20"/>
                <w:szCs w:val="20"/>
                <w:highlight w:val="none"/>
                <w:lang w:bidi="ar"/>
              </w:rPr>
              <w:t>100%</w:t>
            </w:r>
          </w:p>
        </w:tc>
      </w:tr>
    </w:tbl>
    <w:p>
      <w:pPr>
        <w:pageBreakBefore w:val="0"/>
        <w:kinsoku/>
        <w:wordWrap/>
        <w:overflowPunct/>
        <w:topLinePunct w:val="0"/>
        <w:autoSpaceDE/>
        <w:autoSpaceDN/>
        <w:bidi w:val="0"/>
        <w:spacing w:line="360" w:lineRule="exact"/>
        <w:ind w:firstLine="422"/>
        <w:rPr>
          <w:rFonts w:hint="default" w:ascii="Times New Roman" w:hAnsi="Times New Roman" w:cs="Times New Roman" w:eastAsiaTheme="minorEastAsia"/>
          <w:b/>
          <w:bCs/>
          <w:color w:val="auto"/>
          <w:kern w:val="0"/>
          <w:sz w:val="24"/>
          <w:szCs w:val="32"/>
          <w:highlight w:val="none"/>
          <w:lang w:val="en-US" w:eastAsia="zh-CN" w:bidi="ar-SA"/>
        </w:rPr>
      </w:pP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指标得分分析：</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（1）C11补助冬小麦亩数指标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经查阅项目《巴楚县2023年耕地地力保护补贴</w:t>
      </w:r>
      <w:r>
        <w:rPr>
          <w:rFonts w:hint="eastAsia" w:ascii="Times New Roman" w:hAnsi="Times New Roman" w:cs="Times New Roman"/>
          <w:color w:val="auto"/>
          <w:highlight w:val="none"/>
          <w:lang w:eastAsia="zh-CN"/>
        </w:rPr>
        <w:t>（</w:t>
      </w:r>
      <w:r>
        <w:rPr>
          <w:color w:val="auto"/>
          <w:highlight w:val="none"/>
        </w:rPr>
        <w:t>冬小麦部分</w:t>
      </w:r>
      <w:r>
        <w:rPr>
          <w:rFonts w:hint="eastAsia" w:ascii="Times New Roman" w:hAnsi="Times New Roman" w:cs="Times New Roman"/>
          <w:color w:val="auto"/>
          <w:highlight w:val="none"/>
          <w:lang w:eastAsia="zh-CN"/>
        </w:rPr>
        <w:t>）</w:t>
      </w:r>
      <w:r>
        <w:rPr>
          <w:color w:val="auto"/>
          <w:highlight w:val="none"/>
        </w:rPr>
        <w:t>资金分配表》、实际发放及资金支付材料，项目2023年计划完成冬小麦补助面积</w:t>
      </w:r>
      <w:r>
        <w:rPr>
          <w:rFonts w:hint="eastAsia"/>
          <w:color w:val="auto"/>
          <w:highlight w:val="none"/>
          <w:lang w:eastAsia="zh-CN"/>
        </w:rPr>
        <w:t>269060.8亩</w:t>
      </w:r>
      <w:r>
        <w:rPr>
          <w:color w:val="auto"/>
          <w:highlight w:val="none"/>
        </w:rPr>
        <w:t>，实际完成</w:t>
      </w:r>
      <w:r>
        <w:rPr>
          <w:rFonts w:hint="eastAsia"/>
          <w:color w:val="auto"/>
          <w:highlight w:val="none"/>
          <w:lang w:eastAsia="zh-CN"/>
        </w:rPr>
        <w:t>269060.8亩</w:t>
      </w:r>
      <w:r>
        <w:rPr>
          <w:color w:val="auto"/>
          <w:highlight w:val="none"/>
        </w:rPr>
        <w:t>冬小麦补贴资金拨付，根据评分标准，得满分。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该指标满分为6分，根据评分标准得6分。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（2）C11补助春小麦亩数指标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经查阅项目《巴楚县2023年耕地地力保护补贴</w:t>
      </w:r>
      <w:r>
        <w:rPr>
          <w:rFonts w:hint="eastAsia" w:ascii="Times New Roman" w:hAnsi="Times New Roman" w:cs="Times New Roman"/>
          <w:color w:val="auto"/>
          <w:highlight w:val="none"/>
          <w:lang w:eastAsia="zh-CN"/>
        </w:rPr>
        <w:t>（</w:t>
      </w:r>
      <w:r>
        <w:rPr>
          <w:color w:val="auto"/>
          <w:highlight w:val="none"/>
        </w:rPr>
        <w:t>冬小麦部分</w:t>
      </w:r>
      <w:r>
        <w:rPr>
          <w:rFonts w:hint="eastAsia" w:ascii="Times New Roman" w:hAnsi="Times New Roman" w:cs="Times New Roman"/>
          <w:color w:val="auto"/>
          <w:highlight w:val="none"/>
          <w:lang w:eastAsia="zh-CN"/>
        </w:rPr>
        <w:t>）</w:t>
      </w:r>
      <w:r>
        <w:rPr>
          <w:color w:val="auto"/>
          <w:highlight w:val="none"/>
        </w:rPr>
        <w:t>资金分配表》、实际发放及资金支付材料，项目2023年计划完成春小麦补助面积</w:t>
      </w:r>
      <w:r>
        <w:rPr>
          <w:rFonts w:hint="eastAsia"/>
          <w:color w:val="auto"/>
          <w:highlight w:val="none"/>
          <w:lang w:eastAsia="zh-CN"/>
        </w:rPr>
        <w:t>2739.38亩</w:t>
      </w:r>
      <w:r>
        <w:rPr>
          <w:color w:val="auto"/>
          <w:highlight w:val="none"/>
        </w:rPr>
        <w:t>，实际完成</w:t>
      </w:r>
      <w:r>
        <w:rPr>
          <w:rFonts w:hint="eastAsia"/>
          <w:color w:val="auto"/>
          <w:highlight w:val="none"/>
          <w:lang w:eastAsia="zh-CN"/>
        </w:rPr>
        <w:t>2739.38亩</w:t>
      </w:r>
      <w:r>
        <w:rPr>
          <w:color w:val="auto"/>
          <w:highlight w:val="none"/>
        </w:rPr>
        <w:t>春小麦补贴资金拨付，根据评分标准，得满分。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该指标满分为4分，根据评分标准得4分。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（3）C</w:t>
      </w:r>
      <w:r>
        <w:rPr>
          <w:rFonts w:hint="eastAsia"/>
          <w:b/>
          <w:bCs/>
          <w:color w:val="auto"/>
          <w:sz w:val="24"/>
          <w:szCs w:val="28"/>
          <w:highlight w:val="none"/>
          <w:lang w:val="en-US" w:eastAsia="zh-CN"/>
        </w:rPr>
        <w:t>2</w:t>
      </w:r>
      <w:r>
        <w:rPr>
          <w:rFonts w:hint="default"/>
          <w:b/>
          <w:bCs/>
          <w:color w:val="auto"/>
          <w:sz w:val="24"/>
          <w:szCs w:val="28"/>
          <w:highlight w:val="none"/>
          <w:lang w:val="en-US" w:eastAsia="zh-CN"/>
        </w:rPr>
        <w:t>1补贴合法耕地冬小麦种植占比指标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经查阅项目《巴楚县2023年耕地地力保护补贴</w:t>
      </w:r>
      <w:r>
        <w:rPr>
          <w:rFonts w:hint="eastAsia" w:ascii="Times New Roman" w:hAnsi="Times New Roman" w:cs="Times New Roman"/>
          <w:color w:val="auto"/>
          <w:highlight w:val="none"/>
          <w:lang w:eastAsia="zh-CN"/>
        </w:rPr>
        <w:t>（</w:t>
      </w:r>
      <w:r>
        <w:rPr>
          <w:color w:val="auto"/>
          <w:highlight w:val="none"/>
        </w:rPr>
        <w:t>冬小麦部分</w:t>
      </w:r>
      <w:r>
        <w:rPr>
          <w:rFonts w:hint="eastAsia" w:ascii="Times New Roman" w:hAnsi="Times New Roman" w:cs="Times New Roman"/>
          <w:color w:val="auto"/>
          <w:highlight w:val="none"/>
          <w:lang w:eastAsia="zh-CN"/>
        </w:rPr>
        <w:t>）</w:t>
      </w:r>
      <w:r>
        <w:rPr>
          <w:color w:val="auto"/>
          <w:highlight w:val="none"/>
        </w:rPr>
        <w:t>资金分配表》、实际发放及资金支付材料，巴楚县农业农村局2023年补贴总面积</w:t>
      </w:r>
      <w:r>
        <w:rPr>
          <w:rFonts w:hint="eastAsia"/>
          <w:color w:val="auto"/>
          <w:highlight w:val="none"/>
          <w:lang w:eastAsia="zh-CN"/>
        </w:rPr>
        <w:t>271800.18亩</w:t>
      </w:r>
      <w:r>
        <w:rPr>
          <w:color w:val="auto"/>
          <w:highlight w:val="none"/>
        </w:rPr>
        <w:t>，其中</w:t>
      </w:r>
      <w:r>
        <w:rPr>
          <w:rFonts w:hint="default"/>
          <w:color w:val="auto"/>
          <w:highlight w:val="none"/>
          <w:lang w:val="en-US" w:eastAsia="zh-CN"/>
        </w:rPr>
        <w:t>：</w:t>
      </w:r>
      <w:r>
        <w:rPr>
          <w:color w:val="auto"/>
          <w:highlight w:val="none"/>
        </w:rPr>
        <w:t>春小麦补贴面积</w:t>
      </w:r>
      <w:r>
        <w:rPr>
          <w:rFonts w:hint="eastAsia"/>
          <w:color w:val="auto"/>
          <w:highlight w:val="none"/>
          <w:lang w:eastAsia="zh-CN"/>
        </w:rPr>
        <w:t>2739.38亩</w:t>
      </w:r>
      <w:r>
        <w:rPr>
          <w:color w:val="auto"/>
          <w:highlight w:val="none"/>
        </w:rPr>
        <w:t>，冬小麦补贴面积</w:t>
      </w:r>
      <w:r>
        <w:rPr>
          <w:rFonts w:hint="eastAsia"/>
          <w:color w:val="auto"/>
          <w:highlight w:val="none"/>
          <w:lang w:eastAsia="zh-CN"/>
        </w:rPr>
        <w:t>269060.8亩</w:t>
      </w:r>
      <w:r>
        <w:rPr>
          <w:color w:val="auto"/>
          <w:highlight w:val="none"/>
        </w:rPr>
        <w:t>。故补贴合法耕地冬小麦种植占比为98.99%，达成预期指标，根据评分标准，得满分。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该指标满分为5分，根据评分标准得5分。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（4）C31补贴兑付完成时间指标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根据项目实施单位提供的《国库集中支付凭证》、银行代发流水单等资料显示，截至2023年6月16日，耕地地力保护补贴已全部发放到位。根据评分标准，实际完成时间在2023年6月30日前，得满分。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该指标满分为5分，根据评分标准得5分。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（5）C41冬小麦补助标准指标</w:t>
      </w:r>
    </w:p>
    <w:p>
      <w:pPr>
        <w:pageBreakBefore w:val="0"/>
        <w:kinsoku/>
        <w:wordWrap/>
        <w:overflowPunct/>
        <w:topLinePunct w:val="0"/>
        <w:autoSpaceDE/>
        <w:autoSpaceDN/>
        <w:bidi w:val="0"/>
        <w:spacing w:line="360" w:lineRule="exact"/>
        <w:ind w:firstLine="420"/>
        <w:rPr>
          <w:rFonts w:hint="default" w:eastAsiaTheme="minorEastAsia"/>
          <w:color w:val="auto"/>
          <w:highlight w:val="none"/>
          <w:lang w:val="en-US" w:eastAsia="zh-CN"/>
        </w:rPr>
      </w:pPr>
      <w:r>
        <w:rPr>
          <w:rFonts w:hint="default"/>
          <w:color w:val="auto"/>
          <w:highlight w:val="none"/>
        </w:rPr>
        <w:t>中央财政安排耕地地力保护补贴资金，对种植冬小麦的耕地，每亩补贴220元</w:t>
      </w:r>
      <w:r>
        <w:rPr>
          <w:rFonts w:hint="default"/>
          <w:color w:val="auto"/>
          <w:highlight w:val="none"/>
          <w:lang w:eastAsia="zh-CN"/>
        </w:rPr>
        <w:t>；</w:t>
      </w:r>
      <w:r>
        <w:rPr>
          <w:rFonts w:hint="default"/>
          <w:color w:val="auto"/>
          <w:highlight w:val="none"/>
        </w:rPr>
        <w:t>自治区财政安排农业生产发展（耕地地力保护补贴）资金在补齐中央财政耕地地力保护补贴资金缺口后，实施小麦种植一次性补贴，对种植冬小麦的耕地，每亩补贴10元</w:t>
      </w:r>
      <w:r>
        <w:rPr>
          <w:rFonts w:hint="default"/>
          <w:color w:val="auto"/>
          <w:highlight w:val="none"/>
          <w:lang w:eastAsia="zh-CN"/>
        </w:rPr>
        <w:t>，</w:t>
      </w:r>
      <w:r>
        <w:rPr>
          <w:rFonts w:hint="default"/>
          <w:color w:val="auto"/>
          <w:highlight w:val="none"/>
        </w:rPr>
        <w:t>亩均补助合计共230元</w:t>
      </w:r>
      <w:r>
        <w:rPr>
          <w:rFonts w:hint="default"/>
          <w:color w:val="auto"/>
          <w:highlight w:val="none"/>
          <w:lang w:eastAsia="zh-CN"/>
        </w:rPr>
        <w:t>。</w:t>
      </w:r>
      <w:r>
        <w:rPr>
          <w:color w:val="auto"/>
          <w:highlight w:val="none"/>
        </w:rPr>
        <w:t>经查阅项目资金支付材料，</w:t>
      </w:r>
      <w:r>
        <w:rPr>
          <w:rFonts w:hint="default"/>
          <w:color w:val="auto"/>
          <w:highlight w:val="none"/>
          <w:lang w:val="en-US" w:eastAsia="zh-CN"/>
        </w:rPr>
        <w:t>该项目按照</w:t>
      </w:r>
      <w:r>
        <w:rPr>
          <w:rFonts w:hint="default"/>
          <w:color w:val="auto"/>
          <w:highlight w:val="none"/>
        </w:rPr>
        <w:t>亩均补助合计230元</w:t>
      </w:r>
      <w:r>
        <w:rPr>
          <w:rFonts w:hint="default"/>
          <w:color w:val="auto"/>
          <w:highlight w:val="none"/>
          <w:lang w:val="en-US" w:eastAsia="zh-CN"/>
        </w:rPr>
        <w:t>的标准，对2022年已提前享受实际种粮农民一次性补贴（第三批）资金进行核减后，拨付2023年冬小麦剩余补助资金，根据评分标准，得满分。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该指标满分为6分，根据评分标准得6分。</w:t>
      </w:r>
    </w:p>
    <w:p>
      <w:pPr>
        <w:pageBreakBefore w:val="0"/>
        <w:kinsoku/>
        <w:wordWrap/>
        <w:overflowPunct/>
        <w:topLinePunct w:val="0"/>
        <w:autoSpaceDE/>
        <w:autoSpaceDN/>
        <w:bidi w:val="0"/>
        <w:spacing w:line="360" w:lineRule="exact"/>
        <w:ind w:firstLine="422"/>
        <w:rPr>
          <w:rFonts w:hint="default" w:ascii="Times New Roman" w:hAnsi="Times New Roman" w:cs="Times New Roman" w:eastAsiaTheme="minorEastAsia"/>
          <w:b/>
          <w:bCs/>
          <w:color w:val="auto"/>
          <w:kern w:val="0"/>
          <w:sz w:val="24"/>
          <w:szCs w:val="32"/>
          <w:highlight w:val="none"/>
          <w:lang w:val="en-US" w:eastAsia="zh-CN" w:bidi="ar-SA"/>
        </w:rPr>
      </w:pPr>
      <w:r>
        <w:rPr>
          <w:rFonts w:hint="default" w:ascii="Times New Roman" w:hAnsi="Times New Roman" w:cs="Times New Roman" w:eastAsiaTheme="minorEastAsia"/>
          <w:b/>
          <w:bCs/>
          <w:color w:val="auto"/>
          <w:kern w:val="0"/>
          <w:sz w:val="24"/>
          <w:szCs w:val="32"/>
          <w:highlight w:val="none"/>
          <w:lang w:val="en-US" w:eastAsia="zh-CN" w:bidi="ar-SA"/>
        </w:rPr>
        <w:t>（6）C42春小麦补助标准指标</w:t>
      </w:r>
    </w:p>
    <w:p>
      <w:pPr>
        <w:pageBreakBefore w:val="0"/>
        <w:kinsoku/>
        <w:wordWrap/>
        <w:overflowPunct/>
        <w:topLinePunct w:val="0"/>
        <w:autoSpaceDE/>
        <w:autoSpaceDN/>
        <w:bidi w:val="0"/>
        <w:spacing w:line="360" w:lineRule="exact"/>
        <w:ind w:firstLine="420"/>
        <w:rPr>
          <w:rFonts w:hint="default" w:eastAsiaTheme="minorEastAsia"/>
          <w:color w:val="auto"/>
          <w:highlight w:val="none"/>
          <w:lang w:val="en-US" w:eastAsia="zh-CN"/>
        </w:rPr>
      </w:pPr>
      <w:r>
        <w:rPr>
          <w:rFonts w:hint="default"/>
          <w:b w:val="0"/>
          <w:bCs w:val="0"/>
          <w:color w:val="auto"/>
          <w:highlight w:val="none"/>
        </w:rPr>
        <w:t>中央财政安排耕地地力保护补贴资金，对种植春小麦的耕地，每亩补贴115元</w:t>
      </w:r>
      <w:r>
        <w:rPr>
          <w:rFonts w:hint="default"/>
          <w:b w:val="0"/>
          <w:bCs w:val="0"/>
          <w:color w:val="auto"/>
          <w:highlight w:val="none"/>
          <w:lang w:eastAsia="zh-CN"/>
        </w:rPr>
        <w:t>；</w:t>
      </w:r>
      <w:r>
        <w:rPr>
          <w:rFonts w:hint="default"/>
          <w:b w:val="0"/>
          <w:bCs w:val="0"/>
          <w:color w:val="auto"/>
          <w:highlight w:val="none"/>
        </w:rPr>
        <w:t>自治区财政安排农业生产发展（耕地地力保护补贴）资金在补齐中央财政耕地地力保护补贴资金缺口后，实施小麦种植一次性补贴，对种植春小麦的耕地，每亩补贴115元</w:t>
      </w:r>
      <w:r>
        <w:rPr>
          <w:rFonts w:hint="default"/>
          <w:b w:val="0"/>
          <w:bCs w:val="0"/>
          <w:color w:val="auto"/>
          <w:highlight w:val="none"/>
          <w:lang w:eastAsia="zh-CN"/>
        </w:rPr>
        <w:t>，</w:t>
      </w:r>
      <w:r>
        <w:rPr>
          <w:rFonts w:hint="default"/>
          <w:b w:val="0"/>
          <w:bCs w:val="0"/>
          <w:color w:val="auto"/>
          <w:highlight w:val="none"/>
        </w:rPr>
        <w:t>亩均补助合计共230元。</w:t>
      </w:r>
      <w:r>
        <w:rPr>
          <w:color w:val="auto"/>
          <w:highlight w:val="none"/>
        </w:rPr>
        <w:t>经查阅项目资金支付材料，</w:t>
      </w:r>
      <w:r>
        <w:rPr>
          <w:rFonts w:hint="default"/>
          <w:color w:val="auto"/>
          <w:highlight w:val="none"/>
          <w:lang w:val="en-US" w:eastAsia="zh-CN"/>
        </w:rPr>
        <w:t>该项目按照</w:t>
      </w:r>
      <w:r>
        <w:rPr>
          <w:rFonts w:hint="default"/>
          <w:color w:val="auto"/>
          <w:highlight w:val="none"/>
        </w:rPr>
        <w:t>亩均补助合计230元</w:t>
      </w:r>
      <w:r>
        <w:rPr>
          <w:rFonts w:hint="default"/>
          <w:color w:val="auto"/>
          <w:highlight w:val="none"/>
          <w:lang w:val="en-US" w:eastAsia="zh-CN"/>
        </w:rPr>
        <w:t>的标准，对2023年春小麦拨付补助资金，根据评分标准，得满分。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该指标满分为4分，根据评分标准得4分。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93" w:name="_Toc9413"/>
      <w:bookmarkStart w:id="94" w:name="_Toc30581"/>
      <w:r>
        <w:rPr>
          <w:rFonts w:hint="default"/>
          <w:b/>
          <w:bCs/>
          <w:color w:val="auto"/>
          <w:sz w:val="24"/>
          <w:szCs w:val="28"/>
          <w:highlight w:val="none"/>
          <w:lang w:val="en-US" w:eastAsia="zh-CN"/>
        </w:rPr>
        <w:t>（四）项目效益情况</w:t>
      </w:r>
      <w:bookmarkEnd w:id="93"/>
      <w:bookmarkEnd w:id="94"/>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项目效益指标由3个二级和</w:t>
      </w:r>
      <w:r>
        <w:rPr>
          <w:rFonts w:hint="default"/>
          <w:color w:val="auto"/>
          <w:highlight w:val="none"/>
        </w:rPr>
        <w:t>4</w:t>
      </w:r>
      <w:r>
        <w:rPr>
          <w:color w:val="auto"/>
          <w:highlight w:val="none"/>
        </w:rPr>
        <w:t>个三级指标构成，权重分</w:t>
      </w:r>
      <w:r>
        <w:rPr>
          <w:rFonts w:hint="default"/>
          <w:color w:val="auto"/>
          <w:highlight w:val="none"/>
        </w:rPr>
        <w:t>35</w:t>
      </w:r>
      <w:r>
        <w:rPr>
          <w:color w:val="auto"/>
          <w:highlight w:val="none"/>
        </w:rPr>
        <w:t>分，实际得分</w:t>
      </w:r>
      <w:r>
        <w:rPr>
          <w:rFonts w:hint="default"/>
          <w:color w:val="auto"/>
          <w:highlight w:val="none"/>
        </w:rPr>
        <w:t>3</w:t>
      </w:r>
      <w:r>
        <w:rPr>
          <w:rFonts w:hint="eastAsia"/>
          <w:color w:val="auto"/>
          <w:highlight w:val="none"/>
          <w:lang w:val="en-US" w:eastAsia="zh-CN"/>
        </w:rPr>
        <w:t>0.3</w:t>
      </w:r>
      <w:r>
        <w:rPr>
          <w:rFonts w:hint="default"/>
          <w:color w:val="auto"/>
          <w:highlight w:val="none"/>
        </w:rPr>
        <w:t>1</w:t>
      </w:r>
      <w:r>
        <w:rPr>
          <w:color w:val="auto"/>
          <w:highlight w:val="none"/>
        </w:rPr>
        <w:t>分</w:t>
      </w:r>
      <w:r>
        <w:rPr>
          <w:rFonts w:hint="default"/>
          <w:color w:val="auto"/>
          <w:highlight w:val="none"/>
        </w:rPr>
        <w:t>，得分率为</w:t>
      </w:r>
      <w:r>
        <w:rPr>
          <w:rFonts w:hint="eastAsia"/>
          <w:color w:val="auto"/>
          <w:highlight w:val="none"/>
          <w:lang w:eastAsia="zh-CN"/>
        </w:rPr>
        <w:t>86.6</w:t>
      </w:r>
      <w:r>
        <w:rPr>
          <w:rFonts w:hint="default"/>
          <w:color w:val="auto"/>
          <w:highlight w:val="none"/>
        </w:rPr>
        <w:t>%</w:t>
      </w:r>
      <w:r>
        <w:rPr>
          <w:color w:val="auto"/>
          <w:highlight w:val="none"/>
        </w:rPr>
        <w:t>。各指标业绩值和绩效分值如下表所示：</w:t>
      </w:r>
    </w:p>
    <w:p>
      <w:pPr>
        <w:pageBreakBefore w:val="0"/>
        <w:kinsoku/>
        <w:wordWrap/>
        <w:overflowPunct/>
        <w:topLinePunct w:val="0"/>
        <w:autoSpaceDE/>
        <w:autoSpaceDN/>
        <w:bidi w:val="0"/>
        <w:spacing w:line="360" w:lineRule="exact"/>
        <w:ind w:firstLine="0" w:firstLineChars="0"/>
        <w:jc w:val="center"/>
        <w:rPr>
          <w:color w:val="auto"/>
          <w:highlight w:val="none"/>
        </w:rPr>
      </w:pPr>
      <w:r>
        <w:rPr>
          <w:b/>
          <w:bCs/>
          <w:color w:val="auto"/>
          <w:highlight w:val="none"/>
        </w:rPr>
        <w:t>表</w:t>
      </w:r>
      <w:r>
        <w:rPr>
          <w:rFonts w:hint="eastAsia"/>
          <w:b/>
          <w:bCs/>
          <w:color w:val="auto"/>
          <w:highlight w:val="none"/>
          <w:lang w:val="en-US" w:eastAsia="zh-CN"/>
        </w:rPr>
        <w:t>5</w:t>
      </w:r>
      <w:r>
        <w:rPr>
          <w:b/>
          <w:bCs/>
          <w:color w:val="auto"/>
          <w:highlight w:val="none"/>
        </w:rPr>
        <w:t>-4：项目效益指标及分值</w:t>
      </w:r>
    </w:p>
    <w:tbl>
      <w:tblPr>
        <w:tblStyle w:val="18"/>
        <w:tblW w:w="8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954"/>
        <w:gridCol w:w="1277"/>
        <w:gridCol w:w="1934"/>
        <w:gridCol w:w="900"/>
        <w:gridCol w:w="1171"/>
        <w:gridCol w:w="659"/>
        <w:gridCol w:w="656"/>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07" w:hRule="atLeast"/>
          <w:tblHeader/>
        </w:trPr>
        <w:tc>
          <w:tcPr>
            <w:tcW w:w="954"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一级指标</w:t>
            </w:r>
          </w:p>
        </w:tc>
        <w:tc>
          <w:tcPr>
            <w:tcW w:w="1277"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二级指标</w:t>
            </w:r>
          </w:p>
        </w:tc>
        <w:tc>
          <w:tcPr>
            <w:tcW w:w="1934"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三级指标</w:t>
            </w:r>
          </w:p>
        </w:tc>
        <w:tc>
          <w:tcPr>
            <w:tcW w:w="900"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目标值</w:t>
            </w:r>
          </w:p>
        </w:tc>
        <w:tc>
          <w:tcPr>
            <w:tcW w:w="1171"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实际完成值</w:t>
            </w:r>
          </w:p>
        </w:tc>
        <w:tc>
          <w:tcPr>
            <w:tcW w:w="659"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权重</w:t>
            </w:r>
          </w:p>
        </w:tc>
        <w:tc>
          <w:tcPr>
            <w:tcW w:w="656"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sz w:val="20"/>
                <w:szCs w:val="20"/>
                <w:highlight w:val="none"/>
              </w:rPr>
            </w:pPr>
            <w:r>
              <w:rPr>
                <w:rFonts w:hint="default" w:ascii="Times New Roman" w:hAnsi="Times New Roman" w:eastAsia="宋体" w:cs="Times New Roman"/>
                <w:b/>
                <w:color w:val="auto"/>
                <w:kern w:val="0"/>
                <w:sz w:val="20"/>
                <w:szCs w:val="20"/>
                <w:highlight w:val="none"/>
                <w:lang w:bidi="ar"/>
              </w:rPr>
              <w:t>得分</w:t>
            </w:r>
          </w:p>
        </w:tc>
        <w:tc>
          <w:tcPr>
            <w:tcW w:w="854" w:type="dxa"/>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color w:val="auto"/>
                <w:kern w:val="0"/>
                <w:sz w:val="20"/>
                <w:szCs w:val="20"/>
                <w:highlight w:val="none"/>
                <w:lang w:bidi="ar"/>
              </w:rPr>
            </w:pPr>
            <w:r>
              <w:rPr>
                <w:rFonts w:hint="default" w:ascii="Times New Roman" w:hAnsi="Times New Roman" w:eastAsia="宋体" w:cs="Times New Roman"/>
                <w:b/>
                <w:color w:val="auto"/>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631" w:hRule="atLeast"/>
        </w:trPr>
        <w:tc>
          <w:tcPr>
            <w:tcW w:w="954" w:type="dxa"/>
            <w:vMerge w:val="restar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sz w:val="20"/>
                <w:szCs w:val="20"/>
                <w:highlight w:val="none"/>
              </w:rPr>
              <w:t>D效益（35分）</w:t>
            </w:r>
          </w:p>
        </w:tc>
        <w:tc>
          <w:tcPr>
            <w:tcW w:w="1277"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D1经济效益指标（10分）</w:t>
            </w:r>
          </w:p>
        </w:tc>
        <w:tc>
          <w:tcPr>
            <w:tcW w:w="1934" w:type="dxa"/>
            <w:vAlign w:val="center"/>
          </w:tcPr>
          <w:p>
            <w:pPr>
              <w:pageBreakBefore w:val="0"/>
              <w:widowControl/>
              <w:kinsoku/>
              <w:wordWrap/>
              <w:overflowPunct/>
              <w:topLinePunct w:val="0"/>
              <w:autoSpaceDE/>
              <w:autoSpaceDN/>
              <w:bidi w:val="0"/>
              <w:spacing w:line="360" w:lineRule="exact"/>
              <w:ind w:firstLine="0" w:firstLineChars="0"/>
              <w:jc w:val="left"/>
              <w:rPr>
                <w:rFonts w:hint="default"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eastAsia="zh-CN" w:bidi="ar"/>
              </w:rPr>
              <w:t>D11冬小麦单产增幅</w:t>
            </w:r>
          </w:p>
        </w:tc>
        <w:tc>
          <w:tcPr>
            <w:tcW w:w="900"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eastAsia" w:eastAsia="宋体"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0%</w:t>
            </w:r>
          </w:p>
        </w:tc>
        <w:tc>
          <w:tcPr>
            <w:tcW w:w="1171"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-1.92%</w:t>
            </w:r>
          </w:p>
        </w:tc>
        <w:tc>
          <w:tcPr>
            <w:tcW w:w="659"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10</w:t>
            </w:r>
          </w:p>
        </w:tc>
        <w:tc>
          <w:tcPr>
            <w:tcW w:w="656"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eastAsia" w:eastAsia="宋体" w:cs="Times New Roman"/>
                <w:color w:val="auto"/>
                <w:kern w:val="0"/>
                <w:sz w:val="20"/>
                <w:szCs w:val="20"/>
                <w:highlight w:val="none"/>
                <w:lang w:val="en-US" w:eastAsia="zh-CN" w:bidi="ar"/>
              </w:rPr>
              <w:t>6</w:t>
            </w:r>
          </w:p>
        </w:tc>
        <w:tc>
          <w:tcPr>
            <w:tcW w:w="854"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eastAsia" w:eastAsia="宋体" w:cs="Times New Roman"/>
                <w:color w:val="auto"/>
                <w:kern w:val="0"/>
                <w:sz w:val="20"/>
                <w:szCs w:val="20"/>
                <w:highlight w:val="none"/>
                <w:lang w:val="en-US" w:eastAsia="zh-CN" w:bidi="ar"/>
              </w:rPr>
              <w:t>6</w:t>
            </w:r>
            <w:r>
              <w:rPr>
                <w:rFonts w:hint="default" w:ascii="Times New Roman" w:hAnsi="Times New Roman" w:eastAsia="宋体" w:cs="Times New Roman"/>
                <w:color w:val="auto"/>
                <w:kern w:val="0"/>
                <w:sz w:val="20"/>
                <w:szCs w:val="20"/>
                <w:highlight w:val="none"/>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954" w:type="dxa"/>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p>
        </w:tc>
        <w:tc>
          <w:tcPr>
            <w:tcW w:w="1277" w:type="dxa"/>
            <w:vMerge w:val="restar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D2社会效益指标（15分）</w:t>
            </w:r>
          </w:p>
        </w:tc>
        <w:tc>
          <w:tcPr>
            <w:tcW w:w="1934" w:type="dxa"/>
            <w:vAlign w:val="center"/>
          </w:tcPr>
          <w:p>
            <w:pPr>
              <w:pageBreakBefore w:val="0"/>
              <w:widowControl/>
              <w:kinsoku/>
              <w:wordWrap/>
              <w:overflowPunct/>
              <w:topLinePunct w:val="0"/>
              <w:autoSpaceDE/>
              <w:autoSpaceDN/>
              <w:bidi w:val="0"/>
              <w:spacing w:line="360" w:lineRule="exact"/>
              <w:ind w:firstLine="0" w:firstLineChars="0"/>
              <w:jc w:val="left"/>
              <w:rPr>
                <w:rFonts w:hint="default"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eastAsia="zh-CN" w:bidi="ar"/>
              </w:rPr>
              <w:t>D21耕地地力保护补贴政策知晓率</w:t>
            </w:r>
          </w:p>
        </w:tc>
        <w:tc>
          <w:tcPr>
            <w:tcW w:w="900"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c>
          <w:tcPr>
            <w:tcW w:w="1171"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94.44%</w:t>
            </w:r>
          </w:p>
        </w:tc>
        <w:tc>
          <w:tcPr>
            <w:tcW w:w="659"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5</w:t>
            </w:r>
          </w:p>
        </w:tc>
        <w:tc>
          <w:tcPr>
            <w:tcW w:w="656"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4.31</w:t>
            </w:r>
          </w:p>
        </w:tc>
        <w:tc>
          <w:tcPr>
            <w:tcW w:w="854"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86</w:t>
            </w:r>
            <w:r>
              <w:rPr>
                <w:rFonts w:hint="eastAsia" w:eastAsia="宋体" w:cs="Times New Roman"/>
                <w:color w:val="auto"/>
                <w:kern w:val="0"/>
                <w:sz w:val="20"/>
                <w:szCs w:val="20"/>
                <w:highlight w:val="none"/>
                <w:lang w:eastAsia="zh-CN" w:bidi="ar"/>
              </w:rPr>
              <w:t>.2</w:t>
            </w:r>
            <w:r>
              <w:rPr>
                <w:rFonts w:hint="default" w:ascii="Times New Roman" w:hAnsi="Times New Roman" w:eastAsia="宋体" w:cs="Times New Roman"/>
                <w:color w:val="auto"/>
                <w:kern w:val="0"/>
                <w:sz w:val="20"/>
                <w:szCs w:val="20"/>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954" w:type="dxa"/>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p>
        </w:tc>
        <w:tc>
          <w:tcPr>
            <w:tcW w:w="1277" w:type="dxa"/>
            <w:vMerge w:val="continue"/>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p>
        </w:tc>
        <w:tc>
          <w:tcPr>
            <w:tcW w:w="1934" w:type="dxa"/>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D2</w:t>
            </w:r>
            <w:r>
              <w:rPr>
                <w:rFonts w:hint="default" w:ascii="Times New Roman" w:hAnsi="Times New Roman" w:eastAsia="宋体" w:cs="Times New Roman"/>
                <w:color w:val="auto"/>
                <w:kern w:val="0"/>
                <w:sz w:val="20"/>
                <w:szCs w:val="20"/>
                <w:highlight w:val="none"/>
                <w:lang w:val="en-US" w:eastAsia="zh-CN" w:bidi="ar"/>
              </w:rPr>
              <w:t>2</w:t>
            </w:r>
            <w:r>
              <w:rPr>
                <w:rFonts w:hint="default" w:ascii="Times New Roman" w:hAnsi="Times New Roman" w:eastAsia="宋体" w:cs="Times New Roman"/>
                <w:color w:val="auto"/>
                <w:kern w:val="0"/>
                <w:sz w:val="20"/>
                <w:szCs w:val="20"/>
                <w:highlight w:val="none"/>
                <w:lang w:bidi="ar"/>
              </w:rPr>
              <w:t>提升耕地地力、促进农民增收</w:t>
            </w:r>
          </w:p>
        </w:tc>
        <w:tc>
          <w:tcPr>
            <w:tcW w:w="900"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效果显著</w:t>
            </w:r>
          </w:p>
        </w:tc>
        <w:tc>
          <w:tcPr>
            <w:tcW w:w="1171"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基本达成目标</w:t>
            </w:r>
          </w:p>
        </w:tc>
        <w:tc>
          <w:tcPr>
            <w:tcW w:w="659"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10</w:t>
            </w:r>
          </w:p>
        </w:tc>
        <w:tc>
          <w:tcPr>
            <w:tcW w:w="656"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10</w:t>
            </w:r>
          </w:p>
        </w:tc>
        <w:tc>
          <w:tcPr>
            <w:tcW w:w="854"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954" w:type="dxa"/>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p>
        </w:tc>
        <w:tc>
          <w:tcPr>
            <w:tcW w:w="1277"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D5服务对象满意度指标（10分）</w:t>
            </w:r>
          </w:p>
        </w:tc>
        <w:tc>
          <w:tcPr>
            <w:tcW w:w="1934" w:type="dxa"/>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D</w:t>
            </w:r>
            <w:r>
              <w:rPr>
                <w:rFonts w:hint="default" w:ascii="Times New Roman" w:hAnsi="Times New Roman" w:eastAsia="宋体" w:cs="Times New Roman"/>
                <w:color w:val="auto"/>
                <w:kern w:val="0"/>
                <w:sz w:val="20"/>
                <w:szCs w:val="20"/>
                <w:highlight w:val="none"/>
                <w:lang w:val="en-US" w:eastAsia="zh-CN" w:bidi="ar"/>
              </w:rPr>
              <w:t>31</w:t>
            </w:r>
            <w:r>
              <w:rPr>
                <w:rFonts w:hint="default" w:ascii="Times New Roman" w:hAnsi="Times New Roman" w:eastAsia="宋体" w:cs="Times New Roman"/>
                <w:color w:val="auto"/>
                <w:kern w:val="0"/>
                <w:sz w:val="20"/>
                <w:szCs w:val="20"/>
                <w:highlight w:val="none"/>
                <w:lang w:bidi="ar"/>
              </w:rPr>
              <w:t>农户满意度</w:t>
            </w:r>
          </w:p>
        </w:tc>
        <w:tc>
          <w:tcPr>
            <w:tcW w:w="900"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eastAsia" w:eastAsia="宋体"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90%</w:t>
            </w:r>
          </w:p>
        </w:tc>
        <w:tc>
          <w:tcPr>
            <w:tcW w:w="1171" w:type="dxa"/>
            <w:vAlign w:val="center"/>
          </w:tcPr>
          <w:p>
            <w:pPr>
              <w:pageBreakBefore w:val="0"/>
              <w:widowControl/>
              <w:kinsoku/>
              <w:wordWrap/>
              <w:overflowPunct/>
              <w:topLinePunct w:val="0"/>
              <w:autoSpaceDE/>
              <w:autoSpaceDN/>
              <w:bidi w:val="0"/>
              <w:spacing w:line="360" w:lineRule="exact"/>
              <w:ind w:firstLine="0" w:firstLineChars="0"/>
              <w:jc w:val="center"/>
              <w:rPr>
                <w:rFonts w:hint="default"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eastAsia="zh-CN" w:bidi="ar"/>
              </w:rPr>
              <w:t>97.48%</w:t>
            </w:r>
          </w:p>
        </w:tc>
        <w:tc>
          <w:tcPr>
            <w:tcW w:w="659"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10</w:t>
            </w:r>
          </w:p>
        </w:tc>
        <w:tc>
          <w:tcPr>
            <w:tcW w:w="656"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color w:val="auto"/>
                <w:sz w:val="20"/>
                <w:szCs w:val="20"/>
                <w:highlight w:val="none"/>
                <w:lang w:eastAsia="zh-CN"/>
              </w:rPr>
            </w:pPr>
            <w:r>
              <w:rPr>
                <w:rFonts w:hint="default" w:ascii="Times New Roman" w:hAnsi="Times New Roman" w:eastAsia="宋体" w:cs="Times New Roman"/>
                <w:color w:val="auto"/>
                <w:kern w:val="0"/>
                <w:sz w:val="20"/>
                <w:szCs w:val="20"/>
                <w:highlight w:val="none"/>
                <w:lang w:bidi="ar"/>
              </w:rPr>
              <w:t>10</w:t>
            </w:r>
          </w:p>
        </w:tc>
        <w:tc>
          <w:tcPr>
            <w:tcW w:w="854"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07" w:hRule="atLeast"/>
        </w:trPr>
        <w:tc>
          <w:tcPr>
            <w:tcW w:w="4165" w:type="dxa"/>
            <w:gridSpan w:val="3"/>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sz w:val="20"/>
                <w:szCs w:val="20"/>
                <w:highlight w:val="none"/>
              </w:rPr>
              <w:t>合计</w:t>
            </w:r>
          </w:p>
        </w:tc>
        <w:tc>
          <w:tcPr>
            <w:tcW w:w="900"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color w:val="auto"/>
                <w:sz w:val="20"/>
                <w:szCs w:val="20"/>
                <w:highlight w:val="none"/>
              </w:rPr>
            </w:pPr>
          </w:p>
        </w:tc>
        <w:tc>
          <w:tcPr>
            <w:tcW w:w="1171"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color w:val="auto"/>
                <w:sz w:val="20"/>
                <w:szCs w:val="20"/>
                <w:highlight w:val="none"/>
              </w:rPr>
            </w:pPr>
          </w:p>
        </w:tc>
        <w:tc>
          <w:tcPr>
            <w:tcW w:w="659" w:type="dxa"/>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b/>
                <w:bCs/>
                <w:color w:val="auto"/>
                <w:sz w:val="20"/>
                <w:szCs w:val="20"/>
                <w:highlight w:val="none"/>
                <w:lang w:eastAsia="zh-CN"/>
              </w:rPr>
            </w:pPr>
            <w:r>
              <w:rPr>
                <w:rFonts w:hint="default" w:ascii="Times New Roman" w:hAnsi="Times New Roman" w:eastAsia="宋体" w:cs="Times New Roman"/>
                <w:b/>
                <w:bCs/>
                <w:color w:val="auto"/>
                <w:kern w:val="0"/>
                <w:sz w:val="20"/>
                <w:szCs w:val="20"/>
                <w:highlight w:val="none"/>
                <w:lang w:bidi="ar"/>
              </w:rPr>
              <w:t>35</w:t>
            </w:r>
          </w:p>
        </w:tc>
        <w:tc>
          <w:tcPr>
            <w:tcW w:w="656"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3</w:t>
            </w:r>
            <w:r>
              <w:rPr>
                <w:rFonts w:hint="eastAsia" w:eastAsia="宋体" w:cs="Times New Roman"/>
                <w:b/>
                <w:bCs/>
                <w:color w:val="auto"/>
                <w:kern w:val="0"/>
                <w:sz w:val="20"/>
                <w:szCs w:val="20"/>
                <w:highlight w:val="none"/>
                <w:lang w:val="en-US" w:eastAsia="zh-CN" w:bidi="ar"/>
              </w:rPr>
              <w:t>0</w:t>
            </w:r>
            <w:r>
              <w:rPr>
                <w:rFonts w:hint="default" w:ascii="Times New Roman" w:hAnsi="Times New Roman" w:eastAsia="宋体" w:cs="Times New Roman"/>
                <w:b/>
                <w:bCs/>
                <w:color w:val="auto"/>
                <w:kern w:val="0"/>
                <w:sz w:val="20"/>
                <w:szCs w:val="20"/>
                <w:highlight w:val="none"/>
                <w:lang w:bidi="ar"/>
              </w:rPr>
              <w:t>.31</w:t>
            </w:r>
          </w:p>
        </w:tc>
        <w:tc>
          <w:tcPr>
            <w:tcW w:w="854" w:type="dxa"/>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color w:val="auto"/>
                <w:sz w:val="20"/>
                <w:szCs w:val="20"/>
                <w:highlight w:val="none"/>
              </w:rPr>
            </w:pPr>
            <w:r>
              <w:rPr>
                <w:rFonts w:hint="eastAsia" w:eastAsia="宋体" w:cs="Times New Roman"/>
                <w:b/>
                <w:bCs/>
                <w:color w:val="auto"/>
                <w:kern w:val="0"/>
                <w:sz w:val="20"/>
                <w:szCs w:val="20"/>
                <w:highlight w:val="none"/>
                <w:lang w:val="en-US" w:eastAsia="zh-CN" w:bidi="ar"/>
              </w:rPr>
              <w:t>86.6</w:t>
            </w:r>
            <w:r>
              <w:rPr>
                <w:rFonts w:hint="default" w:ascii="Times New Roman" w:hAnsi="Times New Roman" w:eastAsia="宋体" w:cs="Times New Roman"/>
                <w:b/>
                <w:bCs/>
                <w:color w:val="auto"/>
                <w:kern w:val="0"/>
                <w:sz w:val="20"/>
                <w:szCs w:val="20"/>
                <w:highlight w:val="none"/>
                <w:lang w:bidi="ar"/>
              </w:rPr>
              <w:t>%</w:t>
            </w:r>
          </w:p>
        </w:tc>
      </w:tr>
    </w:tbl>
    <w:p>
      <w:pPr>
        <w:pageBreakBefore w:val="0"/>
        <w:kinsoku/>
        <w:wordWrap/>
        <w:overflowPunct/>
        <w:topLinePunct w:val="0"/>
        <w:autoSpaceDE/>
        <w:autoSpaceDN/>
        <w:bidi w:val="0"/>
        <w:spacing w:line="360" w:lineRule="exact"/>
        <w:ind w:firstLine="422"/>
        <w:rPr>
          <w:rFonts w:eastAsia="宋体"/>
          <w:b/>
          <w:bCs/>
          <w:color w:val="auto"/>
          <w:highlight w:val="none"/>
        </w:rPr>
      </w:pP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指标得分分析：</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r>
        <w:rPr>
          <w:rFonts w:hint="default"/>
          <w:b/>
          <w:bCs/>
          <w:color w:val="auto"/>
          <w:sz w:val="24"/>
          <w:szCs w:val="28"/>
          <w:highlight w:val="none"/>
          <w:lang w:val="en-US" w:eastAsia="zh-CN"/>
        </w:rPr>
        <w:t>（1）D11冬小麦单产增幅指标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经了解，南疆冬小麦4月下旬至5月中旬抽穗，但5月上旬全疆出现寒潮、雨雪、风沙天气，巴州、阿克苏地区、喀什地区部分麦区日最低气温降至4℃以下，个别麦区出现冷害，对当地冬小麦产量带来较大负面影响。根据项目实施单位提供的巴楚县2022年及2023年冬小麦测产数据显示，2022年巴楚县冬小麦单产468</w:t>
      </w:r>
      <w:r>
        <w:rPr>
          <w:rFonts w:hint="eastAsia"/>
          <w:color w:val="auto"/>
          <w:highlight w:val="none"/>
          <w:lang w:eastAsia="zh-CN"/>
        </w:rPr>
        <w:t>.8</w:t>
      </w:r>
      <w:r>
        <w:rPr>
          <w:color w:val="auto"/>
          <w:highlight w:val="none"/>
        </w:rPr>
        <w:t>公斤/亩，2023年巴楚县冬小麦单产459.78公斤/亩</w:t>
      </w:r>
      <w:r>
        <w:rPr>
          <w:rFonts w:hint="default"/>
          <w:color w:val="auto"/>
          <w:highlight w:val="none"/>
          <w:lang w:eastAsia="zh-CN"/>
        </w:rPr>
        <w:t>，</w:t>
      </w:r>
      <w:r>
        <w:rPr>
          <w:color w:val="auto"/>
          <w:highlight w:val="none"/>
        </w:rPr>
        <w:t>较2022年冬小麦单产减产1.92%。根据评分标准，得</w:t>
      </w:r>
      <w:r>
        <w:rPr>
          <w:rFonts w:hint="eastAsia"/>
          <w:color w:val="auto"/>
          <w:highlight w:val="none"/>
          <w:lang w:val="en-US" w:eastAsia="zh-CN"/>
        </w:rPr>
        <w:t>6</w:t>
      </w:r>
      <w:r>
        <w:rPr>
          <w:color w:val="auto"/>
          <w:highlight w:val="none"/>
        </w:rPr>
        <w:t>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该指标满分为10分，根据评分标准得</w:t>
      </w:r>
      <w:r>
        <w:rPr>
          <w:rFonts w:hint="eastAsia"/>
          <w:color w:val="auto"/>
          <w:highlight w:val="none"/>
          <w:lang w:val="en-US" w:eastAsia="zh-CN"/>
        </w:rPr>
        <w:t>6</w:t>
      </w:r>
      <w:r>
        <w:rPr>
          <w:color w:val="auto"/>
          <w:highlight w:val="none"/>
        </w:rPr>
        <w:t>分。</w:t>
      </w:r>
    </w:p>
    <w:p>
      <w:pPr>
        <w:pageBreakBefore w:val="0"/>
        <w:kinsoku/>
        <w:wordWrap/>
        <w:overflowPunct/>
        <w:topLinePunct w:val="0"/>
        <w:autoSpaceDE/>
        <w:autoSpaceDN/>
        <w:bidi w:val="0"/>
        <w:spacing w:line="360" w:lineRule="exact"/>
        <w:ind w:firstLine="422"/>
        <w:rPr>
          <w:rFonts w:hint="default" w:ascii="Times New Roman" w:hAnsi="Times New Roman" w:cs="Times New Roman" w:eastAsiaTheme="minorEastAsia"/>
          <w:b/>
          <w:bCs/>
          <w:color w:val="auto"/>
          <w:kern w:val="0"/>
          <w:sz w:val="24"/>
          <w:szCs w:val="32"/>
          <w:highlight w:val="none"/>
          <w:lang w:val="en-US" w:eastAsia="zh-CN" w:bidi="ar-SA"/>
        </w:rPr>
      </w:pPr>
      <w:r>
        <w:rPr>
          <w:rFonts w:hint="default" w:ascii="Times New Roman" w:hAnsi="Times New Roman" w:cs="Times New Roman" w:eastAsiaTheme="minorEastAsia"/>
          <w:b/>
          <w:bCs/>
          <w:color w:val="auto"/>
          <w:kern w:val="0"/>
          <w:sz w:val="24"/>
          <w:szCs w:val="32"/>
          <w:highlight w:val="none"/>
          <w:lang w:val="en-US" w:eastAsia="zh-CN" w:bidi="ar-SA"/>
        </w:rPr>
        <w:t>（2）D21耕地地力保护补贴政策知晓率指标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根据《巴楚县2023年耕地地力保护补贴项目调研问卷》统计结果，满意度调研问卷对象为巴楚县小麦种植农户，共发放问卷164</w:t>
      </w:r>
      <w:r>
        <w:rPr>
          <w:rFonts w:hint="eastAsia" w:ascii="Times New Roman" w:hAnsi="Times New Roman" w:cs="Times New Roman"/>
          <w:color w:val="auto"/>
          <w:highlight w:val="none"/>
          <w:lang w:eastAsia="zh-CN"/>
        </w:rPr>
        <w:t>份</w:t>
      </w:r>
      <w:r>
        <w:rPr>
          <w:color w:val="auto"/>
          <w:highlight w:val="none"/>
        </w:rPr>
        <w:t>，收回有效问卷164份，问卷共设计11个问题，其中问题2：“请问您对耕地地力保护补贴是否了解?”，对政策知晓程度进行调研，根据问卷统计结果，政策知晓率为94.44%。根据评分标准，得分=（实际完成率-60%）/（</w:t>
      </w:r>
      <w:r>
        <w:rPr>
          <w:rFonts w:hint="eastAsia"/>
          <w:color w:val="auto"/>
          <w:highlight w:val="none"/>
          <w:lang w:eastAsia="zh-CN"/>
        </w:rPr>
        <w:t>1-60%</w:t>
      </w:r>
      <w:r>
        <w:rPr>
          <w:color w:val="auto"/>
          <w:highlight w:val="none"/>
        </w:rPr>
        <w:t>）×指标分值=（</w:t>
      </w:r>
      <w:r>
        <w:rPr>
          <w:rFonts w:hint="eastAsia"/>
          <w:color w:val="auto"/>
          <w:highlight w:val="none"/>
          <w:lang w:eastAsia="zh-CN"/>
        </w:rPr>
        <w:t>94.44%-60%</w:t>
      </w:r>
      <w:r>
        <w:rPr>
          <w:color w:val="auto"/>
          <w:highlight w:val="none"/>
        </w:rPr>
        <w:t>）/（</w:t>
      </w:r>
      <w:r>
        <w:rPr>
          <w:rFonts w:hint="eastAsia"/>
          <w:color w:val="auto"/>
          <w:highlight w:val="none"/>
          <w:lang w:eastAsia="zh-CN"/>
        </w:rPr>
        <w:t>1-60%</w:t>
      </w:r>
      <w:r>
        <w:rPr>
          <w:color w:val="auto"/>
          <w:highlight w:val="none"/>
        </w:rPr>
        <w:t>）×5=4.31分。</w:t>
      </w:r>
    </w:p>
    <w:p>
      <w:pPr>
        <w:pageBreakBefore w:val="0"/>
        <w:kinsoku/>
        <w:wordWrap/>
        <w:overflowPunct/>
        <w:topLinePunct w:val="0"/>
        <w:autoSpaceDE/>
        <w:autoSpaceDN/>
        <w:bidi w:val="0"/>
        <w:spacing w:line="360" w:lineRule="exact"/>
        <w:ind w:firstLine="420"/>
        <w:rPr>
          <w:rFonts w:hint="default" w:ascii="Times New Roman" w:hAnsi="Times New Roman" w:cs="Times New Roman" w:eastAsiaTheme="minorEastAsia"/>
          <w:b/>
          <w:bCs/>
          <w:color w:val="auto"/>
          <w:kern w:val="0"/>
          <w:sz w:val="24"/>
          <w:szCs w:val="32"/>
          <w:highlight w:val="none"/>
          <w:lang w:val="en-US" w:eastAsia="zh-CN" w:bidi="ar-SA"/>
        </w:rPr>
      </w:pPr>
      <w:r>
        <w:rPr>
          <w:color w:val="auto"/>
          <w:highlight w:val="none"/>
        </w:rPr>
        <w:t>该指标满分为5分，根据评分标准得4.31分。</w:t>
      </w:r>
    </w:p>
    <w:p>
      <w:pPr>
        <w:pageBreakBefore w:val="0"/>
        <w:kinsoku/>
        <w:wordWrap/>
        <w:overflowPunct/>
        <w:topLinePunct w:val="0"/>
        <w:autoSpaceDE/>
        <w:autoSpaceDN/>
        <w:bidi w:val="0"/>
        <w:spacing w:line="360" w:lineRule="exact"/>
        <w:ind w:firstLine="422"/>
        <w:rPr>
          <w:rFonts w:hint="default" w:ascii="Times New Roman" w:hAnsi="Times New Roman" w:cs="Times New Roman" w:eastAsiaTheme="minorEastAsia"/>
          <w:b/>
          <w:bCs/>
          <w:color w:val="auto"/>
          <w:kern w:val="0"/>
          <w:sz w:val="24"/>
          <w:szCs w:val="32"/>
          <w:highlight w:val="none"/>
          <w:lang w:val="en-US" w:eastAsia="zh-CN" w:bidi="ar-SA"/>
        </w:rPr>
      </w:pPr>
      <w:r>
        <w:rPr>
          <w:rFonts w:hint="default" w:ascii="Times New Roman" w:hAnsi="Times New Roman" w:cs="Times New Roman" w:eastAsiaTheme="minorEastAsia"/>
          <w:b/>
          <w:bCs/>
          <w:color w:val="auto"/>
          <w:kern w:val="0"/>
          <w:sz w:val="24"/>
          <w:szCs w:val="32"/>
          <w:highlight w:val="none"/>
          <w:lang w:val="en-US" w:eastAsia="zh-CN" w:bidi="ar-SA"/>
        </w:rPr>
        <w:t>（3）D22提升耕地地力、促进农民增收指标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根据《巴楚县2023年耕地地力保护补贴项目调研问卷》统计结果，调研问卷对象为巴楚县小麦种植农户，共发放问卷164分，收回有效问卷164份，根据问卷问题5至问题7从农户收入、耕地地力、耕地产量方面进行</w:t>
      </w:r>
      <w:r>
        <w:rPr>
          <w:rFonts w:hint="eastAsia" w:ascii="Times New Roman" w:hAnsi="Times New Roman" w:cs="Times New Roman"/>
          <w:color w:val="auto"/>
          <w:highlight w:val="none"/>
          <w:lang w:val="en-US" w:eastAsia="zh-CN"/>
        </w:rPr>
        <w:t>问卷</w:t>
      </w:r>
      <w:r>
        <w:rPr>
          <w:color w:val="auto"/>
          <w:highlight w:val="none"/>
        </w:rPr>
        <w:t>调研，根据问卷统计结果，取</w:t>
      </w:r>
      <w:r>
        <w:rPr>
          <w:rFonts w:hint="eastAsia" w:ascii="Times New Roman" w:hAnsi="Times New Roman" w:cs="Times New Roman"/>
          <w:color w:val="auto"/>
          <w:highlight w:val="none"/>
          <w:lang w:val="en-US" w:eastAsia="zh-CN"/>
        </w:rPr>
        <w:t>指标</w:t>
      </w:r>
      <w:r>
        <w:rPr>
          <w:color w:val="auto"/>
          <w:highlight w:val="none"/>
        </w:rPr>
        <w:t>综合</w:t>
      </w:r>
      <w:r>
        <w:rPr>
          <w:rFonts w:hint="eastAsia" w:ascii="Times New Roman" w:hAnsi="Times New Roman" w:cs="Times New Roman"/>
          <w:color w:val="auto"/>
          <w:highlight w:val="none"/>
          <w:lang w:val="en-US" w:eastAsia="zh-CN"/>
        </w:rPr>
        <w:t>得分率</w:t>
      </w:r>
      <w:r>
        <w:rPr>
          <w:color w:val="auto"/>
          <w:highlight w:val="none"/>
        </w:rPr>
        <w:t>为95.35%，基本达成目标，根据评分标准，得满分。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该指标满分为10分，根据评分标准得10分。</w:t>
      </w:r>
    </w:p>
    <w:p>
      <w:pPr>
        <w:pageBreakBefore w:val="0"/>
        <w:kinsoku/>
        <w:wordWrap/>
        <w:overflowPunct/>
        <w:topLinePunct w:val="0"/>
        <w:autoSpaceDE/>
        <w:autoSpaceDN/>
        <w:bidi w:val="0"/>
        <w:spacing w:line="360" w:lineRule="exact"/>
        <w:ind w:firstLine="422"/>
        <w:rPr>
          <w:rFonts w:hint="default" w:ascii="Times New Roman" w:hAnsi="Times New Roman" w:cs="Times New Roman" w:eastAsiaTheme="minorEastAsia"/>
          <w:b/>
          <w:bCs/>
          <w:color w:val="auto"/>
          <w:kern w:val="0"/>
          <w:sz w:val="24"/>
          <w:szCs w:val="32"/>
          <w:highlight w:val="none"/>
          <w:lang w:val="en-US" w:eastAsia="zh-CN" w:bidi="ar-SA"/>
        </w:rPr>
      </w:pPr>
      <w:r>
        <w:rPr>
          <w:rFonts w:hint="default" w:ascii="Times New Roman" w:hAnsi="Times New Roman" w:cs="Times New Roman" w:eastAsiaTheme="minorEastAsia"/>
          <w:b/>
          <w:bCs/>
          <w:color w:val="auto"/>
          <w:kern w:val="0"/>
          <w:sz w:val="24"/>
          <w:szCs w:val="32"/>
          <w:highlight w:val="none"/>
          <w:lang w:val="en-US" w:eastAsia="zh-CN" w:bidi="ar-SA"/>
        </w:rPr>
        <w:t>（4）D31农户满意度指标</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根据《巴楚县2023年耕地地力保护补贴项目调研问卷》统计结果，满意度调研问卷对象为巴楚县小麦种植农户，共发放问卷164</w:t>
      </w:r>
      <w:r>
        <w:rPr>
          <w:rFonts w:hint="eastAsia" w:ascii="Times New Roman" w:hAnsi="Times New Roman" w:cs="Times New Roman"/>
          <w:color w:val="auto"/>
          <w:highlight w:val="none"/>
          <w:lang w:eastAsia="zh-CN"/>
        </w:rPr>
        <w:t>份</w:t>
      </w:r>
      <w:r>
        <w:rPr>
          <w:color w:val="auto"/>
          <w:highlight w:val="none"/>
        </w:rPr>
        <w:t>，收回有效问卷164份，问卷共设计11个问题，其中问题</w:t>
      </w:r>
      <w:r>
        <w:rPr>
          <w:rFonts w:hint="default"/>
          <w:color w:val="auto"/>
          <w:highlight w:val="none"/>
          <w:lang w:val="en-US" w:eastAsia="zh-CN"/>
        </w:rPr>
        <w:t>8</w:t>
      </w:r>
      <w:r>
        <w:rPr>
          <w:color w:val="auto"/>
          <w:highlight w:val="none"/>
        </w:rPr>
        <w:t>至问题10从补贴申请</w:t>
      </w:r>
      <w:r>
        <w:rPr>
          <w:rFonts w:hint="default"/>
          <w:color w:val="auto"/>
          <w:highlight w:val="none"/>
          <w:lang w:val="en-US" w:eastAsia="zh-CN"/>
        </w:rPr>
        <w:t>流程、</w:t>
      </w:r>
      <w:r>
        <w:rPr>
          <w:color w:val="auto"/>
          <w:highlight w:val="none"/>
        </w:rPr>
        <w:t>发放</w:t>
      </w:r>
      <w:r>
        <w:rPr>
          <w:rFonts w:hint="default"/>
          <w:color w:val="auto"/>
          <w:highlight w:val="none"/>
          <w:lang w:val="en-US" w:eastAsia="zh-CN"/>
        </w:rPr>
        <w:t>及时性、项目整体效果</w:t>
      </w:r>
      <w:r>
        <w:rPr>
          <w:color w:val="auto"/>
          <w:highlight w:val="none"/>
        </w:rPr>
        <w:t>等方面进行满意度调研，根据问卷统计结果，</w:t>
      </w:r>
      <w:r>
        <w:rPr>
          <w:rFonts w:hint="default"/>
          <w:color w:val="auto"/>
          <w:highlight w:val="none"/>
          <w:lang w:val="en-US" w:eastAsia="zh-CN"/>
        </w:rPr>
        <w:t>计算得到</w:t>
      </w:r>
      <w:r>
        <w:rPr>
          <w:color w:val="auto"/>
          <w:highlight w:val="none"/>
        </w:rPr>
        <w:t>综合满意度为</w:t>
      </w:r>
      <w:r>
        <w:rPr>
          <w:rFonts w:hint="default"/>
          <w:color w:val="auto"/>
          <w:highlight w:val="none"/>
          <w:lang w:val="en-US" w:eastAsia="zh-CN"/>
        </w:rPr>
        <w:t>97.48</w:t>
      </w:r>
      <w:r>
        <w:rPr>
          <w:color w:val="auto"/>
          <w:highlight w:val="none"/>
        </w:rPr>
        <w:t>%，根据评分标准，得满分。</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该指标满分为10分，根据评分标准得10分。</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95" w:name="_Toc2888"/>
      <w:bookmarkStart w:id="96" w:name="_Toc9489"/>
      <w:bookmarkStart w:id="97" w:name="_Toc30458"/>
      <w:r>
        <w:rPr>
          <w:rFonts w:hint="default"/>
          <w:b/>
          <w:bCs/>
          <w:color w:val="auto"/>
          <w:sz w:val="24"/>
          <w:szCs w:val="28"/>
          <w:highlight w:val="none"/>
          <w:lang w:val="en-US" w:eastAsia="zh-CN"/>
        </w:rPr>
        <w:t>六、主要经验及做法、存在的问题及原因分析</w:t>
      </w:r>
      <w:bookmarkEnd w:id="95"/>
      <w:bookmarkEnd w:id="96"/>
      <w:bookmarkEnd w:id="97"/>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98" w:name="_Toc15518"/>
      <w:bookmarkStart w:id="99" w:name="_Toc16974"/>
      <w:bookmarkStart w:id="100" w:name="_Toc9676"/>
      <w:bookmarkStart w:id="101" w:name="_Toc5284"/>
      <w:bookmarkStart w:id="102" w:name="_Toc14662"/>
      <w:r>
        <w:rPr>
          <w:rFonts w:hint="default"/>
          <w:b/>
          <w:bCs/>
          <w:color w:val="auto"/>
          <w:sz w:val="24"/>
          <w:szCs w:val="28"/>
          <w:highlight w:val="none"/>
          <w:lang w:val="en-US" w:eastAsia="zh-CN"/>
        </w:rPr>
        <w:t>（一）主要经验及做法</w:t>
      </w:r>
      <w:bookmarkEnd w:id="98"/>
      <w:bookmarkEnd w:id="99"/>
      <w:bookmarkEnd w:id="100"/>
      <w:bookmarkEnd w:id="101"/>
      <w:bookmarkEnd w:id="102"/>
    </w:p>
    <w:p>
      <w:pPr>
        <w:pageBreakBefore w:val="0"/>
        <w:kinsoku/>
        <w:wordWrap/>
        <w:overflowPunct/>
        <w:topLinePunct w:val="0"/>
        <w:autoSpaceDE/>
        <w:autoSpaceDN/>
        <w:bidi w:val="0"/>
        <w:spacing w:line="360" w:lineRule="exact"/>
        <w:ind w:firstLine="420"/>
        <w:rPr>
          <w:color w:val="auto"/>
          <w:highlight w:val="none"/>
        </w:rPr>
      </w:pPr>
      <w:bookmarkStart w:id="103" w:name="_Toc13318"/>
      <w:bookmarkStart w:id="104" w:name="_Toc370"/>
      <w:bookmarkStart w:id="105" w:name="_Toc4015"/>
      <w:r>
        <w:rPr>
          <w:rFonts w:hint="default"/>
          <w:color w:val="auto"/>
          <w:highlight w:val="none"/>
        </w:rPr>
        <w:t>项目实施单位严格落实政策要求</w:t>
      </w:r>
      <w:r>
        <w:rPr>
          <w:rFonts w:hint="default"/>
          <w:color w:val="auto"/>
          <w:highlight w:val="none"/>
          <w:lang w:eastAsia="zh-CN"/>
        </w:rPr>
        <w:t>，</w:t>
      </w:r>
      <w:r>
        <w:rPr>
          <w:rFonts w:hint="eastAsia" w:ascii="Times New Roman" w:hAnsi="Times New Roman" w:cs="Times New Roman"/>
          <w:color w:val="auto"/>
          <w:highlight w:val="none"/>
          <w:lang w:eastAsia="zh-CN"/>
        </w:rPr>
        <w:t>依据</w:t>
      </w:r>
      <w:r>
        <w:rPr>
          <w:rFonts w:hint="default"/>
          <w:color w:val="auto"/>
          <w:highlight w:val="none"/>
        </w:rPr>
        <w:t>自治区农业农村厅下发的《2023年自治区耕地地力保护补贴实施方案》文件精神</w:t>
      </w:r>
      <w:r>
        <w:rPr>
          <w:rFonts w:hint="default"/>
          <w:color w:val="auto"/>
          <w:highlight w:val="none"/>
          <w:lang w:val="en-US" w:eastAsia="zh-CN"/>
        </w:rPr>
        <w:t>及喀什地区农业农村局要求</w:t>
      </w:r>
      <w:r>
        <w:rPr>
          <w:rFonts w:hint="default"/>
          <w:color w:val="auto"/>
          <w:highlight w:val="none"/>
          <w:lang w:eastAsia="zh-CN"/>
        </w:rPr>
        <w:t>，</w:t>
      </w:r>
      <w:r>
        <w:rPr>
          <w:rFonts w:hint="default"/>
          <w:color w:val="auto"/>
          <w:highlight w:val="none"/>
          <w:lang w:val="en-US" w:eastAsia="zh-CN"/>
        </w:rPr>
        <w:t>认真开展数据核查工作，</w:t>
      </w:r>
      <w:r>
        <w:rPr>
          <w:rFonts w:hint="default"/>
          <w:color w:val="auto"/>
          <w:highlight w:val="none"/>
        </w:rPr>
        <w:t>对各乡镇确定的耕地补助面积及相关材料进行实地核实，确保面积</w:t>
      </w:r>
      <w:r>
        <w:rPr>
          <w:rFonts w:hint="default"/>
          <w:color w:val="auto"/>
          <w:highlight w:val="none"/>
          <w:lang w:val="en-US" w:eastAsia="zh-CN"/>
        </w:rPr>
        <w:t>统计数据准确</w:t>
      </w:r>
      <w:r>
        <w:rPr>
          <w:rFonts w:hint="default"/>
          <w:color w:val="auto"/>
          <w:highlight w:val="none"/>
          <w:lang w:eastAsia="zh-CN"/>
        </w:rPr>
        <w:t>，</w:t>
      </w:r>
      <w:r>
        <w:rPr>
          <w:rFonts w:hint="default"/>
          <w:color w:val="auto"/>
          <w:highlight w:val="none"/>
          <w:lang w:val="en-US" w:eastAsia="zh-CN"/>
        </w:rPr>
        <w:t>完成</w:t>
      </w:r>
      <w:r>
        <w:rPr>
          <w:rFonts w:hint="default"/>
          <w:color w:val="auto"/>
          <w:highlight w:val="none"/>
        </w:rPr>
        <w:t>编制《巴楚县2023年耕地地力保护补贴实施方案》，明确项目补助对象、</w:t>
      </w:r>
      <w:r>
        <w:rPr>
          <w:rFonts w:hint="default"/>
          <w:color w:val="auto"/>
          <w:highlight w:val="none"/>
          <w:lang w:val="en-US" w:eastAsia="zh-CN"/>
        </w:rPr>
        <w:t>补助标准</w:t>
      </w:r>
      <w:r>
        <w:rPr>
          <w:rFonts w:hint="default"/>
          <w:color w:val="auto"/>
          <w:highlight w:val="none"/>
        </w:rPr>
        <w:t>、补助内容、</w:t>
      </w:r>
      <w:r>
        <w:rPr>
          <w:rFonts w:hint="default"/>
          <w:color w:val="auto"/>
          <w:highlight w:val="none"/>
          <w:lang w:val="en-US" w:eastAsia="zh-CN"/>
        </w:rPr>
        <w:t>补助程序、兑付时间</w:t>
      </w:r>
      <w:r>
        <w:rPr>
          <w:rFonts w:hint="default"/>
          <w:color w:val="auto"/>
          <w:highlight w:val="none"/>
        </w:rPr>
        <w:t>等内容，有效指导项目实施补助政策。该项目的补助政策实施引导农民自觉提升耕地地力，推动粮食生产能力稳步提升，促进</w:t>
      </w:r>
      <w:r>
        <w:rPr>
          <w:rFonts w:hint="default"/>
          <w:color w:val="auto"/>
          <w:highlight w:val="none"/>
          <w:lang w:val="en-US" w:eastAsia="zh-CN"/>
        </w:rPr>
        <w:t>巴楚县</w:t>
      </w:r>
      <w:r>
        <w:rPr>
          <w:rFonts w:hint="default"/>
          <w:color w:val="auto"/>
          <w:highlight w:val="none"/>
        </w:rPr>
        <w:t>种植业结构合理调整。</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106" w:name="_Toc2105"/>
      <w:bookmarkStart w:id="107" w:name="_Toc8945"/>
      <w:r>
        <w:rPr>
          <w:rFonts w:hint="default"/>
          <w:b/>
          <w:bCs/>
          <w:color w:val="auto"/>
          <w:sz w:val="24"/>
          <w:szCs w:val="28"/>
          <w:highlight w:val="none"/>
          <w:lang w:val="en-US" w:eastAsia="zh-CN"/>
        </w:rPr>
        <w:t>（二）存在的问题</w:t>
      </w:r>
      <w:bookmarkEnd w:id="103"/>
      <w:bookmarkEnd w:id="104"/>
      <w:bookmarkEnd w:id="105"/>
      <w:bookmarkEnd w:id="106"/>
      <w:bookmarkEnd w:id="107"/>
    </w:p>
    <w:p>
      <w:pPr>
        <w:pageBreakBefore w:val="0"/>
        <w:kinsoku/>
        <w:wordWrap/>
        <w:overflowPunct/>
        <w:topLinePunct w:val="0"/>
        <w:autoSpaceDE/>
        <w:autoSpaceDN/>
        <w:bidi w:val="0"/>
        <w:spacing w:line="360" w:lineRule="exact"/>
        <w:ind w:firstLine="420"/>
        <w:rPr>
          <w:color w:val="auto"/>
          <w:highlight w:val="none"/>
        </w:rPr>
      </w:pPr>
      <w:r>
        <w:rPr>
          <w:rFonts w:hint="default"/>
          <w:b w:val="0"/>
          <w:bCs w:val="0"/>
          <w:color w:val="auto"/>
          <w:highlight w:val="none"/>
          <w:lang w:val="en-US" w:eastAsia="zh-CN"/>
        </w:rPr>
        <w:t>项目补助程序实施不完整，监督管理工作不到位。</w:t>
      </w:r>
      <w:r>
        <w:rPr>
          <w:rFonts w:hint="default"/>
          <w:b w:val="0"/>
          <w:bCs w:val="0"/>
          <w:color w:val="auto"/>
          <w:highlight w:val="none"/>
        </w:rPr>
        <w:t>根据项目实施方案，进行</w:t>
      </w:r>
      <w:r>
        <w:rPr>
          <w:rFonts w:hint="default"/>
          <w:b w:val="0"/>
          <w:bCs w:val="0"/>
          <w:color w:val="auto"/>
          <w:highlight w:val="none"/>
          <w:lang w:val="en-US" w:eastAsia="zh-CN"/>
        </w:rPr>
        <w:t>补贴</w:t>
      </w:r>
      <w:r>
        <w:rPr>
          <w:rFonts w:hint="default"/>
          <w:b w:val="0"/>
          <w:bCs w:val="0"/>
          <w:color w:val="auto"/>
          <w:highlight w:val="none"/>
        </w:rPr>
        <w:t>兑付前，要按照分户清册向农民发放补贴兑现通知书，农民领取补贴兑现通知</w:t>
      </w:r>
      <w:r>
        <w:rPr>
          <w:rFonts w:hint="default"/>
          <w:color w:val="auto"/>
          <w:highlight w:val="none"/>
        </w:rPr>
        <w:t>书时在分户清册上签字、按手印。经了解，项目实施过程未开展该项工作，巴楚县农业农村局对补助面积及内容抽查核实通过后，执行国库集中支付程序，拨付补贴至农户“一卡通”账户。</w:t>
      </w:r>
      <w:r>
        <w:rPr>
          <w:rFonts w:hint="default"/>
          <w:color w:val="auto"/>
          <w:highlight w:val="none"/>
          <w:lang w:val="en-US" w:eastAsia="zh-CN"/>
        </w:rPr>
        <w:t>此外，</w:t>
      </w:r>
      <w:r>
        <w:rPr>
          <w:rFonts w:hint="default"/>
          <w:color w:val="auto"/>
          <w:highlight w:val="none"/>
        </w:rPr>
        <w:t>完成</w:t>
      </w:r>
      <w:r>
        <w:rPr>
          <w:rFonts w:hint="default"/>
          <w:color w:val="auto"/>
          <w:highlight w:val="none"/>
          <w:lang w:val="en-US" w:eastAsia="zh-CN"/>
        </w:rPr>
        <w:t>补贴</w:t>
      </w:r>
      <w:r>
        <w:rPr>
          <w:rFonts w:hint="default"/>
          <w:color w:val="auto"/>
          <w:highlight w:val="none"/>
        </w:rPr>
        <w:t>兑付后，各乡镇</w:t>
      </w:r>
      <w:r>
        <w:rPr>
          <w:rFonts w:hint="default"/>
          <w:color w:val="auto"/>
          <w:highlight w:val="none"/>
          <w:lang w:val="en-US" w:eastAsia="zh-CN"/>
        </w:rPr>
        <w:t>未按实施方案要求</w:t>
      </w:r>
      <w:r>
        <w:rPr>
          <w:rFonts w:hint="default"/>
          <w:color w:val="auto"/>
          <w:highlight w:val="none"/>
        </w:rPr>
        <w:t>及时对照发放清单录入自治区耕地地力保护补贴实时监测系统，巴楚县农业农村局监督</w:t>
      </w:r>
      <w:r>
        <w:rPr>
          <w:rFonts w:hint="default"/>
          <w:color w:val="auto"/>
          <w:highlight w:val="none"/>
          <w:lang w:val="en-US" w:eastAsia="zh-CN"/>
        </w:rPr>
        <w:t>管理职责履行不到位</w:t>
      </w:r>
      <w:r>
        <w:rPr>
          <w:rFonts w:hint="default"/>
          <w:color w:val="auto"/>
          <w:highlight w:val="none"/>
        </w:rPr>
        <w:t>。</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108" w:name="_Toc13947"/>
      <w:bookmarkStart w:id="109" w:name="_Toc8112"/>
      <w:bookmarkStart w:id="110" w:name="_Toc28465"/>
      <w:bookmarkStart w:id="111" w:name="_Toc15177"/>
      <w:bookmarkStart w:id="112" w:name="_Toc5546"/>
      <w:r>
        <w:rPr>
          <w:rFonts w:hint="default"/>
          <w:b/>
          <w:bCs/>
          <w:color w:val="auto"/>
          <w:sz w:val="24"/>
          <w:szCs w:val="28"/>
          <w:highlight w:val="none"/>
          <w:lang w:val="en-US" w:eastAsia="zh-CN"/>
        </w:rPr>
        <w:t>七、有关建议</w:t>
      </w:r>
      <w:bookmarkEnd w:id="108"/>
      <w:bookmarkEnd w:id="109"/>
      <w:bookmarkEnd w:id="110"/>
      <w:bookmarkEnd w:id="111"/>
      <w:bookmarkEnd w:id="112"/>
    </w:p>
    <w:p>
      <w:pPr>
        <w:pageBreakBefore w:val="0"/>
        <w:kinsoku/>
        <w:wordWrap/>
        <w:overflowPunct/>
        <w:topLinePunct w:val="0"/>
        <w:autoSpaceDE/>
        <w:autoSpaceDN/>
        <w:bidi w:val="0"/>
        <w:spacing w:line="360" w:lineRule="exact"/>
        <w:ind w:firstLine="420"/>
        <w:rPr>
          <w:color w:val="auto"/>
          <w:highlight w:val="none"/>
        </w:rPr>
      </w:pPr>
      <w:bookmarkStart w:id="113" w:name="_Toc32445"/>
      <w:r>
        <w:rPr>
          <w:rFonts w:hint="default"/>
          <w:color w:val="auto"/>
          <w:highlight w:val="none"/>
        </w:rPr>
        <w:t>建议项目实施单位严格落实</w:t>
      </w:r>
      <w:r>
        <w:rPr>
          <w:rFonts w:hint="default"/>
          <w:color w:val="auto"/>
          <w:highlight w:val="none"/>
          <w:lang w:val="en-US" w:eastAsia="zh-CN"/>
        </w:rPr>
        <w:t>项目补助程序，结合当地实际，</w:t>
      </w:r>
      <w:r>
        <w:rPr>
          <w:rFonts w:hint="default"/>
          <w:color w:val="auto"/>
          <w:highlight w:val="none"/>
        </w:rPr>
        <w:t>完善项目</w:t>
      </w:r>
      <w:r>
        <w:rPr>
          <w:rFonts w:hint="default"/>
          <w:color w:val="auto"/>
          <w:highlight w:val="none"/>
          <w:lang w:val="en-US" w:eastAsia="zh-CN"/>
        </w:rPr>
        <w:t>补助资金发放流程</w:t>
      </w:r>
      <w:r>
        <w:rPr>
          <w:rFonts w:hint="default"/>
          <w:color w:val="auto"/>
          <w:highlight w:val="none"/>
        </w:rPr>
        <w:t>，确保政策补助实施程序规范。建议项目实施单位和行业主管部门加强对补助对象认定、资金拨付、后续跟踪监测等关键环节监管，做好项目后期</w:t>
      </w:r>
      <w:r>
        <w:rPr>
          <w:rFonts w:hint="default"/>
          <w:color w:val="auto"/>
          <w:highlight w:val="none"/>
          <w:lang w:val="en-US" w:eastAsia="zh-CN"/>
        </w:rPr>
        <w:t>工作、</w:t>
      </w:r>
      <w:r>
        <w:rPr>
          <w:rFonts w:hint="default"/>
          <w:color w:val="auto"/>
          <w:highlight w:val="none"/>
        </w:rPr>
        <w:t>效益跟踪监测</w:t>
      </w:r>
      <w:r>
        <w:rPr>
          <w:rFonts w:hint="default"/>
          <w:color w:val="auto"/>
          <w:highlight w:val="none"/>
          <w:lang w:eastAsia="zh-CN"/>
        </w:rPr>
        <w:t>，</w:t>
      </w:r>
      <w:r>
        <w:rPr>
          <w:rFonts w:hint="default"/>
          <w:color w:val="auto"/>
          <w:highlight w:val="none"/>
          <w:lang w:val="en-US" w:eastAsia="zh-CN"/>
        </w:rPr>
        <w:t>压实主管单位监督职责，及时督促完成相关系统录入工作</w:t>
      </w:r>
      <w:r>
        <w:rPr>
          <w:rFonts w:hint="default"/>
          <w:color w:val="auto"/>
          <w:highlight w:val="none"/>
        </w:rPr>
        <w:t>，</w:t>
      </w:r>
      <w:r>
        <w:rPr>
          <w:rFonts w:hint="default"/>
          <w:color w:val="auto"/>
          <w:highlight w:val="none"/>
          <w:lang w:val="en-US" w:eastAsia="zh-CN"/>
        </w:rPr>
        <w:t>完善农业项目数据，</w:t>
      </w:r>
      <w:r>
        <w:rPr>
          <w:rFonts w:hint="default"/>
          <w:color w:val="auto"/>
          <w:highlight w:val="none"/>
        </w:rPr>
        <w:t>充分掌握补助政策的实施效益并做好资料归档，作为今后同类型项目实施的重要参考依据。</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114" w:name="_Toc25344"/>
      <w:bookmarkStart w:id="115" w:name="_Toc1681"/>
      <w:r>
        <w:rPr>
          <w:rFonts w:hint="default"/>
          <w:b/>
          <w:bCs/>
          <w:color w:val="auto"/>
          <w:sz w:val="24"/>
          <w:szCs w:val="28"/>
          <w:highlight w:val="none"/>
          <w:lang w:val="en-US" w:eastAsia="zh-CN"/>
        </w:rPr>
        <w:t>八、其他需要说明的问题</w:t>
      </w:r>
      <w:bookmarkEnd w:id="113"/>
      <w:bookmarkEnd w:id="114"/>
      <w:bookmarkEnd w:id="115"/>
    </w:p>
    <w:p>
      <w:pPr>
        <w:pageBreakBefore w:val="0"/>
        <w:kinsoku/>
        <w:wordWrap/>
        <w:overflowPunct/>
        <w:topLinePunct w:val="0"/>
        <w:autoSpaceDE/>
        <w:autoSpaceDN/>
        <w:bidi w:val="0"/>
        <w:spacing w:line="360" w:lineRule="exact"/>
        <w:ind w:firstLine="560"/>
        <w:rPr>
          <w:rFonts w:hint="default"/>
          <w:color w:val="auto"/>
          <w:highlight w:val="none"/>
          <w:lang w:val="en-US" w:eastAsia="zh-CN"/>
        </w:rPr>
      </w:pPr>
      <w:r>
        <w:rPr>
          <w:rFonts w:hint="default" w:cs="Times New Roman"/>
          <w:color w:val="auto"/>
          <w:highlight w:val="none"/>
          <w:lang w:val="en-US" w:eastAsia="zh-CN"/>
        </w:rPr>
        <w:t>该项目</w:t>
      </w:r>
      <w:r>
        <w:rPr>
          <w:rFonts w:hint="default" w:ascii="Times New Roman" w:hAnsi="Times New Roman" w:cs="Times New Roman"/>
          <w:color w:val="auto"/>
          <w:highlight w:val="none"/>
          <w:lang w:val="en-US" w:eastAsia="zh-CN"/>
        </w:rPr>
        <w:t>的</w:t>
      </w:r>
      <w:r>
        <w:rPr>
          <w:rFonts w:hint="default" w:cs="Times New Roman"/>
          <w:color w:val="auto"/>
          <w:highlight w:val="none"/>
          <w:lang w:val="en-US" w:eastAsia="zh-CN"/>
        </w:rPr>
        <w:t>绩效评价结论</w:t>
      </w:r>
      <w:r>
        <w:rPr>
          <w:rFonts w:hint="default" w:ascii="Times New Roman" w:hAnsi="Times New Roman" w:cs="Times New Roman"/>
          <w:color w:val="auto"/>
          <w:highlight w:val="none"/>
          <w:lang w:val="en-US" w:eastAsia="zh-CN"/>
        </w:rPr>
        <w:t>可靠性基于相关部门和项目单位提供项目资料的全面性</w:t>
      </w:r>
      <w:r>
        <w:rPr>
          <w:rFonts w:hint="default" w:cs="Times New Roman"/>
          <w:color w:val="auto"/>
          <w:highlight w:val="none"/>
          <w:lang w:val="en-US" w:eastAsia="zh-CN"/>
        </w:rPr>
        <w:t>、真实性</w:t>
      </w:r>
      <w:r>
        <w:rPr>
          <w:rFonts w:hint="default" w:ascii="Times New Roman" w:hAnsi="Times New Roman" w:cs="Times New Roman"/>
          <w:color w:val="auto"/>
          <w:highlight w:val="none"/>
          <w:lang w:val="en-US" w:eastAsia="zh-CN"/>
        </w:rPr>
        <w:t>和准确性，</w:t>
      </w:r>
      <w:r>
        <w:rPr>
          <w:rFonts w:hint="default" w:cs="Times New Roman"/>
          <w:color w:val="auto"/>
          <w:highlight w:val="none"/>
          <w:lang w:val="en-US" w:eastAsia="zh-CN"/>
        </w:rPr>
        <w:t>绩效评价组</w:t>
      </w:r>
      <w:r>
        <w:rPr>
          <w:rFonts w:hint="default" w:ascii="Times New Roman" w:hAnsi="Times New Roman" w:cs="Times New Roman"/>
          <w:color w:val="auto"/>
          <w:highlight w:val="none"/>
          <w:lang w:val="en-US" w:eastAsia="zh-CN"/>
        </w:rPr>
        <w:t>尽可能地收集更为全面、有效、准确的文件和数据，但由于受客观因素的限制，只能在相关部门和单位提供的现有资料的基础上核实、分析</w:t>
      </w:r>
      <w:r>
        <w:rPr>
          <w:rFonts w:hint="default" w:cs="Times New Roman"/>
          <w:color w:val="auto"/>
          <w:highlight w:val="none"/>
          <w:lang w:val="en-US" w:eastAsia="zh-CN"/>
        </w:rPr>
        <w:t>，作出绩效评价结论</w:t>
      </w:r>
      <w:r>
        <w:rPr>
          <w:rFonts w:hint="default" w:ascii="Times New Roman" w:hAnsi="Times New Roman" w:cs="Times New Roman"/>
          <w:color w:val="auto"/>
          <w:highlight w:val="none"/>
          <w:lang w:val="en-US" w:eastAsia="zh-CN"/>
        </w:rPr>
        <w:t>。</w:t>
      </w:r>
      <w:r>
        <w:rPr>
          <w:rFonts w:hint="default" w:cs="Times New Roman"/>
          <w:color w:val="auto"/>
          <w:highlight w:val="none"/>
          <w:lang w:val="en-US" w:eastAsia="zh-CN"/>
        </w:rPr>
        <w:t>绩效</w:t>
      </w:r>
      <w:r>
        <w:rPr>
          <w:rFonts w:hint="default"/>
          <w:color w:val="auto"/>
          <w:highlight w:val="none"/>
          <w:lang w:val="en-US" w:eastAsia="zh-CN"/>
        </w:rPr>
        <w:t>评价人员在评价过程中遵循独立、客观、公正原则，恪守职业道德规范，尽可能地确保数据与结论的真实性与可靠性。</w:t>
      </w:r>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116" w:name="_Toc21982"/>
      <w:bookmarkStart w:id="117" w:name="_Toc21281"/>
      <w:r>
        <w:rPr>
          <w:rFonts w:hint="eastAsia"/>
          <w:b/>
          <w:bCs/>
          <w:color w:val="auto"/>
          <w:sz w:val="24"/>
          <w:szCs w:val="28"/>
          <w:highlight w:val="none"/>
          <w:lang w:val="en-US" w:eastAsia="zh-CN"/>
        </w:rPr>
        <w:t>九、绩效评价结果应用建议</w:t>
      </w:r>
      <w:bookmarkEnd w:id="116"/>
      <w:bookmarkEnd w:id="117"/>
    </w:p>
    <w:p>
      <w:pPr>
        <w:pageBreakBefore w:val="0"/>
        <w:kinsoku/>
        <w:wordWrap/>
        <w:overflowPunct/>
        <w:topLinePunct w:val="0"/>
        <w:autoSpaceDE/>
        <w:autoSpaceDN/>
        <w:bidi w:val="0"/>
        <w:spacing w:line="360" w:lineRule="exact"/>
        <w:ind w:firstLine="482"/>
        <w:rPr>
          <w:rFonts w:hint="default"/>
          <w:b/>
          <w:bCs/>
          <w:color w:val="auto"/>
          <w:sz w:val="24"/>
          <w:szCs w:val="28"/>
          <w:highlight w:val="none"/>
          <w:lang w:val="en-US" w:eastAsia="zh-CN"/>
        </w:rPr>
      </w:pPr>
      <w:bookmarkStart w:id="118" w:name="_Toc601"/>
      <w:bookmarkStart w:id="119" w:name="_Toc13336"/>
      <w:bookmarkStart w:id="120" w:name="_Toc18100"/>
      <w:bookmarkStart w:id="121" w:name="_Toc5743"/>
      <w:bookmarkStart w:id="122" w:name="_Toc28317"/>
      <w:bookmarkStart w:id="123" w:name="_Toc3841"/>
      <w:bookmarkStart w:id="124" w:name="_Toc11775"/>
      <w:bookmarkStart w:id="125" w:name="_Toc330"/>
      <w:r>
        <w:rPr>
          <w:rFonts w:hint="eastAsia"/>
          <w:b/>
          <w:bCs/>
          <w:color w:val="auto"/>
          <w:sz w:val="24"/>
          <w:szCs w:val="28"/>
          <w:highlight w:val="none"/>
          <w:lang w:val="en-US" w:eastAsia="zh-CN"/>
        </w:rPr>
        <w:t>（一）绩效结果挂钩次年预算资金安排</w:t>
      </w:r>
      <w:bookmarkEnd w:id="118"/>
      <w:bookmarkEnd w:id="119"/>
      <w:bookmarkEnd w:id="120"/>
      <w:bookmarkEnd w:id="121"/>
      <w:bookmarkEnd w:id="122"/>
      <w:bookmarkEnd w:id="123"/>
    </w:p>
    <w:p>
      <w:pPr>
        <w:pageBreakBefore w:val="0"/>
        <w:kinsoku/>
        <w:wordWrap/>
        <w:overflowPunct/>
        <w:topLinePunct w:val="0"/>
        <w:autoSpaceDE/>
        <w:autoSpaceDN/>
        <w:bidi w:val="0"/>
        <w:adjustRightInd w:val="0"/>
        <w:snapToGrid w:val="0"/>
        <w:spacing w:line="360" w:lineRule="exact"/>
        <w:ind w:firstLine="420"/>
        <w:rPr>
          <w:rFonts w:hint="default" w:ascii="Times New Roman" w:hAnsi="Times New Roman"/>
          <w:color w:val="auto"/>
          <w:sz w:val="21"/>
          <w:szCs w:val="24"/>
          <w:highlight w:val="none"/>
        </w:rPr>
      </w:pPr>
      <w:r>
        <w:rPr>
          <w:rFonts w:hint="eastAsia" w:ascii="Times New Roman" w:hAnsi="Times New Roman"/>
          <w:color w:val="auto"/>
          <w:sz w:val="21"/>
          <w:szCs w:val="24"/>
          <w:highlight w:val="none"/>
        </w:rPr>
        <w:t>为有效提高财政预算资金的经济性、效率性、效益性和公平性，建议将本次绩效评价结果作为预算单位次年预算编制的重要依据，并优化支出结构、完善相关办法、改进预算管理。对绩效评价结果为“优”和“良”的项目，建议根据政策制度，结合</w:t>
      </w:r>
      <w:r>
        <w:rPr>
          <w:rFonts w:hint="eastAsia"/>
          <w:color w:val="auto"/>
          <w:sz w:val="21"/>
          <w:szCs w:val="24"/>
          <w:highlight w:val="none"/>
          <w:lang w:val="en-US" w:eastAsia="zh-CN"/>
        </w:rPr>
        <w:t>巴楚县</w:t>
      </w:r>
      <w:r>
        <w:rPr>
          <w:rFonts w:hint="eastAsia" w:ascii="Times New Roman" w:hAnsi="Times New Roman"/>
          <w:color w:val="auto"/>
          <w:sz w:val="21"/>
          <w:szCs w:val="24"/>
          <w:highlight w:val="none"/>
        </w:rPr>
        <w:t>委、</w:t>
      </w:r>
      <w:r>
        <w:rPr>
          <w:rFonts w:hint="eastAsia"/>
          <w:color w:val="auto"/>
          <w:sz w:val="21"/>
          <w:szCs w:val="24"/>
          <w:highlight w:val="none"/>
          <w:lang w:val="en-US" w:eastAsia="zh-CN"/>
        </w:rPr>
        <w:t>巴楚县</w:t>
      </w:r>
      <w:r>
        <w:rPr>
          <w:rFonts w:hint="eastAsia" w:ascii="Times New Roman" w:hAnsi="Times New Roman"/>
          <w:color w:val="auto"/>
          <w:sz w:val="21"/>
          <w:szCs w:val="24"/>
          <w:highlight w:val="none"/>
        </w:rPr>
        <w:t>人民政府工作安排以及本级财力情况等因素，原则上优先予以保障。</w:t>
      </w:r>
    </w:p>
    <w:p>
      <w:pPr>
        <w:pageBreakBefore w:val="0"/>
        <w:kinsoku/>
        <w:wordWrap/>
        <w:overflowPunct/>
        <w:topLinePunct w:val="0"/>
        <w:autoSpaceDE/>
        <w:autoSpaceDN/>
        <w:bidi w:val="0"/>
        <w:spacing w:line="360" w:lineRule="exact"/>
        <w:ind w:firstLine="482"/>
        <w:rPr>
          <w:rFonts w:hint="eastAsia"/>
          <w:b/>
          <w:bCs/>
          <w:color w:val="auto"/>
          <w:sz w:val="24"/>
          <w:szCs w:val="28"/>
          <w:highlight w:val="none"/>
          <w:lang w:val="en-US" w:eastAsia="zh-CN"/>
        </w:rPr>
      </w:pPr>
      <w:bookmarkStart w:id="126" w:name="_Toc26104"/>
      <w:bookmarkStart w:id="127" w:name="_Toc26610"/>
      <w:bookmarkStart w:id="128" w:name="_Toc32515"/>
      <w:bookmarkStart w:id="129" w:name="_Toc10697"/>
      <w:bookmarkStart w:id="130" w:name="_Toc2799"/>
      <w:r>
        <w:rPr>
          <w:rFonts w:hint="eastAsia"/>
          <w:b/>
          <w:bCs/>
          <w:color w:val="auto"/>
          <w:sz w:val="24"/>
          <w:szCs w:val="28"/>
          <w:highlight w:val="none"/>
          <w:lang w:val="en-US" w:eastAsia="zh-CN"/>
        </w:rPr>
        <w:t>（二）绩效结果挂钩整改措施</w:t>
      </w:r>
      <w:bookmarkEnd w:id="124"/>
      <w:bookmarkEnd w:id="125"/>
      <w:bookmarkEnd w:id="126"/>
      <w:bookmarkEnd w:id="127"/>
      <w:bookmarkEnd w:id="128"/>
      <w:bookmarkEnd w:id="129"/>
      <w:bookmarkEnd w:id="130"/>
    </w:p>
    <w:p>
      <w:pPr>
        <w:pageBreakBefore w:val="0"/>
        <w:kinsoku/>
        <w:wordWrap/>
        <w:overflowPunct/>
        <w:topLinePunct w:val="0"/>
        <w:autoSpaceDE/>
        <w:autoSpaceDN/>
        <w:bidi w:val="0"/>
        <w:adjustRightInd w:val="0"/>
        <w:snapToGrid w:val="0"/>
        <w:spacing w:line="360" w:lineRule="exact"/>
        <w:ind w:firstLine="420"/>
        <w:rPr>
          <w:rFonts w:hint="default" w:ascii="Times New Roman" w:hAnsi="Times New Roman"/>
          <w:color w:val="auto"/>
          <w:sz w:val="21"/>
          <w:szCs w:val="24"/>
          <w:highlight w:val="none"/>
        </w:rPr>
      </w:pPr>
      <w:r>
        <w:rPr>
          <w:rFonts w:hint="eastAsia" w:ascii="Times New Roman" w:hAnsi="Times New Roman"/>
          <w:color w:val="auto"/>
          <w:sz w:val="21"/>
          <w:szCs w:val="24"/>
          <w:highlight w:val="none"/>
        </w:rPr>
        <w:t>根据本次绩效评价报告中所反馈的问题和建议，由项目实施单位及时研究制定整改措施，积极落实整改要求，切实改进资金管理和项目管理，并在规定的时间内，将整改情况向</w:t>
      </w:r>
      <w:r>
        <w:rPr>
          <w:rFonts w:hint="eastAsia"/>
          <w:color w:val="auto"/>
          <w:sz w:val="21"/>
          <w:szCs w:val="24"/>
          <w:highlight w:val="none"/>
          <w:lang w:val="en-US" w:eastAsia="zh-CN"/>
        </w:rPr>
        <w:t>巴楚县</w:t>
      </w:r>
      <w:r>
        <w:rPr>
          <w:rFonts w:hint="eastAsia" w:ascii="Times New Roman" w:hAnsi="Times New Roman"/>
          <w:color w:val="auto"/>
          <w:sz w:val="21"/>
          <w:szCs w:val="24"/>
          <w:highlight w:val="none"/>
        </w:rPr>
        <w:t>财政局行文报告，并附《绩效评价结果整改报告》。</w:t>
      </w:r>
    </w:p>
    <w:p>
      <w:pPr>
        <w:pageBreakBefore w:val="0"/>
        <w:kinsoku/>
        <w:wordWrap/>
        <w:overflowPunct/>
        <w:topLinePunct w:val="0"/>
        <w:autoSpaceDE/>
        <w:autoSpaceDN/>
        <w:bidi w:val="0"/>
        <w:spacing w:line="360" w:lineRule="exact"/>
        <w:rPr>
          <w:rFonts w:hint="eastAsia" w:ascii="Times New Roman" w:hAnsi="Times New Roman" w:cs="Times New Roman" w:eastAsiaTheme="minorEastAsia"/>
          <w:b/>
          <w:bCs/>
          <w:color w:val="auto"/>
          <w:kern w:val="0"/>
          <w:sz w:val="24"/>
          <w:szCs w:val="32"/>
          <w:highlight w:val="none"/>
          <w:lang w:val="en-US" w:eastAsia="zh-CN" w:bidi="ar-SA"/>
        </w:rPr>
      </w:pPr>
      <w:bookmarkStart w:id="131" w:name="_Toc21674"/>
      <w:bookmarkStart w:id="132" w:name="_Toc15775"/>
      <w:bookmarkStart w:id="133" w:name="_Toc20009"/>
      <w:bookmarkStart w:id="134" w:name="_Toc5593"/>
      <w:bookmarkStart w:id="135" w:name="_Toc801"/>
      <w:bookmarkStart w:id="136" w:name="_Toc30884"/>
      <w:bookmarkStart w:id="137" w:name="_Toc25946"/>
      <w:r>
        <w:rPr>
          <w:rFonts w:hint="eastAsia" w:ascii="Times New Roman" w:hAnsi="Times New Roman" w:cs="Times New Roman" w:eastAsiaTheme="minorEastAsia"/>
          <w:b/>
          <w:bCs/>
          <w:color w:val="auto"/>
          <w:kern w:val="0"/>
          <w:sz w:val="24"/>
          <w:szCs w:val="32"/>
          <w:highlight w:val="none"/>
          <w:lang w:val="en-US" w:eastAsia="zh-CN" w:bidi="ar-SA"/>
        </w:rPr>
        <w:t>（三）绩效结果挂钩报告公开</w:t>
      </w:r>
      <w:bookmarkEnd w:id="131"/>
      <w:bookmarkEnd w:id="132"/>
      <w:bookmarkEnd w:id="133"/>
      <w:bookmarkEnd w:id="134"/>
      <w:bookmarkEnd w:id="135"/>
      <w:bookmarkEnd w:id="136"/>
      <w:bookmarkEnd w:id="137"/>
    </w:p>
    <w:p>
      <w:pPr>
        <w:pageBreakBefore w:val="0"/>
        <w:kinsoku/>
        <w:wordWrap/>
        <w:overflowPunct/>
        <w:topLinePunct w:val="0"/>
        <w:autoSpaceDE/>
        <w:autoSpaceDN/>
        <w:bidi w:val="0"/>
        <w:spacing w:line="360" w:lineRule="exact"/>
        <w:ind w:firstLine="560"/>
        <w:rPr>
          <w:rFonts w:hint="eastAsia" w:ascii="Times New Roman" w:hAnsi="Times New Roman"/>
          <w:color w:val="auto"/>
          <w:sz w:val="21"/>
          <w:szCs w:val="24"/>
          <w:highlight w:val="none"/>
        </w:rPr>
      </w:pPr>
      <w:r>
        <w:rPr>
          <w:rFonts w:hint="eastAsia" w:ascii="Times New Roman" w:hAnsi="Times New Roman"/>
          <w:color w:val="auto"/>
          <w:sz w:val="21"/>
          <w:szCs w:val="24"/>
          <w:highlight w:val="none"/>
        </w:rPr>
        <w:t>积极推进评价结果和评价报告等绩效信息的公开。按照政府信息公开有关规定，由</w:t>
      </w:r>
      <w:r>
        <w:rPr>
          <w:rFonts w:hint="eastAsia"/>
          <w:color w:val="auto"/>
          <w:sz w:val="21"/>
          <w:szCs w:val="24"/>
          <w:highlight w:val="none"/>
          <w:lang w:val="en-US" w:eastAsia="zh-CN"/>
        </w:rPr>
        <w:t>巴楚县</w:t>
      </w:r>
      <w:r>
        <w:rPr>
          <w:rFonts w:hint="eastAsia" w:ascii="Times New Roman" w:hAnsi="Times New Roman"/>
          <w:color w:val="auto"/>
          <w:sz w:val="21"/>
          <w:szCs w:val="24"/>
          <w:highlight w:val="none"/>
        </w:rPr>
        <w:t>财政局将本次绩效评价的结果信息进行公开，加强社会和舆论监督，提高财政资金使用透明度。</w:t>
      </w:r>
    </w:p>
    <w:p>
      <w:pPr>
        <w:pageBreakBefore w:val="0"/>
        <w:kinsoku/>
        <w:wordWrap/>
        <w:overflowPunct/>
        <w:topLinePunct w:val="0"/>
        <w:autoSpaceDE/>
        <w:autoSpaceDN/>
        <w:bidi w:val="0"/>
        <w:spacing w:line="360" w:lineRule="exact"/>
        <w:ind w:firstLine="560"/>
        <w:rPr>
          <w:rFonts w:hint="default"/>
          <w:color w:val="auto"/>
          <w:highlight w:val="none"/>
          <w:lang w:val="en-US" w:eastAsia="zh-CN"/>
        </w:rPr>
      </w:pPr>
    </w:p>
    <w:p>
      <w:pPr>
        <w:pageBreakBefore w:val="0"/>
        <w:kinsoku/>
        <w:wordWrap/>
        <w:overflowPunct/>
        <w:topLinePunct w:val="0"/>
        <w:autoSpaceDE/>
        <w:autoSpaceDN/>
        <w:bidi w:val="0"/>
        <w:spacing w:line="360" w:lineRule="exact"/>
        <w:ind w:firstLine="560"/>
        <w:rPr>
          <w:rFonts w:hint="default"/>
          <w:color w:val="auto"/>
          <w:highlight w:val="none"/>
          <w:lang w:val="en-US" w:eastAsia="zh-CN"/>
        </w:rPr>
      </w:pPr>
    </w:p>
    <w:p>
      <w:pPr>
        <w:pageBreakBefore w:val="0"/>
        <w:kinsoku/>
        <w:wordWrap/>
        <w:overflowPunct/>
        <w:topLinePunct w:val="0"/>
        <w:autoSpaceDE/>
        <w:autoSpaceDN/>
        <w:bidi w:val="0"/>
        <w:spacing w:line="360" w:lineRule="exact"/>
        <w:ind w:firstLine="560"/>
        <w:rPr>
          <w:rFonts w:hint="default"/>
          <w:color w:val="auto"/>
          <w:highlight w:val="none"/>
          <w:lang w:val="en-US" w:eastAsia="zh-CN"/>
        </w:rPr>
      </w:pPr>
    </w:p>
    <w:p>
      <w:pPr>
        <w:pageBreakBefore w:val="0"/>
        <w:kinsoku/>
        <w:wordWrap/>
        <w:overflowPunct/>
        <w:topLinePunct w:val="0"/>
        <w:autoSpaceDE/>
        <w:autoSpaceDN/>
        <w:bidi w:val="0"/>
        <w:spacing w:line="360" w:lineRule="exact"/>
        <w:ind w:firstLine="560"/>
        <w:rPr>
          <w:rFonts w:hint="default"/>
          <w:color w:val="auto"/>
          <w:highlight w:val="none"/>
          <w:lang w:val="en-US" w:eastAsia="zh-CN"/>
        </w:rPr>
      </w:pPr>
    </w:p>
    <w:tbl>
      <w:tblPr>
        <w:tblStyle w:val="1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24"/>
        <w:gridCol w:w="4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pacing w:line="360" w:lineRule="exact"/>
              <w:ind w:firstLine="420"/>
              <w:rPr>
                <w:color w:val="auto"/>
                <w:highlight w:val="none"/>
              </w:rPr>
            </w:pPr>
          </w:p>
        </w:tc>
        <w:tc>
          <w:tcPr>
            <w:tcW w:w="4798" w:type="dxa"/>
            <w:tcBorders>
              <w:top w:val="nil"/>
              <w:left w:val="nil"/>
              <w:bottom w:val="nil"/>
              <w:right w:val="nil"/>
            </w:tcBorders>
            <w:vAlign w:val="center"/>
          </w:tcPr>
          <w:p>
            <w:pPr>
              <w:pageBreakBefore w:val="0"/>
              <w:kinsoku/>
              <w:wordWrap/>
              <w:overflowPunct/>
              <w:topLinePunct w:val="0"/>
              <w:autoSpaceDE/>
              <w:autoSpaceDN/>
              <w:bidi w:val="0"/>
              <w:spacing w:line="360" w:lineRule="exact"/>
              <w:ind w:firstLine="0" w:firstLineChars="0"/>
              <w:rPr>
                <w:color w:val="auto"/>
                <w:highlight w:val="none"/>
              </w:rPr>
            </w:pPr>
            <w:r>
              <w:rPr>
                <w:rFonts w:eastAsia="黑体"/>
                <w:color w:val="auto"/>
                <w:highlight w:val="none"/>
              </w:rPr>
              <w:t>评价机构：新疆驰远天合有限责任会计师事务所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pacing w:line="360" w:lineRule="exact"/>
              <w:ind w:firstLine="420"/>
              <w:rPr>
                <w:color w:val="auto"/>
                <w:highlight w:val="none"/>
              </w:rPr>
            </w:pPr>
          </w:p>
        </w:tc>
        <w:tc>
          <w:tcPr>
            <w:tcW w:w="4798" w:type="dxa"/>
            <w:tcBorders>
              <w:top w:val="nil"/>
              <w:left w:val="nil"/>
              <w:bottom w:val="nil"/>
              <w:right w:val="nil"/>
            </w:tcBorders>
            <w:vAlign w:val="center"/>
          </w:tcPr>
          <w:p>
            <w:pPr>
              <w:pageBreakBefore w:val="0"/>
              <w:kinsoku/>
              <w:wordWrap/>
              <w:overflowPunct/>
              <w:topLinePunct w:val="0"/>
              <w:autoSpaceDE/>
              <w:autoSpaceDN/>
              <w:bidi w:val="0"/>
              <w:spacing w:line="360" w:lineRule="exact"/>
              <w:ind w:firstLine="0" w:firstLineChars="0"/>
              <w:rPr>
                <w:color w:val="auto"/>
                <w:highlight w:val="none"/>
              </w:rPr>
            </w:pPr>
            <w:r>
              <w:rPr>
                <w:rFonts w:eastAsia="黑体"/>
                <w:color w:val="auto"/>
                <w:highlight w:val="none"/>
              </w:rPr>
              <w:t>评价时间：202</w:t>
            </w:r>
            <w:r>
              <w:rPr>
                <w:rFonts w:hint="default" w:eastAsia="黑体"/>
                <w:color w:val="auto"/>
                <w:highlight w:val="none"/>
                <w:lang w:val="en-US" w:eastAsia="zh-CN"/>
              </w:rPr>
              <w:t>4</w:t>
            </w:r>
            <w:r>
              <w:rPr>
                <w:rFonts w:eastAsia="黑体"/>
                <w:color w:val="auto"/>
                <w:highlight w:val="none"/>
              </w:rPr>
              <w:t>年</w:t>
            </w:r>
            <w:r>
              <w:rPr>
                <w:rFonts w:hint="default" w:eastAsia="黑体"/>
                <w:color w:val="auto"/>
                <w:highlight w:val="none"/>
                <w:lang w:val="en-US" w:eastAsia="zh-CN"/>
              </w:rPr>
              <w:t>7</w:t>
            </w:r>
            <w:r>
              <w:rPr>
                <w:rFonts w:hint="default" w:eastAsia="黑体"/>
                <w:color w:val="auto"/>
                <w:highlight w:val="none"/>
              </w:rPr>
              <w:t>月</w:t>
            </w:r>
          </w:p>
        </w:tc>
      </w:tr>
    </w:tbl>
    <w:p>
      <w:pPr>
        <w:pageBreakBefore w:val="0"/>
        <w:kinsoku/>
        <w:wordWrap/>
        <w:overflowPunct/>
        <w:topLinePunct w:val="0"/>
        <w:autoSpaceDE/>
        <w:autoSpaceDN/>
        <w:bidi w:val="0"/>
        <w:spacing w:line="360" w:lineRule="exact"/>
        <w:ind w:firstLine="3150" w:firstLineChars="1500"/>
        <w:rPr>
          <w:rFonts w:ascii="Times New Roman" w:hAnsi="Times New Roman" w:eastAsia="黑体" w:cs="Times New Roman"/>
          <w:color w:val="auto"/>
          <w:highlight w:val="none"/>
        </w:rPr>
        <w:sectPr>
          <w:footerReference r:id="rId11" w:type="default"/>
          <w:pgSz w:w="11906" w:h="16838"/>
          <w:pgMar w:top="1440" w:right="1800" w:bottom="1440" w:left="1800" w:header="851" w:footer="907" w:gutter="0"/>
          <w:pgNumType w:start="1"/>
          <w:cols w:space="425" w:num="1"/>
          <w:docGrid w:type="lines" w:linePitch="312" w:charSpace="0"/>
        </w:sectPr>
      </w:pPr>
    </w:p>
    <w:p>
      <w:pPr>
        <w:pStyle w:val="2"/>
        <w:pageBreakBefore w:val="0"/>
        <w:kinsoku/>
        <w:wordWrap/>
        <w:overflowPunct/>
        <w:topLinePunct w:val="0"/>
        <w:autoSpaceDE/>
        <w:autoSpaceDN/>
        <w:bidi w:val="0"/>
        <w:spacing w:line="360" w:lineRule="exact"/>
        <w:ind w:firstLine="0" w:firstLineChars="0"/>
        <w:rPr>
          <w:color w:val="auto"/>
          <w:highlight w:val="none"/>
        </w:rPr>
      </w:pPr>
      <w:bookmarkStart w:id="138" w:name="_Toc28422"/>
      <w:bookmarkStart w:id="139" w:name="_Toc13017"/>
      <w:r>
        <w:rPr>
          <w:color w:val="auto"/>
          <w:highlight w:val="none"/>
        </w:rPr>
        <w:t>附件1：</w:t>
      </w:r>
      <w:bookmarkEnd w:id="138"/>
      <w:bookmarkEnd w:id="139"/>
    </w:p>
    <w:p>
      <w:pPr>
        <w:pageBreakBefore w:val="0"/>
        <w:kinsoku/>
        <w:wordWrap/>
        <w:overflowPunct/>
        <w:topLinePunct w:val="0"/>
        <w:autoSpaceDE/>
        <w:autoSpaceDN/>
        <w:bidi w:val="0"/>
        <w:spacing w:line="360" w:lineRule="exact"/>
        <w:ind w:firstLine="422"/>
        <w:jc w:val="center"/>
        <w:rPr>
          <w:rFonts w:eastAsia="宋体"/>
          <w:b/>
          <w:bCs/>
          <w:color w:val="auto"/>
          <w:highlight w:val="none"/>
        </w:rPr>
      </w:pPr>
      <w:r>
        <w:rPr>
          <w:rFonts w:eastAsia="宋体"/>
          <w:b/>
          <w:bCs/>
          <w:color w:val="auto"/>
          <w:highlight w:val="none"/>
        </w:rPr>
        <w:t>巴楚县2023年耕地地力保护补贴项目绩效评价指标体系及综合评分表</w:t>
      </w:r>
    </w:p>
    <w:tbl>
      <w:tblPr>
        <w:tblStyle w:val="18"/>
        <w:tblW w:w="14052" w:type="dxa"/>
        <w:tblInd w:w="0" w:type="dxa"/>
        <w:tblLayout w:type="fixed"/>
        <w:tblCellMar>
          <w:top w:w="0" w:type="dxa"/>
          <w:left w:w="51" w:type="dxa"/>
          <w:bottom w:w="0" w:type="dxa"/>
          <w:right w:w="51" w:type="dxa"/>
        </w:tblCellMar>
      </w:tblPr>
      <w:tblGrid>
        <w:gridCol w:w="637"/>
        <w:gridCol w:w="919"/>
        <w:gridCol w:w="900"/>
        <w:gridCol w:w="1704"/>
        <w:gridCol w:w="2277"/>
        <w:gridCol w:w="3793"/>
        <w:gridCol w:w="832"/>
        <w:gridCol w:w="768"/>
        <w:gridCol w:w="768"/>
        <w:gridCol w:w="675"/>
        <w:gridCol w:w="779"/>
      </w:tblGrid>
      <w:tr>
        <w:tblPrEx>
          <w:tblCellMar>
            <w:top w:w="0" w:type="dxa"/>
            <w:left w:w="51" w:type="dxa"/>
            <w:bottom w:w="0" w:type="dxa"/>
            <w:right w:w="51" w:type="dxa"/>
          </w:tblCellMar>
        </w:tblPrEx>
        <w:trPr>
          <w:trHeight w:val="261" w:hRule="atLeast"/>
          <w:tblHead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kern w:val="0"/>
                <w:sz w:val="13"/>
                <w:szCs w:val="13"/>
                <w:highlight w:val="none"/>
                <w:lang w:bidi="ar"/>
              </w:rPr>
            </w:pPr>
            <w:r>
              <w:rPr>
                <w:rFonts w:hint="default" w:ascii="Times New Roman" w:hAnsi="Times New Roman" w:eastAsia="宋体" w:cs="Times New Roman"/>
                <w:b/>
                <w:bCs/>
                <w:color w:val="auto"/>
                <w:kern w:val="0"/>
                <w:sz w:val="13"/>
                <w:szCs w:val="13"/>
                <w:highlight w:val="none"/>
                <w:lang w:bidi="ar"/>
              </w:rPr>
              <w:t>一级指标</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sz w:val="13"/>
                <w:szCs w:val="13"/>
                <w:highlight w:val="none"/>
              </w:rPr>
            </w:pPr>
            <w:r>
              <w:rPr>
                <w:rFonts w:hint="default" w:ascii="Times New Roman" w:hAnsi="Times New Roman" w:eastAsia="宋体" w:cs="Times New Roman"/>
                <w:b/>
                <w:bCs/>
                <w:color w:val="auto"/>
                <w:kern w:val="0"/>
                <w:sz w:val="13"/>
                <w:szCs w:val="13"/>
                <w:highlight w:val="none"/>
                <w:lang w:bidi="ar"/>
              </w:rPr>
              <w:t>二级指标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sz w:val="13"/>
                <w:szCs w:val="13"/>
                <w:highlight w:val="none"/>
              </w:rPr>
            </w:pPr>
            <w:r>
              <w:rPr>
                <w:rFonts w:hint="default" w:ascii="Times New Roman" w:hAnsi="Times New Roman" w:eastAsia="宋体" w:cs="Times New Roman"/>
                <w:b/>
                <w:bCs/>
                <w:color w:val="auto"/>
                <w:kern w:val="0"/>
                <w:sz w:val="13"/>
                <w:szCs w:val="13"/>
                <w:highlight w:val="none"/>
                <w:lang w:bidi="ar"/>
              </w:rPr>
              <w:t>三级指标</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sz w:val="13"/>
                <w:szCs w:val="13"/>
                <w:highlight w:val="none"/>
              </w:rPr>
            </w:pPr>
            <w:r>
              <w:rPr>
                <w:rFonts w:hint="default" w:ascii="Times New Roman" w:hAnsi="Times New Roman" w:eastAsia="宋体" w:cs="Times New Roman"/>
                <w:b/>
                <w:bCs/>
                <w:color w:val="auto"/>
                <w:kern w:val="0"/>
                <w:sz w:val="13"/>
                <w:szCs w:val="13"/>
                <w:highlight w:val="none"/>
                <w:lang w:bidi="ar"/>
              </w:rPr>
              <w:t>指标解释</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sz w:val="13"/>
                <w:szCs w:val="13"/>
                <w:highlight w:val="none"/>
              </w:rPr>
            </w:pPr>
            <w:r>
              <w:rPr>
                <w:rFonts w:hint="default" w:ascii="Times New Roman" w:hAnsi="Times New Roman" w:eastAsia="宋体" w:cs="Times New Roman"/>
                <w:b/>
                <w:bCs/>
                <w:color w:val="auto"/>
                <w:kern w:val="0"/>
                <w:sz w:val="13"/>
                <w:szCs w:val="13"/>
                <w:highlight w:val="none"/>
                <w:lang w:bidi="ar"/>
              </w:rPr>
              <w:t>评价标准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color w:val="auto"/>
                <w:kern w:val="0"/>
                <w:sz w:val="13"/>
                <w:szCs w:val="13"/>
                <w:highlight w:val="none"/>
                <w:lang w:val="en-US" w:eastAsia="zh-CN" w:bidi="ar"/>
              </w:rPr>
            </w:pPr>
            <w:r>
              <w:rPr>
                <w:rFonts w:hint="eastAsia" w:eastAsia="宋体" w:cs="Times New Roman"/>
                <w:b/>
                <w:bCs/>
                <w:color w:val="auto"/>
                <w:kern w:val="0"/>
                <w:sz w:val="13"/>
                <w:szCs w:val="13"/>
                <w:highlight w:val="none"/>
                <w:lang w:val="en-US" w:eastAsia="zh-CN" w:bidi="ar"/>
              </w:rPr>
              <w:t>评价过程</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sz w:val="13"/>
                <w:szCs w:val="13"/>
                <w:highlight w:val="none"/>
              </w:rPr>
            </w:pPr>
            <w:r>
              <w:rPr>
                <w:rFonts w:hint="default" w:ascii="Times New Roman" w:hAnsi="Times New Roman" w:eastAsia="宋体" w:cs="Times New Roman"/>
                <w:b/>
                <w:bCs/>
                <w:color w:val="auto"/>
                <w:kern w:val="0"/>
                <w:sz w:val="13"/>
                <w:szCs w:val="13"/>
                <w:highlight w:val="none"/>
                <w:lang w:bidi="ar"/>
              </w:rPr>
              <w:t>目标值</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sz w:val="13"/>
                <w:szCs w:val="13"/>
                <w:highlight w:val="none"/>
              </w:rPr>
            </w:pPr>
            <w:r>
              <w:rPr>
                <w:rFonts w:hint="default" w:ascii="Times New Roman" w:hAnsi="Times New Roman" w:eastAsia="宋体" w:cs="Times New Roman"/>
                <w:b/>
                <w:bCs/>
                <w:color w:val="auto"/>
                <w:kern w:val="0"/>
                <w:sz w:val="13"/>
                <w:szCs w:val="13"/>
                <w:highlight w:val="none"/>
                <w:lang w:bidi="ar"/>
              </w:rPr>
              <w:t>实际完成值</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b/>
                <w:bCs/>
                <w:color w:val="auto"/>
                <w:sz w:val="13"/>
                <w:szCs w:val="13"/>
                <w:highlight w:val="none"/>
                <w:lang w:eastAsia="zh-CN"/>
              </w:rPr>
            </w:pPr>
            <w:r>
              <w:rPr>
                <w:rFonts w:hint="eastAsia" w:eastAsia="宋体" w:cs="Times New Roman"/>
                <w:b/>
                <w:bCs/>
                <w:color w:val="auto"/>
                <w:kern w:val="0"/>
                <w:sz w:val="13"/>
                <w:szCs w:val="13"/>
                <w:highlight w:val="none"/>
                <w:lang w:val="en-US" w:eastAsia="zh-CN" w:bidi="ar"/>
              </w:rPr>
              <w:t>权重</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sz w:val="13"/>
                <w:szCs w:val="13"/>
                <w:highlight w:val="none"/>
              </w:rPr>
            </w:pPr>
            <w:r>
              <w:rPr>
                <w:rFonts w:hint="default" w:ascii="Times New Roman" w:hAnsi="Times New Roman" w:eastAsia="宋体" w:cs="Times New Roman"/>
                <w:b/>
                <w:bCs/>
                <w:color w:val="auto"/>
                <w:kern w:val="0"/>
                <w:sz w:val="13"/>
                <w:szCs w:val="13"/>
                <w:highlight w:val="none"/>
                <w:lang w:bidi="ar"/>
              </w:rPr>
              <w:t>指标得分</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auto"/>
                <w:sz w:val="13"/>
                <w:szCs w:val="13"/>
                <w:highlight w:val="none"/>
              </w:rPr>
            </w:pPr>
            <w:r>
              <w:rPr>
                <w:rFonts w:hint="default" w:ascii="Times New Roman" w:hAnsi="Times New Roman" w:eastAsia="宋体" w:cs="Times New Roman"/>
                <w:b/>
                <w:bCs/>
                <w:color w:val="auto"/>
                <w:kern w:val="0"/>
                <w:sz w:val="13"/>
                <w:szCs w:val="13"/>
                <w:highlight w:val="none"/>
                <w:lang w:bidi="ar"/>
              </w:rPr>
              <w:t>得分率</w:t>
            </w:r>
          </w:p>
        </w:tc>
      </w:tr>
      <w:tr>
        <w:tblPrEx>
          <w:tblCellMar>
            <w:top w:w="0" w:type="dxa"/>
            <w:left w:w="51" w:type="dxa"/>
            <w:bottom w:w="0" w:type="dxa"/>
            <w:right w:w="51" w:type="dxa"/>
          </w:tblCellMar>
        </w:tblPrEx>
        <w:trPr>
          <w:trHeight w:val="261" w:hRule="atLeast"/>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A决策（10分）　</w:t>
            </w: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A1 项目立项（3分）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A11立项依据充分性</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项目立项是否符合法律法规、相关政策、发展规划以及部门职责，用以反映和考核项目立项依据情况。</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评价要点：</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①项目立项是否符合国家法律法规、国民经济发展规划和相关政策；</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②项目立项是否符合行业发展规划和政策要求；</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③项目立项是否与部门职责范围相符，属于部门履职所需；</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④项目是否属于公共财政支持范围，是否符合中央、地方事权支出责任划分原则；</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⑤项目是否与相关部门同类项目或部门内部相关项目重复。</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以上五项中，若存在任意不符合情况，每发现一处不符扣0.5分，扣完为止。</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①该项目立项符合《关于全面推开农业“三项补贴”改革工作的通知》“提高补贴政策的指向性、精准性和实效性，鼓励农民主动保护耕地地力，实现‘藏粮于地’的战略目标”；符合《财政部 农业部关于全面推进农业“三项补贴”改革工作的通知》（财农〔2016〕26号）“切实做好农业支持保护补贴工作，支持耕地地力保护”的文件精神。项目立项符合国家法律法规、国民经济发展规划和相关政策。</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②该项目立项符合按照《财政部办公厅 农业农村部办公厅关于进一步做好耕地地力保护补贴工作的通知》（财办农〔2021〕11号）要求，探索耕地地力保护补贴发放与耕地地力保护行为相挂钩的有效机制，加大耕地使用情况的核实力度，做到享受补贴农民的耕地不撂荒、地力不下降，切实推动落实“藏粮于地”战略部署，遏制耕地“非农化”。项目立项符合《财政部、农业农村部发布2022年重点强农惠农政策》贯彻落实耕地地力保护补贴政策的重点工作安排。项目立项符合行业发展规划和政策要求。</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该项目立项与《关于印发&lt;巴楚县农业农村局职能配置内设机构和人员编制规定&gt;的通知》中“贯彻落实党中央、自治区党委、地委关于‘三农’工作的方针政策和决策部署以及县委工作要求，统筹巴楚乡村振兴战略工作，组织开展‘三农’重大问题的政策研究”的部门职责范围相符，属于部门履职所需。</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④该项目预算资金专项用于耕地地力保护补贴，项目资金性质为“一般公共财政预算”，功能分类为“2130122农业生产发展”，经济分类为“30310个人农业生产补贴”，属于公共财政支持范围，符合中央、地方事权支出责任划分原则。</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⑤经查阅部门单位预决算公开平台，该项目不存在重复。</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该指标满分为1</w:t>
            </w:r>
            <w:r>
              <w:rPr>
                <w:rFonts w:hint="eastAsia" w:eastAsia="宋体" w:cs="Times New Roman"/>
                <w:color w:val="auto"/>
                <w:kern w:val="0"/>
                <w:sz w:val="13"/>
                <w:szCs w:val="13"/>
                <w:highlight w:val="none"/>
                <w:lang w:eastAsia="zh-CN" w:bidi="ar"/>
              </w:rPr>
              <w:t>.5</w:t>
            </w:r>
            <w:r>
              <w:rPr>
                <w:rFonts w:hint="default" w:ascii="Times New Roman" w:hAnsi="Times New Roman" w:eastAsia="宋体" w:cs="Times New Roman"/>
                <w:color w:val="auto"/>
                <w:kern w:val="0"/>
                <w:sz w:val="13"/>
                <w:szCs w:val="13"/>
                <w:highlight w:val="none"/>
                <w:lang w:bidi="ar"/>
              </w:rPr>
              <w:t>分，根据评分标准得1</w:t>
            </w:r>
            <w:r>
              <w:rPr>
                <w:rFonts w:hint="eastAsia" w:eastAsia="宋体" w:cs="Times New Roman"/>
                <w:color w:val="auto"/>
                <w:kern w:val="0"/>
                <w:sz w:val="13"/>
                <w:szCs w:val="13"/>
                <w:highlight w:val="none"/>
                <w:lang w:eastAsia="zh-CN" w:bidi="ar"/>
              </w:rPr>
              <w:t>.5</w:t>
            </w:r>
            <w:r>
              <w:rPr>
                <w:rFonts w:hint="default" w:ascii="Times New Roman" w:hAnsi="Times New Roman" w:eastAsia="宋体" w:cs="Times New Roman"/>
                <w:color w:val="auto"/>
                <w:kern w:val="0"/>
                <w:sz w:val="13"/>
                <w:szCs w:val="13"/>
                <w:highlight w:val="none"/>
                <w:lang w:bidi="ar"/>
              </w:rPr>
              <w:t>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充分</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充分</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w:t>
            </w:r>
            <w:r>
              <w:rPr>
                <w:rFonts w:hint="eastAsia" w:eastAsia="宋体" w:cs="Times New Roman"/>
                <w:color w:val="auto"/>
                <w:kern w:val="0"/>
                <w:sz w:val="13"/>
                <w:szCs w:val="13"/>
                <w:highlight w:val="none"/>
                <w:lang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w:t>
            </w:r>
            <w:r>
              <w:rPr>
                <w:rFonts w:hint="eastAsia" w:eastAsia="宋体" w:cs="Times New Roman"/>
                <w:color w:val="auto"/>
                <w:kern w:val="0"/>
                <w:sz w:val="13"/>
                <w:szCs w:val="13"/>
                <w:highlight w:val="none"/>
                <w:lang w:eastAsia="zh-CN" w:bidi="ar"/>
              </w:rPr>
              <w:t>.5</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A12立项程序规范性</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项目申请、设立过程是否符合相关要求，用以反映和考核项目立项的规范情况。</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评价要点：</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①项目是否按照规定的程序申请设立；</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②审批文件、材料是否符合相关要求；</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③事前是否已经过必要的可行性研究、专家论证、风险评估、绩效评估、集体决策。</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以上三项中，每发现一处不符扣0.5分，扣完为止。</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根据喀什地区财政局《关于提前下达2023年中央农业生产发展资金</w:t>
            </w:r>
            <w:r>
              <w:rPr>
                <w:rFonts w:hint="eastAsia" w:eastAsia="宋体" w:cs="Times New Roman"/>
                <w:color w:val="auto"/>
                <w:kern w:val="0"/>
                <w:sz w:val="13"/>
                <w:szCs w:val="13"/>
                <w:highlight w:val="none"/>
                <w:lang w:eastAsia="zh-CN" w:bidi="ar"/>
              </w:rPr>
              <w:t>（耕地保护补贴）</w:t>
            </w:r>
            <w:r>
              <w:rPr>
                <w:rFonts w:hint="default" w:ascii="Times New Roman" w:hAnsi="Times New Roman" w:eastAsia="宋体" w:cs="Times New Roman"/>
                <w:color w:val="auto"/>
                <w:kern w:val="0"/>
                <w:sz w:val="13"/>
                <w:szCs w:val="13"/>
                <w:highlight w:val="none"/>
                <w:lang w:bidi="ar"/>
              </w:rPr>
              <w:t>预算的通知》（喀地财农〔2022〕31号）、《关于提前下达2023年自治区农业发展资金（耕地地力保护补贴）预算的通知）》（喀地财农〔2022〕40号）、自治区农业农村厅下发的《2023年自治区耕地地力保护补贴实施方案》文件精神，巴楚县农业农村局根据2022年第三批实际种粮农民一次性补贴资金、2023年中央财政和自治区财政安排农业生产支持补贴资金情况、各乡镇申报2023年度冬春小麦补贴面积以及历年结存资金四项因素，核定直达补贴资金；根据实际核查面积制定《巴楚县2023年耕地地力保护补贴实施方案》，组织实施巴楚县2023年度耕地地力保护补贴项目。项目按规定的程序设立实施。</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该指标满分为1</w:t>
            </w:r>
            <w:r>
              <w:rPr>
                <w:rFonts w:hint="eastAsia" w:eastAsia="宋体" w:cs="Times New Roman"/>
                <w:color w:val="auto"/>
                <w:kern w:val="0"/>
                <w:sz w:val="13"/>
                <w:szCs w:val="13"/>
                <w:highlight w:val="none"/>
                <w:lang w:eastAsia="zh-CN" w:bidi="ar"/>
              </w:rPr>
              <w:t>.5</w:t>
            </w:r>
            <w:r>
              <w:rPr>
                <w:rFonts w:hint="default" w:ascii="Times New Roman" w:hAnsi="Times New Roman" w:eastAsia="宋体" w:cs="Times New Roman"/>
                <w:color w:val="auto"/>
                <w:kern w:val="0"/>
                <w:sz w:val="13"/>
                <w:szCs w:val="13"/>
                <w:highlight w:val="none"/>
                <w:lang w:bidi="ar"/>
              </w:rPr>
              <w:t>分，根据评分标准得1</w:t>
            </w:r>
            <w:r>
              <w:rPr>
                <w:rFonts w:hint="eastAsia" w:eastAsia="宋体" w:cs="Times New Roman"/>
                <w:color w:val="auto"/>
                <w:kern w:val="0"/>
                <w:sz w:val="13"/>
                <w:szCs w:val="13"/>
                <w:highlight w:val="none"/>
                <w:lang w:eastAsia="zh-CN" w:bidi="ar"/>
              </w:rPr>
              <w:t>.5</w:t>
            </w:r>
            <w:r>
              <w:rPr>
                <w:rFonts w:hint="default" w:ascii="Times New Roman" w:hAnsi="Times New Roman" w:eastAsia="宋体" w:cs="Times New Roman"/>
                <w:color w:val="auto"/>
                <w:kern w:val="0"/>
                <w:sz w:val="13"/>
                <w:szCs w:val="13"/>
                <w:highlight w:val="none"/>
                <w:lang w:bidi="ar"/>
              </w:rPr>
              <w:t>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合规</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合规</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w:t>
            </w:r>
            <w:r>
              <w:rPr>
                <w:rFonts w:hint="eastAsia" w:eastAsia="宋体" w:cs="Times New Roman"/>
                <w:color w:val="auto"/>
                <w:kern w:val="0"/>
                <w:sz w:val="13"/>
                <w:szCs w:val="13"/>
                <w:highlight w:val="none"/>
                <w:lang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w:t>
            </w:r>
            <w:r>
              <w:rPr>
                <w:rFonts w:hint="eastAsia" w:eastAsia="宋体" w:cs="Times New Roman"/>
                <w:color w:val="auto"/>
                <w:kern w:val="0"/>
                <w:sz w:val="13"/>
                <w:szCs w:val="13"/>
                <w:highlight w:val="none"/>
                <w:lang w:eastAsia="zh-CN" w:bidi="ar"/>
              </w:rPr>
              <w:t>.5</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A2 绩效目标（4分）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A21绩效目标合理性</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项目所设定的绩效目标是否依据充分，是否符合客观实际，用以反映和考核项目绩效目标与项目实施的相符情况。</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评价要点：</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①项目是否有绩效目标；</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②项目绩效目标与实际工作内容是否具有相关性；</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③项目预期产出效益和效果是否符合正常的业绩水平；</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④是否与预算确定的项目投资额或资金量相匹配。</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若①不符合，则此指标不得分；若①符合，则每发现一处不符扣0.2分，扣完为止。</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①根据项目实施单位《项目支出绩效目标表》，项目有绩效目标，具体目标内容是：“本项目总投资5</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821.1万元，补贴乡镇数为10个，补贴亩数</w:t>
            </w:r>
            <w:r>
              <w:rPr>
                <w:rFonts w:hint="eastAsia" w:eastAsia="宋体" w:cs="Times New Roman"/>
                <w:color w:val="auto"/>
                <w:kern w:val="0"/>
                <w:sz w:val="13"/>
                <w:szCs w:val="13"/>
                <w:highlight w:val="none"/>
                <w:lang w:eastAsia="zh-CN" w:bidi="ar"/>
              </w:rPr>
              <w:t>271567.24亩</w:t>
            </w:r>
            <w:r>
              <w:rPr>
                <w:rFonts w:hint="default" w:ascii="Times New Roman" w:hAnsi="Times New Roman" w:eastAsia="宋体" w:cs="Times New Roman"/>
                <w:color w:val="auto"/>
                <w:kern w:val="0"/>
                <w:sz w:val="13"/>
                <w:szCs w:val="13"/>
                <w:highlight w:val="none"/>
                <w:lang w:bidi="ar"/>
              </w:rPr>
              <w:t>，补助标准为230元/亩，享受补贴人数为</w:t>
            </w:r>
            <w:r>
              <w:rPr>
                <w:rFonts w:hint="eastAsia" w:eastAsia="宋体" w:cs="Times New Roman"/>
                <w:color w:val="auto"/>
                <w:kern w:val="0"/>
                <w:sz w:val="13"/>
                <w:szCs w:val="13"/>
                <w:highlight w:val="none"/>
                <w:lang w:eastAsia="zh-CN" w:bidi="ar"/>
              </w:rPr>
              <w:t>25798人</w:t>
            </w:r>
            <w:r>
              <w:rPr>
                <w:rFonts w:hint="default" w:ascii="Times New Roman" w:hAnsi="Times New Roman" w:eastAsia="宋体" w:cs="Times New Roman"/>
                <w:color w:val="auto"/>
                <w:kern w:val="0"/>
                <w:sz w:val="13"/>
                <w:szCs w:val="13"/>
                <w:highlight w:val="none"/>
                <w:lang w:bidi="ar"/>
              </w:rPr>
              <w:t>，补贴资金兑付率100%；保障粮食等重要农产品有效供给和促进农民持续增收为重点，完善耕地地力保护补贴政策体系，引导农民自觉提升耕地地力，推动粮食生产能力稳步提升，提高农民收入”。</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②根据项目资金申报及审核拨付的过程文件等资料，该项目补贴资金用于巴楚县11个乡镇耕地地力保护补贴的发放，项目绩效目标与实际工作内容具有相关性。</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该项目通过补助资金发放，保障粮食等重要农产品有效供给和促进农民持续增收为重点，完善耕地地力保护补贴政策体系，引导农民自觉提升耕地地力，推动粮食生产能力稳步提升，提高农民收入，项目预期产出效益和效果根据项目的实际用途设置，符合正常的业绩水平。</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④经查阅项目资金下达文件，该项目耕地地力保护补贴到位资金5</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821.11万元。根据《项目支出绩效目标表》，绩效目标表填报的预算资金总额度与到位资金一致，故绩效目标确定的预算与预算确定的项目资金量匹配。</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该指标满分为2分，根据评分标准得2分。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合理</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合理</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2</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2</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A22绩效指标明确性</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依据绩效目标设定的绩效指标是否清晰、细化、可衡量等，用以反映和考核项目绩效目标的明细化情况。</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评价要点：</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①根据《项目支出绩效目标表》分析可知，该项目共设立一级指标4个，二级指标6个，三级指标11个，项目实施单位已将绩效目标细化分解为具体的绩效指标。</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该项目已设置三级指标11个，其中定量指标8个，定性指标3个，指标量化率为72.73％，指标量化率达到目标。经评价分析，项目实施后可产生预期的社会效益，项目指标设置有相应的时效指标，项目绩效目标设置与预算关联性紧密，绩效目标和指标设置明确且合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该指标满分为2分，根据评分标准得2分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明确</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明确</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2</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2</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A3 资金投入（3分）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A31预算编制科学性</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项目预算编制是否经过科学论证、有明确标准，资金额度与年度目标是否相适应，用以反映和考核项目预算编制的科学性、合理性情况。</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评价要点：</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①预算编制是否经过科学论证；</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②预算内容与项目内容是否匹配；</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③预算额度测算依据是否充分，是否按照标准编制；</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④预算确定的项目投资额或资金量是否与工作任务相匹配。</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每发现一处不符扣0.5分，扣完为止。</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项目资金来源为2023年中央农业生产发展资金，专项用于耕地地力保护补贴发放，项目预算资金由上级财政安排下达，项目依据上级文件要求编制巴楚县项目预算计划，根据实际核查面积编制《巴楚县2023年耕地地力保护补贴实施方案》，补贴范围及面积和补贴标准均明确且符合地区的政策要求，并经过喀什地区农业农村局审批通过。故项目预算额度分配依据充分，预算确定的项目资金量与实际使用资金量匹配，项目预算安排合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该指标满分为1</w:t>
            </w:r>
            <w:r>
              <w:rPr>
                <w:rFonts w:hint="eastAsia" w:eastAsia="宋体" w:cs="Times New Roman"/>
                <w:color w:val="auto"/>
                <w:kern w:val="0"/>
                <w:sz w:val="13"/>
                <w:szCs w:val="13"/>
                <w:highlight w:val="none"/>
                <w:lang w:eastAsia="zh-CN" w:bidi="ar"/>
              </w:rPr>
              <w:t>.5</w:t>
            </w:r>
            <w:r>
              <w:rPr>
                <w:rFonts w:hint="default" w:ascii="Times New Roman" w:hAnsi="Times New Roman" w:eastAsia="宋体" w:cs="Times New Roman"/>
                <w:color w:val="auto"/>
                <w:kern w:val="0"/>
                <w:sz w:val="13"/>
                <w:szCs w:val="13"/>
                <w:highlight w:val="none"/>
                <w:lang w:bidi="ar"/>
              </w:rPr>
              <w:t>分，根据评分标准得1</w:t>
            </w:r>
            <w:r>
              <w:rPr>
                <w:rFonts w:hint="eastAsia" w:eastAsia="宋体" w:cs="Times New Roman"/>
                <w:color w:val="auto"/>
                <w:kern w:val="0"/>
                <w:sz w:val="13"/>
                <w:szCs w:val="13"/>
                <w:highlight w:val="none"/>
                <w:lang w:eastAsia="zh-CN" w:bidi="ar"/>
              </w:rPr>
              <w:t>.5</w:t>
            </w:r>
            <w:r>
              <w:rPr>
                <w:rFonts w:hint="default" w:ascii="Times New Roman" w:hAnsi="Times New Roman" w:eastAsia="宋体" w:cs="Times New Roman"/>
                <w:color w:val="auto"/>
                <w:kern w:val="0"/>
                <w:sz w:val="13"/>
                <w:szCs w:val="13"/>
                <w:highlight w:val="none"/>
                <w:lang w:bidi="ar"/>
              </w:rPr>
              <w:t>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科学</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科学</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w:t>
            </w:r>
            <w:r>
              <w:rPr>
                <w:rFonts w:hint="eastAsia" w:eastAsia="宋体" w:cs="Times New Roman"/>
                <w:color w:val="auto"/>
                <w:kern w:val="0"/>
                <w:sz w:val="13"/>
                <w:szCs w:val="13"/>
                <w:highlight w:val="none"/>
                <w:lang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w:t>
            </w:r>
            <w:r>
              <w:rPr>
                <w:rFonts w:hint="eastAsia" w:eastAsia="宋体" w:cs="Times New Roman"/>
                <w:color w:val="auto"/>
                <w:kern w:val="0"/>
                <w:sz w:val="13"/>
                <w:szCs w:val="13"/>
                <w:highlight w:val="none"/>
                <w:lang w:eastAsia="zh-CN" w:bidi="ar"/>
              </w:rPr>
              <w:t>.5</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A32资金分配合理性</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项目预算资金分配是否有测算依据，与补助单位或地方实际是否相适应，用以反映和考核项目预算资金分配的科学性、合理性情况。</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评价要点：</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①预算资金分配依据是否充分；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②资金分配额度是否合理，与项目单位或地方实际是否相适应。</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以上每发现一处不符扣0.5分，扣完为止。</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根据喀什地区财政局《关于提前下达2023年中央农业生产发展资金</w:t>
            </w:r>
            <w:r>
              <w:rPr>
                <w:rFonts w:hint="eastAsia" w:eastAsia="宋体" w:cs="Times New Roman"/>
                <w:color w:val="auto"/>
                <w:kern w:val="0"/>
                <w:sz w:val="13"/>
                <w:szCs w:val="13"/>
                <w:highlight w:val="none"/>
                <w:lang w:eastAsia="zh-CN" w:bidi="ar"/>
              </w:rPr>
              <w:t>（耕地保护补贴）</w:t>
            </w:r>
            <w:r>
              <w:rPr>
                <w:rFonts w:hint="default" w:ascii="Times New Roman" w:hAnsi="Times New Roman" w:eastAsia="宋体" w:cs="Times New Roman"/>
                <w:color w:val="auto"/>
                <w:kern w:val="0"/>
                <w:sz w:val="13"/>
                <w:szCs w:val="13"/>
                <w:highlight w:val="none"/>
                <w:lang w:bidi="ar"/>
              </w:rPr>
              <w:t>预算的通知》（喀地财农〔2022〕31号）、《关于提前下达2023年自治区农业发展资金（耕地地力保护补贴）预算的通知）》（喀地财农〔2022〕40号）、《巴楚县2023年耕地地力保护补贴实施方案》，该项目根据资金下达文件，按照项目实施方案分配资金。项目实施方案根据实际核查面积、人员情况、补贴标准分配补助资金额度，补助资金额度符合相关标准要求，资金分配依据充足，与项目单位实际相适应。</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该指标满分为1</w:t>
            </w:r>
            <w:r>
              <w:rPr>
                <w:rFonts w:hint="eastAsia" w:eastAsia="宋体" w:cs="Times New Roman"/>
                <w:color w:val="auto"/>
                <w:kern w:val="0"/>
                <w:sz w:val="13"/>
                <w:szCs w:val="13"/>
                <w:highlight w:val="none"/>
                <w:lang w:eastAsia="zh-CN" w:bidi="ar"/>
              </w:rPr>
              <w:t>.5</w:t>
            </w:r>
            <w:r>
              <w:rPr>
                <w:rFonts w:hint="default" w:ascii="Times New Roman" w:hAnsi="Times New Roman" w:eastAsia="宋体" w:cs="Times New Roman"/>
                <w:color w:val="auto"/>
                <w:kern w:val="0"/>
                <w:sz w:val="13"/>
                <w:szCs w:val="13"/>
                <w:highlight w:val="none"/>
                <w:lang w:bidi="ar"/>
              </w:rPr>
              <w:t>分，根据评分标准得1</w:t>
            </w:r>
            <w:r>
              <w:rPr>
                <w:rFonts w:hint="eastAsia" w:eastAsia="宋体" w:cs="Times New Roman"/>
                <w:color w:val="auto"/>
                <w:kern w:val="0"/>
                <w:sz w:val="13"/>
                <w:szCs w:val="13"/>
                <w:highlight w:val="none"/>
                <w:lang w:eastAsia="zh-CN" w:bidi="ar"/>
              </w:rPr>
              <w:t>.5</w:t>
            </w:r>
            <w:r>
              <w:rPr>
                <w:rFonts w:hint="default" w:ascii="Times New Roman" w:hAnsi="Times New Roman" w:eastAsia="宋体" w:cs="Times New Roman"/>
                <w:color w:val="auto"/>
                <w:kern w:val="0"/>
                <w:sz w:val="13"/>
                <w:szCs w:val="13"/>
                <w:highlight w:val="none"/>
                <w:lang w:bidi="ar"/>
              </w:rPr>
              <w:t>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合理</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合理</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w:t>
            </w:r>
            <w:r>
              <w:rPr>
                <w:rFonts w:hint="eastAsia" w:eastAsia="宋体" w:cs="Times New Roman"/>
                <w:color w:val="auto"/>
                <w:kern w:val="0"/>
                <w:sz w:val="13"/>
                <w:szCs w:val="13"/>
                <w:highlight w:val="none"/>
                <w:lang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w:t>
            </w:r>
            <w:r>
              <w:rPr>
                <w:rFonts w:hint="eastAsia" w:eastAsia="宋体" w:cs="Times New Roman"/>
                <w:color w:val="auto"/>
                <w:kern w:val="0"/>
                <w:sz w:val="13"/>
                <w:szCs w:val="13"/>
                <w:highlight w:val="none"/>
                <w:lang w:eastAsia="zh-CN" w:bidi="ar"/>
              </w:rPr>
              <w:t>.5</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小计</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auto"/>
                <w:kern w:val="0"/>
                <w:sz w:val="13"/>
                <w:szCs w:val="13"/>
                <w:highlight w:val="none"/>
                <w:lang w:bidi="ar"/>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B过程（25分）</w:t>
            </w: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B1 资金管理（13分）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B11资金到位率</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实际到位资金与预算资金的比率，用以反映和考核资金落实情况对项目实施的总体保障程度。</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资金到位率=（实际到位资金/预算资金）×100%。</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项目完成且资金到位数满足年度预算规模需求，得3分；项目尚未完成，资金到位率小于100%且大于等于80%的得2分，资金到位率小于80%且大于等于60%的得1</w:t>
            </w:r>
            <w:r>
              <w:rPr>
                <w:rFonts w:hint="eastAsia" w:eastAsia="宋体" w:cs="Times New Roman"/>
                <w:color w:val="auto"/>
                <w:kern w:val="0"/>
                <w:sz w:val="13"/>
                <w:szCs w:val="13"/>
                <w:highlight w:val="none"/>
                <w:lang w:eastAsia="zh-CN" w:bidi="ar"/>
              </w:rPr>
              <w:t>.5</w:t>
            </w:r>
            <w:r>
              <w:rPr>
                <w:rFonts w:hint="default" w:ascii="Times New Roman" w:hAnsi="Times New Roman" w:eastAsia="宋体" w:cs="Times New Roman"/>
                <w:color w:val="auto"/>
                <w:kern w:val="0"/>
                <w:sz w:val="13"/>
                <w:szCs w:val="13"/>
                <w:highlight w:val="none"/>
                <w:lang w:bidi="ar"/>
              </w:rPr>
              <w:t>分，资金到位率小于60%的不得分。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根据喀什地区财政局《关于提前下达2023年中央农业生产发展资金</w:t>
            </w:r>
            <w:r>
              <w:rPr>
                <w:rFonts w:hint="eastAsia" w:eastAsia="宋体" w:cs="Times New Roman"/>
                <w:color w:val="auto"/>
                <w:kern w:val="0"/>
                <w:sz w:val="13"/>
                <w:szCs w:val="13"/>
                <w:highlight w:val="none"/>
                <w:lang w:eastAsia="zh-CN" w:bidi="ar"/>
              </w:rPr>
              <w:t>（耕地保护补贴）</w:t>
            </w:r>
            <w:r>
              <w:rPr>
                <w:rFonts w:hint="default" w:ascii="Times New Roman" w:hAnsi="Times New Roman" w:eastAsia="宋体" w:cs="Times New Roman"/>
                <w:color w:val="auto"/>
                <w:kern w:val="0"/>
                <w:sz w:val="13"/>
                <w:szCs w:val="13"/>
                <w:highlight w:val="none"/>
                <w:lang w:bidi="ar"/>
              </w:rPr>
              <w:t>预算的通知》（喀地财农〔2022〕31号）、《关于提前下达2023年自治区农业发展资金（耕地地力保护补贴）预算的通知）》（喀地财农〔2022〕40号）以及结余资金指标，项目预算资金5</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821.11万元，实际到位资金5</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821.11万元，资金到位率100%，得满分。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该指标满分为3分，根据评分标准得3分。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3</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B12预算执行率</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项目预算资金是否按照计划执行，用以反映或考核项目预算执行情况。</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预算执行率=（实际支出资金/实际到位资金）×100%。</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项目完成且执行数控制在年度预算规模之内的，得5分；项目尚未完成，预算执行率小于100%且大于等于80%的得3分，预算执行率小于80%且大于等于60%的得2分，预算执行率小于60%的不得分。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根据项目资金支付材料，该项目实际支出5</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821.11万元，预算执行率100%，得满分。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该指标满分为5分，根据评分标准得5分。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5</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B13资金使用合规性</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考察项目单位资金的使用规范程度。项目资金使用是否符合相关法律法规、制度和规定，用以反映和考核项目资金使用的规范性和安全性。</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评价要点：</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①是否符合国家财经法规和财务管理制度以及有关专项资金管理办法的规定；</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②是否符合项目预算批复或合同规定的用途；</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③是否存在截留、挤占、挪用、虚列支出等情况；</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④资金的拨付是否有完整的审批程序和手续。</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以上四项不满足①或②或③时属于严重违规事项，本项指标不得分，在符合①、②和③的条件下，其他各项符合则得分，否则，每发现一处不符扣0.5分，扣完为止。</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经查证项目财务会计凭证、《巴楚县农业农村局收支业务管理制度》《新疆维吾尔自治区农业生产发展资金管理办法》（新财规〔2020〕17号）等文件，该项目的资金全部用于巴楚县11个乡镇耕地地力保护补贴资金的发放，符合耕地地力保护补贴资金支持的方向。巴楚县各乡镇对农户申报面积、品种进行审核、公示、复核和二次公示后，向巴楚县农业农村局提交资金支付申请及相关材料。巴楚县农业农村部门向同级财政部门提供耕地补贴面积基础数据和补贴发放清单，并会同财政部门办理补贴兑付工作，将资金拨付至巴楚县农村信用合作联社惠民惠农一卡通代付户个人，资金的审批程序和手续完整。项目资金使用符合上述文件有关专项资金管理办法的规定，符合国家财经法规和财务管理制度。</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该指标满分为5分，根据评分标准得5分。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合规</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合规</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5</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B2 组织实施（12分）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B21管理制度健全性</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项目实施单位的财务和业务管理制度是否健全，用以反映和考核财务和业务管理制度对项目顺利实施的保障情况。</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评价要点：</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①是否已制定或具有相应的财务和业务管理制度；</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②财务和业务管理制度是否合法、合规、完整。</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以上两项分别占50%的权重分，符合则得分；存在部分制度缺失、内容不完整或不满足管理要求的，每发现一处不符扣0.5分，各权重分扣完为止。</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经查阅项目实施单位建立的《巴楚县农业农村局收支业务管理制度》《专项资金管理办法》，已制定或具有相应的财务和业务管理制度，内容基本完整。</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项目实施单位根据上级要求，编制《巴楚县2023年耕地地力保护补贴实施方案》，从补贴对象、面积、条件、标准和程序等方面做出细化和规范，项目业务组织实施内容完整且具有可操作性。</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该指标满分为4分，根据评分标准得4分。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健全</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健全</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B22制度执行有效性</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项目实施是否符合相关管理规定，用以反映和考核相关管理制度的有效执行情况。</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评价要点：</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①是否遵守相关法律法规和相关管理规定；</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②项目调整及支出调整手续是否完备；</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③项目合同书、验收报告、技术鉴定等资料是否齐全并及时归档；</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④项目实施的人员条件、场地设备、信息支撑等是否落实到位。</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以上四项中发现任意一处制度执行不到位的扣0.5分，扣完为止。</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项目实施过程中按照《巴楚县农业农村局收支业务管理制度》《新疆维吾尔自治区农业生产发展资金管理办法》（新财规〔2020〕17号）等资金管理文件执行资金使用流程、严格按照《巴楚县2023年耕地地力保护补贴实施方案》指导项目开展。根据项目单位提供的印证材料，项目通过“农户申报、核实公示、乡镇复核、核实认定、二次公示、发放补贴、录入系统”的程序执行完成兑付补贴资金的工作。但实际调研过程中，我们注意到项目实施过程仍存在部分程序执行不到位情况：</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一是根据项目实施方案，进行兑付前，要按照分户清册向农民发放补贴兑现通知书，农民领取补贴兑现通知书时在分户清册上签字、按手印。经了解，项目实施过程未开展该项工作，巴楚县农业农村局对补助面积及内容抽查核实通过后，执行国库集中支付程序，拨付补贴至农户“一卡通”账户。</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二是根据项目实施方案，完成资金兑付后，各乡镇需要及时对照发放清单录入自治区耕地地力保护补贴实时监测系统，经核查，乡镇未完成该项工作，巴楚县农业农村局未监督乡镇完成全部的系统录入。</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该指标满分为8分，根据评分标准得6分。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有效</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较有效</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8</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6</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75%</w:t>
            </w:r>
          </w:p>
        </w:tc>
      </w:tr>
      <w:tr>
        <w:tblPrEx>
          <w:tblCellMar>
            <w:top w:w="0" w:type="dxa"/>
            <w:left w:w="51" w:type="dxa"/>
            <w:bottom w:w="0" w:type="dxa"/>
            <w:right w:w="51" w:type="dxa"/>
          </w:tblCellMar>
        </w:tblPrEx>
        <w:trPr>
          <w:trHeight w:val="261" w:hRule="atLeast"/>
        </w:trPr>
        <w:tc>
          <w:tcPr>
            <w:tcW w:w="64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小计</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auto"/>
                <w:kern w:val="0"/>
                <w:sz w:val="13"/>
                <w:szCs w:val="13"/>
                <w:highlight w:val="none"/>
                <w:lang w:bidi="ar"/>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25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23</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92%</w:t>
            </w:r>
          </w:p>
        </w:tc>
      </w:tr>
      <w:tr>
        <w:tblPrEx>
          <w:tblCellMar>
            <w:top w:w="0" w:type="dxa"/>
            <w:left w:w="51" w:type="dxa"/>
            <w:bottom w:w="0" w:type="dxa"/>
            <w:right w:w="51" w:type="dxa"/>
          </w:tblCellMar>
        </w:tblPrEx>
        <w:trPr>
          <w:trHeight w:val="261" w:hRule="atLeast"/>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C产出（30分）</w:t>
            </w: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C1产出数量（10分）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C11补助冬小麦亩数</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项目实施的实际产出数与计划产出数的比率，用以反映和考核项目产出数量目标的实现程度。</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实际完成率=（实际补助面积/计划补助面积）×100.0%。</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①绩效目标超额完成，即实际完成率</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200%，得0分；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②绩效目标超额完成，100%</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完成率&lt;200%，得分=（1-（实际完成率-100%））×权重分值；</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③绩效目标未完成，若60%</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完成率&lt;100%，得分=（实际完成率-60%）/（</w:t>
            </w:r>
            <w:r>
              <w:rPr>
                <w:rFonts w:hint="eastAsia" w:eastAsia="宋体" w:cs="Times New Roman"/>
                <w:color w:val="auto"/>
                <w:kern w:val="0"/>
                <w:sz w:val="13"/>
                <w:szCs w:val="13"/>
                <w:highlight w:val="none"/>
                <w:lang w:eastAsia="zh-CN" w:bidi="ar"/>
              </w:rPr>
              <w:t>1-60%</w:t>
            </w:r>
            <w:r>
              <w:rPr>
                <w:rFonts w:hint="default" w:ascii="Times New Roman" w:hAnsi="Times New Roman" w:eastAsia="宋体" w:cs="Times New Roman"/>
                <w:color w:val="auto"/>
                <w:kern w:val="0"/>
                <w:sz w:val="13"/>
                <w:szCs w:val="13"/>
                <w:highlight w:val="none"/>
                <w:lang w:bidi="ar"/>
              </w:rPr>
              <w:t>）×权重分值；若完成率&lt;60%，得0分。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经查阅项目《巴楚县2023年耕地地力保护补贴（冬小麦部分）资金分配表》、实际发放及资金支付材料，项目2023年计划完成冬小麦补助面积</w:t>
            </w:r>
            <w:r>
              <w:rPr>
                <w:rFonts w:hint="eastAsia" w:eastAsia="宋体" w:cs="Times New Roman"/>
                <w:color w:val="auto"/>
                <w:kern w:val="0"/>
                <w:sz w:val="13"/>
                <w:szCs w:val="13"/>
                <w:highlight w:val="none"/>
                <w:lang w:eastAsia="zh-CN" w:bidi="ar"/>
              </w:rPr>
              <w:t>269060.8亩</w:t>
            </w:r>
            <w:r>
              <w:rPr>
                <w:rFonts w:hint="default" w:ascii="Times New Roman" w:hAnsi="Times New Roman" w:eastAsia="宋体" w:cs="Times New Roman"/>
                <w:color w:val="auto"/>
                <w:kern w:val="0"/>
                <w:sz w:val="13"/>
                <w:szCs w:val="13"/>
                <w:highlight w:val="none"/>
                <w:lang w:bidi="ar"/>
              </w:rPr>
              <w:t>，实际完成</w:t>
            </w:r>
            <w:r>
              <w:rPr>
                <w:rFonts w:hint="eastAsia" w:eastAsia="宋体" w:cs="Times New Roman"/>
                <w:color w:val="auto"/>
                <w:kern w:val="0"/>
                <w:sz w:val="13"/>
                <w:szCs w:val="13"/>
                <w:highlight w:val="none"/>
                <w:lang w:eastAsia="zh-CN" w:bidi="ar"/>
              </w:rPr>
              <w:t>269060.8亩</w:t>
            </w:r>
            <w:r>
              <w:rPr>
                <w:rFonts w:hint="default" w:ascii="Times New Roman" w:hAnsi="Times New Roman" w:eastAsia="宋体" w:cs="Times New Roman"/>
                <w:color w:val="auto"/>
                <w:kern w:val="0"/>
                <w:sz w:val="13"/>
                <w:szCs w:val="13"/>
                <w:highlight w:val="none"/>
                <w:lang w:bidi="ar"/>
              </w:rPr>
              <w:t>冬小麦补贴资金拨付，根据评分标准，得满分。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该指标满分为6分，根据评分标准得6分。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eastAsia" w:eastAsia="宋体" w:cs="Times New Roman"/>
                <w:color w:val="auto"/>
                <w:kern w:val="0"/>
                <w:sz w:val="13"/>
                <w:szCs w:val="13"/>
                <w:highlight w:val="none"/>
                <w:lang w:eastAsia="zh-CN" w:bidi="ar"/>
              </w:rPr>
              <w:t>≥269060.8亩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eastAsia" w:eastAsia="宋体" w:cs="Times New Roman"/>
                <w:color w:val="auto"/>
                <w:kern w:val="0"/>
                <w:sz w:val="13"/>
                <w:szCs w:val="13"/>
                <w:highlight w:val="none"/>
                <w:lang w:eastAsia="zh-CN" w:bidi="ar"/>
              </w:rPr>
              <w:t>269060.8亩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6</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C11补助春小麦亩数</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项目实施的实际产出数与计划产出数的比率，用以反映和考核项目产出数量目标的实现程度。</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实际完成率=（实际补助面积/计划补助面积）×100.0%。</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①绩效目标超额完成，即实际完成率</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200%，得0分；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②绩效目标超额完成，100%</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完成率&lt;200%，得分=（1-（实际完成率-100%））×权重分值；</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③绩效目标未完成，若60%</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完成率&lt;100%，得分=（实际完成率-60%）/（</w:t>
            </w:r>
            <w:r>
              <w:rPr>
                <w:rFonts w:hint="eastAsia" w:eastAsia="宋体" w:cs="Times New Roman"/>
                <w:color w:val="auto"/>
                <w:kern w:val="0"/>
                <w:sz w:val="13"/>
                <w:szCs w:val="13"/>
                <w:highlight w:val="none"/>
                <w:lang w:eastAsia="zh-CN" w:bidi="ar"/>
              </w:rPr>
              <w:t>1-60%</w:t>
            </w:r>
            <w:r>
              <w:rPr>
                <w:rFonts w:hint="default" w:ascii="Times New Roman" w:hAnsi="Times New Roman" w:eastAsia="宋体" w:cs="Times New Roman"/>
                <w:color w:val="auto"/>
                <w:kern w:val="0"/>
                <w:sz w:val="13"/>
                <w:szCs w:val="13"/>
                <w:highlight w:val="none"/>
                <w:lang w:bidi="ar"/>
              </w:rPr>
              <w:t>）×权重分值；若完成率&lt;60%，得0分。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经查阅项目《巴楚县2023年耕地地力保护补贴（冬小麦部分）资金分配表》、实际发放及资金支付材料，项目2023年计划完成春小麦补助面积</w:t>
            </w:r>
            <w:r>
              <w:rPr>
                <w:rFonts w:hint="eastAsia" w:eastAsia="宋体" w:cs="Times New Roman"/>
                <w:color w:val="auto"/>
                <w:kern w:val="0"/>
                <w:sz w:val="13"/>
                <w:szCs w:val="13"/>
                <w:highlight w:val="none"/>
                <w:lang w:eastAsia="zh-CN" w:bidi="ar"/>
              </w:rPr>
              <w:t>2739.38亩</w:t>
            </w:r>
            <w:r>
              <w:rPr>
                <w:rFonts w:hint="default" w:ascii="Times New Roman" w:hAnsi="Times New Roman" w:eastAsia="宋体" w:cs="Times New Roman"/>
                <w:color w:val="auto"/>
                <w:kern w:val="0"/>
                <w:sz w:val="13"/>
                <w:szCs w:val="13"/>
                <w:highlight w:val="none"/>
                <w:lang w:bidi="ar"/>
              </w:rPr>
              <w:t>，实际完成</w:t>
            </w:r>
            <w:r>
              <w:rPr>
                <w:rFonts w:hint="eastAsia" w:eastAsia="宋体" w:cs="Times New Roman"/>
                <w:color w:val="auto"/>
                <w:kern w:val="0"/>
                <w:sz w:val="13"/>
                <w:szCs w:val="13"/>
                <w:highlight w:val="none"/>
                <w:lang w:eastAsia="zh-CN" w:bidi="ar"/>
              </w:rPr>
              <w:t>2739.38亩</w:t>
            </w:r>
            <w:r>
              <w:rPr>
                <w:rFonts w:hint="default" w:ascii="Times New Roman" w:hAnsi="Times New Roman" w:eastAsia="宋体" w:cs="Times New Roman"/>
                <w:color w:val="auto"/>
                <w:kern w:val="0"/>
                <w:sz w:val="13"/>
                <w:szCs w:val="13"/>
                <w:highlight w:val="none"/>
                <w:lang w:bidi="ar"/>
              </w:rPr>
              <w:t>春小麦补贴资金拨付，根据评分标准，得满分。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该指标满分为4分，根据评分标准得4分。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eastAsia" w:eastAsia="宋体" w:cs="Times New Roman"/>
                <w:color w:val="auto"/>
                <w:kern w:val="0"/>
                <w:sz w:val="13"/>
                <w:szCs w:val="13"/>
                <w:highlight w:val="none"/>
                <w:lang w:eastAsia="zh-CN" w:bidi="ar"/>
              </w:rPr>
              <w:t>≥2739.38亩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eastAsia" w:eastAsia="宋体" w:cs="Times New Roman"/>
                <w:color w:val="auto"/>
                <w:kern w:val="0"/>
                <w:sz w:val="13"/>
                <w:szCs w:val="13"/>
                <w:highlight w:val="none"/>
                <w:lang w:eastAsia="zh-CN" w:bidi="ar"/>
              </w:rPr>
              <w:t>2739.38亩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C2产出质量（5分）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C</w:t>
            </w:r>
            <w:r>
              <w:rPr>
                <w:rFonts w:hint="eastAsia" w:eastAsia="宋体" w:cs="Times New Roman"/>
                <w:color w:val="auto"/>
                <w:kern w:val="0"/>
                <w:sz w:val="13"/>
                <w:szCs w:val="13"/>
                <w:highlight w:val="none"/>
                <w:lang w:val="en-US" w:eastAsia="zh-CN" w:bidi="ar"/>
              </w:rPr>
              <w:t>2</w:t>
            </w:r>
            <w:r>
              <w:rPr>
                <w:rFonts w:hint="default" w:ascii="Times New Roman" w:hAnsi="Times New Roman" w:eastAsia="宋体" w:cs="Times New Roman"/>
                <w:color w:val="auto"/>
                <w:kern w:val="0"/>
                <w:sz w:val="13"/>
                <w:szCs w:val="13"/>
                <w:highlight w:val="none"/>
                <w:lang w:bidi="ar"/>
              </w:rPr>
              <w:t>1补贴合法耕地冬小麦种植占比</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项目完成的质量达标产出数与实际产出数的比率，用以反映和考核项目产出质量目标的实现程度。</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实际完成率=冬小麦种植面积数/种植面积总数×100%。</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实际完成率符合预期指标值得满分；预期指标未完成，且实际完成率大于60%的，按超过的比重赋分，计算公式为：得分=（实际完成率-60%）/（</w:t>
            </w:r>
            <w:r>
              <w:rPr>
                <w:rFonts w:hint="eastAsia" w:eastAsia="宋体" w:cs="Times New Roman"/>
                <w:color w:val="auto"/>
                <w:kern w:val="0"/>
                <w:sz w:val="13"/>
                <w:szCs w:val="13"/>
                <w:highlight w:val="none"/>
                <w:lang w:eastAsia="zh-CN" w:bidi="ar"/>
              </w:rPr>
              <w:t>1-60%</w:t>
            </w:r>
            <w:r>
              <w:rPr>
                <w:rFonts w:hint="default" w:ascii="Times New Roman" w:hAnsi="Times New Roman" w:eastAsia="宋体" w:cs="Times New Roman"/>
                <w:color w:val="auto"/>
                <w:kern w:val="0"/>
                <w:sz w:val="13"/>
                <w:szCs w:val="13"/>
                <w:highlight w:val="none"/>
                <w:lang w:bidi="ar"/>
              </w:rPr>
              <w:t>）×指标分值；完成率小于60%为不及格，不得分。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经查阅项目《巴楚县2023年耕地地力保护补贴（冬小麦部分）资金分配表》、实际发放及资金支付材料，巴楚县农业农村局2023年补贴总面积</w:t>
            </w:r>
            <w:r>
              <w:rPr>
                <w:rFonts w:hint="eastAsia" w:eastAsia="宋体" w:cs="Times New Roman"/>
                <w:color w:val="auto"/>
                <w:kern w:val="0"/>
                <w:sz w:val="13"/>
                <w:szCs w:val="13"/>
                <w:highlight w:val="none"/>
                <w:lang w:eastAsia="zh-CN" w:bidi="ar"/>
              </w:rPr>
              <w:t>271800.18亩</w:t>
            </w:r>
            <w:r>
              <w:rPr>
                <w:rFonts w:hint="default" w:ascii="Times New Roman" w:hAnsi="Times New Roman" w:eastAsia="宋体" w:cs="Times New Roman"/>
                <w:color w:val="auto"/>
                <w:kern w:val="0"/>
                <w:sz w:val="13"/>
                <w:szCs w:val="13"/>
                <w:highlight w:val="none"/>
                <w:lang w:bidi="ar"/>
              </w:rPr>
              <w:t>，其中：春小麦补贴面积</w:t>
            </w:r>
            <w:r>
              <w:rPr>
                <w:rFonts w:hint="eastAsia" w:eastAsia="宋体" w:cs="Times New Roman"/>
                <w:color w:val="auto"/>
                <w:kern w:val="0"/>
                <w:sz w:val="13"/>
                <w:szCs w:val="13"/>
                <w:highlight w:val="none"/>
                <w:lang w:eastAsia="zh-CN" w:bidi="ar"/>
              </w:rPr>
              <w:t>2739.38亩</w:t>
            </w:r>
            <w:r>
              <w:rPr>
                <w:rFonts w:hint="default" w:ascii="Times New Roman" w:hAnsi="Times New Roman" w:eastAsia="宋体" w:cs="Times New Roman"/>
                <w:color w:val="auto"/>
                <w:kern w:val="0"/>
                <w:sz w:val="13"/>
                <w:szCs w:val="13"/>
                <w:highlight w:val="none"/>
                <w:lang w:bidi="ar"/>
              </w:rPr>
              <w:t>，冬小麦补贴面积</w:t>
            </w:r>
            <w:r>
              <w:rPr>
                <w:rFonts w:hint="eastAsia" w:eastAsia="宋体" w:cs="Times New Roman"/>
                <w:color w:val="auto"/>
                <w:kern w:val="0"/>
                <w:sz w:val="13"/>
                <w:szCs w:val="13"/>
                <w:highlight w:val="none"/>
                <w:lang w:eastAsia="zh-CN" w:bidi="ar"/>
              </w:rPr>
              <w:t>269060.8亩</w:t>
            </w:r>
            <w:r>
              <w:rPr>
                <w:rFonts w:hint="default" w:ascii="Times New Roman" w:hAnsi="Times New Roman" w:eastAsia="宋体" w:cs="Times New Roman"/>
                <w:color w:val="auto"/>
                <w:kern w:val="0"/>
                <w:sz w:val="13"/>
                <w:szCs w:val="13"/>
                <w:highlight w:val="none"/>
                <w:lang w:bidi="ar"/>
              </w:rPr>
              <w:t>。故补贴合法耕地冬小麦种植占比为98.99%，达成预期指标，根据评分标准，得满分。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该指标满分为5分，根据评分标准得5分。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90%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98.99%</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5</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C3产出时效（5分）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C31补贴兑付完成时间</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项目实际完成时间与计划完成时间的比较，用以反映和考核项目产出时效目标的实现程度。</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①在实际核查过程中补贴资金均在2023年6月底前完成拨付的，得满分；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②否则发现补贴资金不在2023年6月底前完成拨付的，得分=（1-未完成拨付资金数/实际应拨付资金总数）×分值。</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根据项目实施单位提供的《国库集中支付凭证》、银行代发流水单等资料显示，截至2023年6月16日，耕地地力保护补贴已全部发放到位。根据评分标准，实际完成时间在2023年6月30日前，得满分。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该指标满分为5分，根据评分标准得5分。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2023年6月30日前</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2023年6月16日前</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5</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C4产出成本（10分）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eastAsia="zh-CN" w:bidi="ar"/>
              </w:rPr>
              <w:t>C41冬小麦补助标准</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项目实际发放是否按照标准足额发放</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实际完成率=（实际发放/计划发放）×100.0%。</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①绩效目标超额完成，即实际完成率</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200%，得0分；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②绩效目标超额完成，100%</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完成率&lt;200%，得分=（1-（实际完成率-100%））×权重分值；</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③绩效目标未完成，若60%</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完成率&lt;100%，得分=（实际完成率-60%）/（</w:t>
            </w:r>
            <w:r>
              <w:rPr>
                <w:rFonts w:hint="eastAsia" w:eastAsia="宋体" w:cs="Times New Roman"/>
                <w:color w:val="auto"/>
                <w:kern w:val="0"/>
                <w:sz w:val="13"/>
                <w:szCs w:val="13"/>
                <w:highlight w:val="none"/>
                <w:lang w:eastAsia="zh-CN" w:bidi="ar"/>
              </w:rPr>
              <w:t>1-60%</w:t>
            </w:r>
            <w:r>
              <w:rPr>
                <w:rFonts w:hint="default" w:ascii="Times New Roman" w:hAnsi="Times New Roman" w:eastAsia="宋体" w:cs="Times New Roman"/>
                <w:color w:val="auto"/>
                <w:kern w:val="0"/>
                <w:sz w:val="13"/>
                <w:szCs w:val="13"/>
                <w:highlight w:val="none"/>
                <w:lang w:bidi="ar"/>
              </w:rPr>
              <w:t>）×权重分值；若完成率&lt;60%，得0分。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中央财政安排耕地地力保护补贴资金，对种植冬小麦的耕地，每亩补贴220元；自治区财政安排农业生产发展（耕地地力保护补贴）资金在补齐中央财政耕地地力保护补贴资金缺口后，实施小麦种植一次性补贴，对种植冬小麦的耕地，每亩补贴10元，亩均补助合计共230元。经查阅项目资金支付材料，该项目按照亩均补助合计230元的标准，对2022年已提前享受实际种粮农民一次性补贴（第三批）资金进行核减后，拨付2023年冬小麦剩余补助资金，根据评分标准，得满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该指标满分为6分，根据评分标准得6分。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eastAsia="zh-CN" w:bidi="ar"/>
              </w:rPr>
              <w:t>=230元/亩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eastAsia="zh-CN" w:bidi="ar"/>
              </w:rPr>
              <w:t>230元/亩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6</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eastAsia="zh-CN" w:bidi="ar"/>
              </w:rPr>
              <w:t>C42春小麦补助标准</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项目实际发放是否按照标准足额发放</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实际完成率=（实际发放/计划发放）×100.0%。</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①绩效目标超额完成，即实际完成率</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200%，得0分；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②绩效目标超额完成，100%</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完成率&lt;200%，得分=（1-（实际完成率-100%））×权重分值；</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③绩效目标未完成，若60%</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完成率&lt;100%，得分=（实际完成率-60%）/（</w:t>
            </w:r>
            <w:r>
              <w:rPr>
                <w:rFonts w:hint="eastAsia" w:eastAsia="宋体" w:cs="Times New Roman"/>
                <w:color w:val="auto"/>
                <w:kern w:val="0"/>
                <w:sz w:val="13"/>
                <w:szCs w:val="13"/>
                <w:highlight w:val="none"/>
                <w:lang w:eastAsia="zh-CN" w:bidi="ar"/>
              </w:rPr>
              <w:t>1-60%</w:t>
            </w:r>
            <w:r>
              <w:rPr>
                <w:rFonts w:hint="default" w:ascii="Times New Roman" w:hAnsi="Times New Roman" w:eastAsia="宋体" w:cs="Times New Roman"/>
                <w:color w:val="auto"/>
                <w:kern w:val="0"/>
                <w:sz w:val="13"/>
                <w:szCs w:val="13"/>
                <w:highlight w:val="none"/>
                <w:lang w:bidi="ar"/>
              </w:rPr>
              <w:t>）×权重分值；若完成率&lt;60%，得0分。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中央财政安排耕地地力保护补贴资金，对种植春小麦的耕地，每亩补贴115元；自治区财政安排农业生产发展（耕地地力保护补贴）资金在补齐中央财政耕地地力保护补贴资金缺口后，实施小麦种植一次性补贴，对种植春小麦的耕地，每亩补贴115元，亩均补助合计共230元。经查阅项目资金支付材料，该项目按照亩均补助合计230元的标准，对2023年春小麦拨付补助资金，根据评分标准，得满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该指标满分为4分，根据评分标准得4分。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eastAsia="zh-CN" w:bidi="ar"/>
              </w:rPr>
              <w:t>=230元/亩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eastAsia="zh-CN" w:bidi="ar"/>
              </w:rPr>
              <w:t>230元/亩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4</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小计</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auto"/>
                <w:kern w:val="0"/>
                <w:sz w:val="13"/>
                <w:szCs w:val="13"/>
                <w:highlight w:val="none"/>
                <w:lang w:bidi="ar"/>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30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30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D效益（35分）</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D1经济效益指标（10分）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eastAsia="zh-CN" w:bidi="ar"/>
              </w:rPr>
              <w:t>D11冬小麦单产增幅</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考核项目实施后产能是否提升。</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产量较上一年存在增加的，得满分；否则，单产减产幅度在</w:t>
            </w:r>
            <w:r>
              <w:rPr>
                <w:rFonts w:hint="eastAsia" w:eastAsia="宋体" w:cs="Times New Roman"/>
                <w:color w:val="auto"/>
                <w:kern w:val="0"/>
                <w:sz w:val="13"/>
                <w:szCs w:val="13"/>
                <w:highlight w:val="none"/>
                <w:lang w:eastAsia="zh-CN" w:bidi="ar"/>
              </w:rPr>
              <w:t>0%~2%</w:t>
            </w:r>
            <w:r>
              <w:rPr>
                <w:rFonts w:hint="default" w:ascii="Times New Roman" w:hAnsi="Times New Roman" w:eastAsia="宋体" w:cs="Times New Roman"/>
                <w:color w:val="auto"/>
                <w:kern w:val="0"/>
                <w:sz w:val="13"/>
                <w:szCs w:val="13"/>
                <w:highlight w:val="none"/>
                <w:lang w:bidi="ar"/>
              </w:rPr>
              <w:t>，得分=</w:t>
            </w:r>
            <w:r>
              <w:rPr>
                <w:rFonts w:hint="eastAsia" w:eastAsia="宋体" w:cs="Times New Roman"/>
                <w:color w:val="auto"/>
                <w:kern w:val="0"/>
                <w:sz w:val="13"/>
                <w:szCs w:val="13"/>
                <w:highlight w:val="none"/>
                <w:lang w:val="en-US" w:eastAsia="zh-CN" w:bidi="ar"/>
              </w:rPr>
              <w:t>6</w:t>
            </w:r>
            <w:r>
              <w:rPr>
                <w:rFonts w:hint="default" w:ascii="Times New Roman" w:hAnsi="Times New Roman" w:eastAsia="宋体" w:cs="Times New Roman"/>
                <w:color w:val="auto"/>
                <w:kern w:val="0"/>
                <w:sz w:val="13"/>
                <w:szCs w:val="13"/>
                <w:highlight w:val="none"/>
                <w:lang w:bidi="ar"/>
              </w:rPr>
              <w:t>0%×分值；单产减产幅度在2%</w:t>
            </w:r>
            <w:r>
              <w:rPr>
                <w:rFonts w:hint="eastAsia" w:eastAsia="宋体" w:cs="Times New Roman"/>
                <w:color w:val="auto"/>
                <w:kern w:val="0"/>
                <w:sz w:val="13"/>
                <w:szCs w:val="13"/>
                <w:highlight w:val="none"/>
                <w:lang w:val="en-US" w:eastAsia="zh-CN" w:bidi="ar"/>
              </w:rPr>
              <w:t>~</w:t>
            </w:r>
            <w:r>
              <w:rPr>
                <w:rFonts w:hint="default" w:ascii="Times New Roman" w:hAnsi="Times New Roman" w:eastAsia="宋体" w:cs="Times New Roman"/>
                <w:color w:val="auto"/>
                <w:kern w:val="0"/>
                <w:sz w:val="13"/>
                <w:szCs w:val="13"/>
                <w:highlight w:val="none"/>
                <w:lang w:bidi="ar"/>
              </w:rPr>
              <w:t>5%，得分=</w:t>
            </w:r>
            <w:r>
              <w:rPr>
                <w:rFonts w:hint="eastAsia" w:eastAsia="宋体" w:cs="Times New Roman"/>
                <w:color w:val="auto"/>
                <w:kern w:val="0"/>
                <w:sz w:val="13"/>
                <w:szCs w:val="13"/>
                <w:highlight w:val="none"/>
                <w:lang w:val="en-US" w:eastAsia="zh-CN" w:bidi="ar"/>
              </w:rPr>
              <w:t>4</w:t>
            </w:r>
            <w:r>
              <w:rPr>
                <w:rFonts w:hint="default" w:ascii="Times New Roman" w:hAnsi="Times New Roman" w:eastAsia="宋体" w:cs="Times New Roman"/>
                <w:color w:val="auto"/>
                <w:kern w:val="0"/>
                <w:sz w:val="13"/>
                <w:szCs w:val="13"/>
                <w:highlight w:val="none"/>
                <w:lang w:bidi="ar"/>
              </w:rPr>
              <w:t>0%×分值；单产减产幅度大于5%，不得分。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经了解，南疆冬小麦4月下旬至5月中旬抽穗，但5月上旬全疆出现寒潮、雨雪、风沙天气，巴州、阿克苏地区、喀什地区部分麦区日最低气温降至4℃以下，个别麦区出现冷害，对当地冬小麦产量带来较大负面影响。根据项目实施单位提供的巴楚县2022年及2023年冬小麦测产数据显示，2022年巴楚县冬小麦单产468</w:t>
            </w:r>
            <w:r>
              <w:rPr>
                <w:rFonts w:hint="eastAsia" w:eastAsia="宋体" w:cs="Times New Roman"/>
                <w:color w:val="auto"/>
                <w:kern w:val="0"/>
                <w:sz w:val="13"/>
                <w:szCs w:val="13"/>
                <w:highlight w:val="none"/>
                <w:lang w:eastAsia="zh-CN" w:bidi="ar"/>
              </w:rPr>
              <w:t>.8</w:t>
            </w:r>
            <w:r>
              <w:rPr>
                <w:rFonts w:hint="default" w:ascii="Times New Roman" w:hAnsi="Times New Roman" w:eastAsia="宋体" w:cs="Times New Roman"/>
                <w:color w:val="auto"/>
                <w:kern w:val="0"/>
                <w:sz w:val="13"/>
                <w:szCs w:val="13"/>
                <w:highlight w:val="none"/>
                <w:lang w:bidi="ar"/>
              </w:rPr>
              <w:t>公斤/亩，2023年巴楚县冬小麦单产459.78公斤/亩，较2022年冬小麦单产减产1.92%。根据评分标准，得6分。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该指标满分为10分，根据评分标准得6分。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-1.92%</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auto"/>
                <w:kern w:val="0"/>
                <w:sz w:val="13"/>
                <w:szCs w:val="13"/>
                <w:highlight w:val="none"/>
                <w:lang w:val="en-US" w:eastAsia="zh-CN" w:bidi="ar"/>
              </w:rPr>
            </w:pPr>
            <w:r>
              <w:rPr>
                <w:rFonts w:hint="eastAsia" w:eastAsia="宋体" w:cs="Times New Roman"/>
                <w:color w:val="auto"/>
                <w:kern w:val="0"/>
                <w:sz w:val="13"/>
                <w:szCs w:val="13"/>
                <w:highlight w:val="none"/>
                <w:lang w:val="en-US" w:eastAsia="zh-CN" w:bidi="ar"/>
              </w:rPr>
              <w:t>6</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eastAsia" w:eastAsia="宋体" w:cs="Times New Roman"/>
                <w:color w:val="auto"/>
                <w:kern w:val="0"/>
                <w:sz w:val="13"/>
                <w:szCs w:val="13"/>
                <w:highlight w:val="none"/>
                <w:lang w:val="en-US" w:eastAsia="zh-CN" w:bidi="ar"/>
              </w:rPr>
              <w:t>60</w:t>
            </w:r>
            <w:r>
              <w:rPr>
                <w:rFonts w:hint="default" w:ascii="Times New Roman" w:hAnsi="Times New Roman" w:eastAsia="宋体" w:cs="Times New Roman"/>
                <w:color w:val="auto"/>
                <w:kern w:val="0"/>
                <w:sz w:val="13"/>
                <w:szCs w:val="13"/>
                <w:highlight w:val="none"/>
                <w:lang w:bidi="ar"/>
              </w:rPr>
              <w:t>%</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D2社会效益指标（15分）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eastAsia="zh-CN" w:bidi="ar"/>
              </w:rPr>
              <w:t>D21耕地地力保护补贴政策知晓率</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考核耕地地力保护补贴政策的知晓程度。</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实际完成率符合预期指标值得满分；预期指标未完成，且实际完成率大于60%的，按超过的比重赋分，计算公式为：得分=（实际完成率-60%）/（</w:t>
            </w:r>
            <w:r>
              <w:rPr>
                <w:rFonts w:hint="eastAsia" w:eastAsia="宋体" w:cs="Times New Roman"/>
                <w:color w:val="auto"/>
                <w:kern w:val="0"/>
                <w:sz w:val="13"/>
                <w:szCs w:val="13"/>
                <w:highlight w:val="none"/>
                <w:lang w:eastAsia="zh-CN" w:bidi="ar"/>
              </w:rPr>
              <w:t>1-60%</w:t>
            </w:r>
            <w:r>
              <w:rPr>
                <w:rFonts w:hint="default" w:ascii="Times New Roman" w:hAnsi="Times New Roman" w:eastAsia="宋体" w:cs="Times New Roman"/>
                <w:color w:val="auto"/>
                <w:kern w:val="0"/>
                <w:sz w:val="13"/>
                <w:szCs w:val="13"/>
                <w:highlight w:val="none"/>
                <w:lang w:bidi="ar"/>
              </w:rPr>
              <w:t>）×指标分值；完成率小于60%为不及格，不得分。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根据《巴楚县2023年耕地地力保护补贴项目调研问卷》统计结果，满意度调研问卷对象为巴楚县小麦种植农户，共发放问卷164份，收回有效问卷164份，问卷共设计11个问题，其中问题2：“请问您对耕地地力保护补贴是否了解?”，对政策知晓程度进行调研，根据问卷统计结果，政策知晓率为94.44%。根据评分标准，得分=（实际完成率-60%）/（</w:t>
            </w:r>
            <w:r>
              <w:rPr>
                <w:rFonts w:hint="eastAsia" w:eastAsia="宋体" w:cs="Times New Roman"/>
                <w:color w:val="auto"/>
                <w:kern w:val="0"/>
                <w:sz w:val="13"/>
                <w:szCs w:val="13"/>
                <w:highlight w:val="none"/>
                <w:lang w:eastAsia="zh-CN" w:bidi="ar"/>
              </w:rPr>
              <w:t>1-60%</w:t>
            </w:r>
            <w:r>
              <w:rPr>
                <w:rFonts w:hint="default" w:ascii="Times New Roman" w:hAnsi="Times New Roman" w:eastAsia="宋体" w:cs="Times New Roman"/>
                <w:color w:val="auto"/>
                <w:kern w:val="0"/>
                <w:sz w:val="13"/>
                <w:szCs w:val="13"/>
                <w:highlight w:val="none"/>
                <w:lang w:bidi="ar"/>
              </w:rPr>
              <w:t>）×指标分值=（</w:t>
            </w:r>
            <w:r>
              <w:rPr>
                <w:rFonts w:hint="eastAsia" w:eastAsia="宋体" w:cs="Times New Roman"/>
                <w:color w:val="auto"/>
                <w:kern w:val="0"/>
                <w:sz w:val="13"/>
                <w:szCs w:val="13"/>
                <w:highlight w:val="none"/>
                <w:lang w:eastAsia="zh-CN" w:bidi="ar"/>
              </w:rPr>
              <w:t>94.44%-60%</w:t>
            </w:r>
            <w:r>
              <w:rPr>
                <w:rFonts w:hint="default" w:ascii="Times New Roman" w:hAnsi="Times New Roman" w:eastAsia="宋体" w:cs="Times New Roman"/>
                <w:color w:val="auto"/>
                <w:kern w:val="0"/>
                <w:sz w:val="13"/>
                <w:szCs w:val="13"/>
                <w:highlight w:val="none"/>
                <w:lang w:bidi="ar"/>
              </w:rPr>
              <w:t>）/（</w:t>
            </w:r>
            <w:r>
              <w:rPr>
                <w:rFonts w:hint="eastAsia" w:eastAsia="宋体" w:cs="Times New Roman"/>
                <w:color w:val="auto"/>
                <w:kern w:val="0"/>
                <w:sz w:val="13"/>
                <w:szCs w:val="13"/>
                <w:highlight w:val="none"/>
                <w:lang w:eastAsia="zh-CN" w:bidi="ar"/>
              </w:rPr>
              <w:t>1-60%</w:t>
            </w:r>
            <w:r>
              <w:rPr>
                <w:rFonts w:hint="default" w:ascii="Times New Roman" w:hAnsi="Times New Roman" w:eastAsia="宋体" w:cs="Times New Roman"/>
                <w:color w:val="auto"/>
                <w:kern w:val="0"/>
                <w:sz w:val="13"/>
                <w:szCs w:val="13"/>
                <w:highlight w:val="none"/>
                <w:lang w:bidi="ar"/>
              </w:rPr>
              <w:t>）×5=4.31分。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该指标满分为5分，根据评分标准得4.31分。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94.44%</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4.31</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86</w:t>
            </w:r>
            <w:r>
              <w:rPr>
                <w:rFonts w:hint="eastAsia" w:eastAsia="宋体" w:cs="Times New Roman"/>
                <w:color w:val="auto"/>
                <w:kern w:val="0"/>
                <w:sz w:val="13"/>
                <w:szCs w:val="13"/>
                <w:highlight w:val="none"/>
                <w:lang w:eastAsia="zh-CN" w:bidi="ar"/>
              </w:rPr>
              <w:t>.2</w:t>
            </w:r>
            <w:r>
              <w:rPr>
                <w:rFonts w:hint="default" w:ascii="Times New Roman" w:hAnsi="Times New Roman" w:eastAsia="宋体" w:cs="Times New Roman"/>
                <w:color w:val="auto"/>
                <w:kern w:val="0"/>
                <w:sz w:val="13"/>
                <w:szCs w:val="13"/>
                <w:highlight w:val="none"/>
                <w:lang w:bidi="ar"/>
              </w:rPr>
              <w:t>%</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D2</w:t>
            </w:r>
            <w:r>
              <w:rPr>
                <w:rFonts w:hint="default" w:ascii="Times New Roman" w:hAnsi="Times New Roman" w:eastAsia="宋体" w:cs="Times New Roman"/>
                <w:color w:val="auto"/>
                <w:kern w:val="0"/>
                <w:sz w:val="13"/>
                <w:szCs w:val="13"/>
                <w:highlight w:val="none"/>
                <w:lang w:val="en-US" w:eastAsia="zh-CN" w:bidi="ar"/>
              </w:rPr>
              <w:t>2</w:t>
            </w:r>
            <w:r>
              <w:rPr>
                <w:rFonts w:hint="default" w:ascii="Times New Roman" w:hAnsi="Times New Roman" w:eastAsia="宋体" w:cs="Times New Roman"/>
                <w:color w:val="auto"/>
                <w:kern w:val="0"/>
                <w:sz w:val="13"/>
                <w:szCs w:val="13"/>
                <w:highlight w:val="none"/>
                <w:lang w:bidi="ar"/>
              </w:rPr>
              <w:t>提升耕地地力、促进农民增收</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考核耕地地力保护补贴实施后是否促进农民持续增收</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根据问卷调查情况进行评分，实际完成值分为基本达成目标、部分实现目标、实现目标程度较低三个档次</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并分别按照该指标对应分值区间</w:t>
            </w:r>
            <w:r>
              <w:rPr>
                <w:rFonts w:hint="eastAsia" w:eastAsia="宋体" w:cs="Times New Roman"/>
                <w:color w:val="auto"/>
                <w:kern w:val="0"/>
                <w:sz w:val="13"/>
                <w:szCs w:val="13"/>
                <w:highlight w:val="none"/>
                <w:lang w:eastAsia="zh-CN" w:bidi="ar"/>
              </w:rPr>
              <w:t>100%~80%</w:t>
            </w:r>
            <w:r>
              <w:rPr>
                <w:rFonts w:hint="eastAsia" w:ascii="Times New Roman" w:hAnsi="Times New Roman"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含</w:t>
            </w:r>
            <w:r>
              <w:rPr>
                <w:rFonts w:hint="eastAsia" w:ascii="Times New Roman" w:hAnsi="Times New Roman"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w:t>
            </w:r>
            <w:r>
              <w:rPr>
                <w:rFonts w:hint="eastAsia" w:eastAsia="宋体" w:cs="Times New Roman"/>
                <w:color w:val="auto"/>
                <w:kern w:val="0"/>
                <w:sz w:val="13"/>
                <w:szCs w:val="13"/>
                <w:highlight w:val="none"/>
                <w:lang w:eastAsia="zh-CN" w:bidi="ar"/>
              </w:rPr>
              <w:t>80%~60%</w:t>
            </w:r>
            <w:r>
              <w:rPr>
                <w:rFonts w:hint="default" w:ascii="Times New Roman" w:hAnsi="Times New Roman" w:eastAsia="宋体" w:cs="Times New Roman"/>
                <w:color w:val="auto"/>
                <w:kern w:val="0"/>
                <w:sz w:val="13"/>
                <w:szCs w:val="13"/>
                <w:highlight w:val="none"/>
                <w:lang w:bidi="ar"/>
              </w:rPr>
              <w:t>（含</w:t>
            </w:r>
            <w:r>
              <w:rPr>
                <w:rFonts w:hint="eastAsia" w:ascii="Times New Roman" w:hAnsi="Times New Roman"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w:t>
            </w:r>
            <w:r>
              <w:rPr>
                <w:rFonts w:hint="eastAsia" w:eastAsia="宋体" w:cs="Times New Roman"/>
                <w:color w:val="auto"/>
                <w:kern w:val="0"/>
                <w:sz w:val="13"/>
                <w:szCs w:val="13"/>
                <w:highlight w:val="none"/>
                <w:lang w:eastAsia="zh-CN" w:bidi="ar"/>
              </w:rPr>
              <w:t>60%~0%</w:t>
            </w:r>
            <w:r>
              <w:rPr>
                <w:rFonts w:hint="default" w:ascii="Times New Roman" w:hAnsi="Times New Roman" w:eastAsia="宋体" w:cs="Times New Roman"/>
                <w:color w:val="auto"/>
                <w:kern w:val="0"/>
                <w:sz w:val="13"/>
                <w:szCs w:val="13"/>
                <w:highlight w:val="none"/>
                <w:lang w:bidi="ar"/>
              </w:rPr>
              <w:t>合理确定分值。</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①指标完成率在</w:t>
            </w:r>
            <w:r>
              <w:rPr>
                <w:rFonts w:hint="eastAsia" w:eastAsia="宋体" w:cs="Times New Roman"/>
                <w:color w:val="auto"/>
                <w:kern w:val="0"/>
                <w:sz w:val="13"/>
                <w:szCs w:val="13"/>
                <w:highlight w:val="none"/>
                <w:lang w:eastAsia="zh-CN" w:bidi="ar"/>
              </w:rPr>
              <w:t>100%~80%</w:t>
            </w:r>
            <w:r>
              <w:rPr>
                <w:rFonts w:hint="default" w:ascii="Times New Roman" w:hAnsi="Times New Roman" w:eastAsia="宋体" w:cs="Times New Roman"/>
                <w:color w:val="auto"/>
                <w:kern w:val="0"/>
                <w:sz w:val="13"/>
                <w:szCs w:val="13"/>
                <w:highlight w:val="none"/>
                <w:lang w:bidi="ar"/>
              </w:rPr>
              <w:t>之间，得满分；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②指标完成率在</w:t>
            </w:r>
            <w:r>
              <w:rPr>
                <w:rFonts w:hint="eastAsia" w:eastAsia="宋体" w:cs="Times New Roman"/>
                <w:color w:val="auto"/>
                <w:kern w:val="0"/>
                <w:sz w:val="13"/>
                <w:szCs w:val="13"/>
                <w:highlight w:val="none"/>
                <w:lang w:eastAsia="zh-CN" w:bidi="ar"/>
              </w:rPr>
              <w:t>80%~60%</w:t>
            </w:r>
            <w:r>
              <w:rPr>
                <w:rFonts w:hint="default" w:ascii="Times New Roman" w:hAnsi="Times New Roman" w:eastAsia="宋体" w:cs="Times New Roman"/>
                <w:color w:val="auto"/>
                <w:kern w:val="0"/>
                <w:sz w:val="13"/>
                <w:szCs w:val="13"/>
                <w:highlight w:val="none"/>
                <w:lang w:bidi="ar"/>
              </w:rPr>
              <w:t>之间，得分=指标完成率×标杆分值；</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③指标完成率小于60%为不及格，不得分。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根据《巴楚县2023年耕地地力保护补贴项目调研问卷》统计结果，调研问卷对象为巴楚县小麦种植农户，共发放问卷164分，收回有效问卷164份，根据问卷问题5至问题7从农户收入、耕地地力、耕地产量方面进行问卷调研，根据问卷统计结果，取指标综合得分率为95.35%，基本达成目标，根据评分标准，得满分。</w:t>
            </w:r>
          </w:p>
          <w:p>
            <w:pPr>
              <w:pageBreakBefore w:val="0"/>
              <w:widowControl/>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该指标满分为10分，根据评分标准得10分。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效果显著</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基本达成目标</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D</w:t>
            </w:r>
            <w:r>
              <w:rPr>
                <w:rFonts w:hint="default" w:ascii="Times New Roman" w:hAnsi="Times New Roman" w:eastAsia="宋体" w:cs="Times New Roman"/>
                <w:color w:val="auto"/>
                <w:kern w:val="0"/>
                <w:sz w:val="13"/>
                <w:szCs w:val="13"/>
                <w:highlight w:val="none"/>
                <w:lang w:val="en-US" w:eastAsia="zh-CN" w:bidi="ar"/>
              </w:rPr>
              <w:t>3</w:t>
            </w:r>
            <w:r>
              <w:rPr>
                <w:rFonts w:hint="default" w:ascii="Times New Roman" w:hAnsi="Times New Roman" w:eastAsia="宋体" w:cs="Times New Roman"/>
                <w:color w:val="auto"/>
                <w:kern w:val="0"/>
                <w:sz w:val="13"/>
                <w:szCs w:val="13"/>
                <w:highlight w:val="none"/>
                <w:lang w:bidi="ar"/>
              </w:rPr>
              <w:t>服务对象满意度指标（10分）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D</w:t>
            </w:r>
            <w:r>
              <w:rPr>
                <w:rFonts w:hint="default" w:ascii="Times New Roman" w:hAnsi="Times New Roman" w:eastAsia="宋体" w:cs="Times New Roman"/>
                <w:color w:val="auto"/>
                <w:kern w:val="0"/>
                <w:sz w:val="13"/>
                <w:szCs w:val="13"/>
                <w:highlight w:val="none"/>
                <w:lang w:val="en-US" w:eastAsia="zh-CN" w:bidi="ar"/>
              </w:rPr>
              <w:t>3</w:t>
            </w:r>
            <w:r>
              <w:rPr>
                <w:rFonts w:hint="default" w:ascii="Times New Roman" w:hAnsi="Times New Roman" w:eastAsia="宋体" w:cs="Times New Roman"/>
                <w:color w:val="auto"/>
                <w:kern w:val="0"/>
                <w:sz w:val="13"/>
                <w:szCs w:val="13"/>
                <w:highlight w:val="none"/>
                <w:lang w:bidi="ar"/>
              </w:rPr>
              <w:t>1农户满意度</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社会公众或服务对象对项目实施效果的满意程度。</w:t>
            </w:r>
          </w:p>
        </w:tc>
        <w:tc>
          <w:tcPr>
            <w:tcW w:w="227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据满意度问卷统计情况计算满意度，满意度调查结果大于等于90%</w:t>
            </w: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得满分；满意度调查结果大于60%且小于90%的，按超过的比重赋分，计算公式为：得分=（实际完成率-60%）/（90%-60%）×指标分值；完成率小于60%为不及格，不得分。</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根据《巴楚县2023年耕地地力保护补贴项目调研问卷》统计结果，满意度调研问卷对象为巴楚县小麦种植农户，共发放问卷164份，收回有效问卷164份，问卷共设计11个问题，其中问题8至问题10从补贴申请流程、发放及时性、项目整体效果等方面进行满意度调研，根据问卷统计结果，计算得到综合满意度为97.48%，根据评分标准，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该指标满分为10分，根据评分标准得10分。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eastAsia" w:eastAsia="宋体" w:cs="Times New Roman"/>
                <w:color w:val="auto"/>
                <w:kern w:val="0"/>
                <w:sz w:val="13"/>
                <w:szCs w:val="13"/>
                <w:highlight w:val="none"/>
                <w:lang w:eastAsia="zh-CN" w:bidi="ar"/>
              </w:rPr>
              <w:t>≥</w:t>
            </w:r>
            <w:r>
              <w:rPr>
                <w:rFonts w:hint="default" w:ascii="Times New Roman" w:hAnsi="Times New Roman" w:eastAsia="宋体" w:cs="Times New Roman"/>
                <w:color w:val="auto"/>
                <w:kern w:val="0"/>
                <w:sz w:val="13"/>
                <w:szCs w:val="13"/>
                <w:highlight w:val="none"/>
                <w:lang w:bidi="ar"/>
              </w:rPr>
              <w:t>90%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eastAsia="zh-CN" w:bidi="ar"/>
              </w:rPr>
              <w:t>97.48%</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小计</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auto"/>
                <w:kern w:val="0"/>
                <w:sz w:val="13"/>
                <w:szCs w:val="13"/>
                <w:highlight w:val="none"/>
                <w:lang w:bidi="ar"/>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35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3</w:t>
            </w:r>
            <w:r>
              <w:rPr>
                <w:rFonts w:hint="eastAsia" w:eastAsia="宋体" w:cs="Times New Roman"/>
                <w:color w:val="auto"/>
                <w:kern w:val="0"/>
                <w:sz w:val="13"/>
                <w:szCs w:val="13"/>
                <w:highlight w:val="none"/>
                <w:lang w:val="en-US" w:eastAsia="zh-CN" w:bidi="ar"/>
              </w:rPr>
              <w:t>0</w:t>
            </w:r>
            <w:r>
              <w:rPr>
                <w:rFonts w:hint="default" w:ascii="Times New Roman" w:hAnsi="Times New Roman" w:eastAsia="宋体" w:cs="Times New Roman"/>
                <w:color w:val="auto"/>
                <w:kern w:val="0"/>
                <w:sz w:val="13"/>
                <w:szCs w:val="13"/>
                <w:highlight w:val="none"/>
                <w:lang w:bidi="ar"/>
              </w:rPr>
              <w:t>.31</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eastAsia" w:eastAsia="宋体" w:cs="Times New Roman"/>
                <w:color w:val="auto"/>
                <w:kern w:val="0"/>
                <w:sz w:val="13"/>
                <w:szCs w:val="13"/>
                <w:highlight w:val="none"/>
                <w:lang w:val="en-US" w:eastAsia="zh-CN" w:bidi="ar"/>
              </w:rPr>
              <w:t>86.6</w:t>
            </w:r>
            <w:r>
              <w:rPr>
                <w:rFonts w:hint="default" w:ascii="Times New Roman" w:hAnsi="Times New Roman" w:eastAsia="宋体" w:cs="Times New Roman"/>
                <w:color w:val="auto"/>
                <w:kern w:val="0"/>
                <w:sz w:val="13"/>
                <w:szCs w:val="13"/>
                <w:highlight w:val="none"/>
                <w:lang w:bidi="ar"/>
              </w:rPr>
              <w:t>%</w:t>
            </w:r>
          </w:p>
        </w:tc>
      </w:tr>
      <w:tr>
        <w:tblPrEx>
          <w:tblCellMar>
            <w:top w:w="0" w:type="dxa"/>
            <w:left w:w="51" w:type="dxa"/>
            <w:bottom w:w="0" w:type="dxa"/>
            <w:right w:w="51" w:type="dxa"/>
          </w:tblCellMar>
        </w:tblPrEx>
        <w:trPr>
          <w:trHeight w:val="261" w:hRule="atLeast"/>
        </w:trPr>
        <w:tc>
          <w:tcPr>
            <w:tcW w:w="64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default" w:ascii="Times New Roman" w:hAnsi="Times New Roman" w:eastAsia="宋体" w:cs="Times New Roman"/>
                <w:color w:val="auto"/>
                <w:kern w:val="0"/>
                <w:sz w:val="13"/>
                <w:szCs w:val="13"/>
                <w:highlight w:val="none"/>
                <w:lang w:bidi="ar"/>
              </w:rPr>
              <w:t>合计</w:t>
            </w:r>
          </w:p>
        </w:tc>
        <w:tc>
          <w:tcPr>
            <w:tcW w:w="379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auto"/>
                <w:kern w:val="0"/>
                <w:sz w:val="13"/>
                <w:szCs w:val="13"/>
                <w:highlight w:val="none"/>
                <w:lang w:bidi="ar"/>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auto"/>
                <w:kern w:val="0"/>
                <w:sz w:val="13"/>
                <w:szCs w:val="13"/>
                <w:highlight w:val="none"/>
                <w:lang w:eastAsia="zh-CN" w:bidi="ar"/>
              </w:rPr>
            </w:pPr>
            <w:r>
              <w:rPr>
                <w:rFonts w:hint="default" w:ascii="Times New Roman" w:hAnsi="Times New Roman" w:eastAsia="宋体" w:cs="Times New Roman"/>
                <w:color w:val="auto"/>
                <w:kern w:val="0"/>
                <w:sz w:val="13"/>
                <w:szCs w:val="13"/>
                <w:highlight w:val="none"/>
                <w:lang w:bidi="ar"/>
              </w:rPr>
              <w:t>100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eastAsia" w:eastAsia="宋体" w:cs="Times New Roman"/>
                <w:color w:val="auto"/>
                <w:kern w:val="0"/>
                <w:sz w:val="13"/>
                <w:szCs w:val="13"/>
                <w:highlight w:val="none"/>
                <w:lang w:val="en-US" w:eastAsia="zh-CN" w:bidi="ar"/>
              </w:rPr>
              <w:t>93</w:t>
            </w:r>
            <w:r>
              <w:rPr>
                <w:rFonts w:hint="default" w:ascii="Times New Roman" w:hAnsi="Times New Roman" w:eastAsia="宋体" w:cs="Times New Roman"/>
                <w:color w:val="auto"/>
                <w:kern w:val="0"/>
                <w:sz w:val="13"/>
                <w:szCs w:val="13"/>
                <w:highlight w:val="none"/>
                <w:lang w:bidi="ar"/>
              </w:rPr>
              <w:t>.31</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auto"/>
                <w:kern w:val="0"/>
                <w:sz w:val="13"/>
                <w:szCs w:val="13"/>
                <w:highlight w:val="none"/>
                <w:lang w:bidi="ar"/>
              </w:rPr>
            </w:pPr>
            <w:r>
              <w:rPr>
                <w:rFonts w:hint="eastAsia" w:eastAsia="宋体" w:cs="Times New Roman"/>
                <w:color w:val="auto"/>
                <w:kern w:val="0"/>
                <w:sz w:val="13"/>
                <w:szCs w:val="13"/>
                <w:highlight w:val="none"/>
                <w:lang w:eastAsia="zh-CN" w:bidi="ar"/>
              </w:rPr>
              <w:t>93.31</w:t>
            </w:r>
            <w:r>
              <w:rPr>
                <w:rFonts w:hint="default" w:ascii="Times New Roman" w:hAnsi="Times New Roman" w:eastAsia="宋体" w:cs="Times New Roman"/>
                <w:color w:val="auto"/>
                <w:kern w:val="0"/>
                <w:sz w:val="13"/>
                <w:szCs w:val="13"/>
                <w:highlight w:val="none"/>
                <w:lang w:bidi="ar"/>
              </w:rPr>
              <w:t>%</w:t>
            </w:r>
          </w:p>
        </w:tc>
      </w:tr>
    </w:tbl>
    <w:p>
      <w:pPr>
        <w:pageBreakBefore w:val="0"/>
        <w:kinsoku/>
        <w:wordWrap/>
        <w:overflowPunct/>
        <w:topLinePunct w:val="0"/>
        <w:autoSpaceDE/>
        <w:autoSpaceDN/>
        <w:bidi w:val="0"/>
        <w:spacing w:line="360" w:lineRule="exact"/>
        <w:ind w:firstLine="420"/>
        <w:rPr>
          <w:color w:val="auto"/>
          <w:highlight w:val="none"/>
        </w:rPr>
      </w:pPr>
    </w:p>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sectPr>
          <w:footerReference r:id="rId12" w:type="default"/>
          <w:pgSz w:w="16838" w:h="11906" w:orient="landscape"/>
          <w:pgMar w:top="1800" w:right="1440" w:bottom="1800" w:left="1440" w:header="851" w:footer="907" w:gutter="0"/>
          <w:cols w:space="425" w:num="1"/>
          <w:docGrid w:type="lines" w:linePitch="312" w:charSpace="0"/>
        </w:sectPr>
      </w:pPr>
    </w:p>
    <w:p>
      <w:pPr>
        <w:pStyle w:val="2"/>
        <w:pageBreakBefore w:val="0"/>
        <w:kinsoku/>
        <w:wordWrap/>
        <w:overflowPunct/>
        <w:topLinePunct w:val="0"/>
        <w:autoSpaceDE/>
        <w:autoSpaceDN/>
        <w:bidi w:val="0"/>
        <w:spacing w:line="360" w:lineRule="exact"/>
        <w:ind w:firstLine="0" w:firstLineChars="0"/>
        <w:rPr>
          <w:color w:val="auto"/>
          <w:highlight w:val="none"/>
        </w:rPr>
      </w:pPr>
      <w:bookmarkStart w:id="140" w:name="_Toc26858"/>
      <w:bookmarkStart w:id="141" w:name="_Toc6006"/>
      <w:bookmarkStart w:id="142" w:name="_Toc25207"/>
      <w:bookmarkStart w:id="143" w:name="_Toc25777"/>
      <w:bookmarkStart w:id="144" w:name="_Toc12265"/>
      <w:r>
        <w:rPr>
          <w:color w:val="auto"/>
          <w:highlight w:val="none"/>
        </w:rPr>
        <w:t>附件2：</w:t>
      </w:r>
      <w:bookmarkEnd w:id="140"/>
      <w:bookmarkEnd w:id="141"/>
      <w:bookmarkEnd w:id="142"/>
      <w:bookmarkEnd w:id="143"/>
      <w:bookmarkEnd w:id="144"/>
    </w:p>
    <w:p>
      <w:pPr>
        <w:pageBreakBefore w:val="0"/>
        <w:kinsoku/>
        <w:wordWrap/>
        <w:overflowPunct/>
        <w:topLinePunct w:val="0"/>
        <w:autoSpaceDE/>
        <w:autoSpaceDN/>
        <w:bidi w:val="0"/>
        <w:spacing w:line="360" w:lineRule="exact"/>
        <w:ind w:firstLine="420"/>
        <w:jc w:val="center"/>
        <w:rPr>
          <w:rFonts w:hint="default" w:ascii="Times New Roman" w:hAnsi="Times New Roman" w:eastAsia="宋体" w:cs="Times New Roman"/>
          <w:b/>
          <w:bCs/>
          <w:color w:val="auto"/>
          <w:sz w:val="22"/>
          <w:szCs w:val="22"/>
          <w:highlight w:val="none"/>
        </w:rPr>
      </w:pPr>
    </w:p>
    <w:p>
      <w:pPr>
        <w:pStyle w:val="7"/>
        <w:pageBreakBefore w:val="0"/>
        <w:kinsoku/>
        <w:wordWrap/>
        <w:overflowPunct/>
        <w:topLinePunct w:val="0"/>
        <w:autoSpaceDE/>
        <w:autoSpaceDN/>
        <w:bidi w:val="0"/>
        <w:spacing w:line="360" w:lineRule="exact"/>
        <w:jc w:val="center"/>
        <w:rPr>
          <w:rFonts w:hint="default" w:ascii="Times New Roman" w:hAnsi="Times New Roman" w:eastAsia="宋体" w:cs="Times New Roman"/>
          <w:b/>
          <w:bCs/>
          <w:color w:val="auto"/>
          <w:sz w:val="22"/>
          <w:szCs w:val="22"/>
          <w:highlight w:val="none"/>
          <w:lang w:val="en-US" w:eastAsia="zh-CN"/>
        </w:rPr>
      </w:pPr>
      <w:r>
        <w:rPr>
          <w:rFonts w:hint="default" w:ascii="Times New Roman" w:hAnsi="Times New Roman" w:eastAsia="宋体" w:cs="Times New Roman"/>
          <w:b/>
          <w:bCs/>
          <w:color w:val="auto"/>
          <w:sz w:val="22"/>
          <w:szCs w:val="22"/>
          <w:highlight w:val="none"/>
          <w:lang w:val="en-US" w:eastAsia="zh-CN"/>
        </w:rPr>
        <w:t>基础表：巴楚县2023年耕地地力保护补贴项目支出明细表</w:t>
      </w:r>
    </w:p>
    <w:p>
      <w:pPr>
        <w:pageBreakBefore w:val="0"/>
        <w:kinsoku/>
        <w:wordWrap/>
        <w:overflowPunct/>
        <w:topLinePunct w:val="0"/>
        <w:autoSpaceDE/>
        <w:autoSpaceDN/>
        <w:bidi w:val="0"/>
        <w:spacing w:line="360" w:lineRule="exact"/>
        <w:rPr>
          <w:rFonts w:hint="default" w:eastAsiaTheme="minorEastAsia"/>
          <w:color w:val="auto"/>
          <w:highlight w:val="none"/>
          <w:lang w:val="en-US" w:eastAsia="zh-CN"/>
        </w:rPr>
      </w:pPr>
    </w:p>
    <w:tbl>
      <w:tblPr>
        <w:tblStyle w:val="18"/>
        <w:tblW w:w="1416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0"/>
        <w:gridCol w:w="1612"/>
        <w:gridCol w:w="1391"/>
        <w:gridCol w:w="1199"/>
        <w:gridCol w:w="1355"/>
        <w:gridCol w:w="1034"/>
        <w:gridCol w:w="1091"/>
        <w:gridCol w:w="870"/>
        <w:gridCol w:w="1111"/>
        <w:gridCol w:w="1128"/>
        <w:gridCol w:w="1085"/>
        <w:gridCol w:w="1097"/>
        <w:gridCol w:w="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序号</w:t>
            </w:r>
          </w:p>
        </w:tc>
        <w:tc>
          <w:tcPr>
            <w:tcW w:w="1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乡镇</w:t>
            </w: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2023年补贴总面积（亩）</w:t>
            </w:r>
          </w:p>
        </w:tc>
        <w:tc>
          <w:tcPr>
            <w:tcW w:w="11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发放补贴总资金（万元）</w:t>
            </w:r>
          </w:p>
        </w:tc>
        <w:tc>
          <w:tcPr>
            <w:tcW w:w="767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冬小麦部分</w:t>
            </w:r>
          </w:p>
        </w:tc>
        <w:tc>
          <w:tcPr>
            <w:tcW w:w="1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春小麦部分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冬小麦享受补贴净面积</w:t>
            </w:r>
            <w:r>
              <w:rPr>
                <w:rFonts w:hint="eastAsia" w:ascii="Times New Roman" w:hAnsi="Times New Roman"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亩</w:t>
            </w:r>
            <w:r>
              <w:rPr>
                <w:rFonts w:hint="eastAsia" w:ascii="Times New Roman" w:hAnsi="Times New Roman" w:eastAsia="宋体" w:cs="Times New Roman"/>
                <w:i w:val="0"/>
                <w:iCs w:val="0"/>
                <w:color w:val="auto"/>
                <w:kern w:val="0"/>
                <w:sz w:val="20"/>
                <w:szCs w:val="20"/>
                <w:highlight w:val="none"/>
                <w:u w:val="none"/>
                <w:lang w:val="en-US" w:eastAsia="zh-CN" w:bidi="ar"/>
              </w:rPr>
              <w:t>）</w:t>
            </w:r>
          </w:p>
        </w:tc>
        <w:tc>
          <w:tcPr>
            <w:tcW w:w="29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补贴标准</w:t>
            </w:r>
            <w:r>
              <w:rPr>
                <w:rFonts w:hint="eastAsia" w:ascii="Times New Roman" w:hAnsi="Times New Roman"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元</w:t>
            </w:r>
            <w:r>
              <w:rPr>
                <w:rFonts w:hint="eastAsia" w:ascii="Times New Roman" w:hAnsi="Times New Roman" w:eastAsia="宋体" w:cs="Times New Roman"/>
                <w:i w:val="0"/>
                <w:iCs w:val="0"/>
                <w:color w:val="auto"/>
                <w:kern w:val="0"/>
                <w:sz w:val="20"/>
                <w:szCs w:val="20"/>
                <w:highlight w:val="none"/>
                <w:u w:val="none"/>
                <w:lang w:val="en-US" w:eastAsia="zh-CN" w:bidi="ar"/>
              </w:rPr>
              <w:t>）</w:t>
            </w:r>
          </w:p>
        </w:tc>
        <w:tc>
          <w:tcPr>
            <w:tcW w:w="11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应享受</w:t>
            </w:r>
            <w:r>
              <w:rPr>
                <w:rFonts w:hint="eastAsia" w:ascii="Times New Roman" w:hAnsi="Times New Roman" w:eastAsia="宋体" w:cs="Times New Roman"/>
                <w:i w:val="0"/>
                <w:iCs w:val="0"/>
                <w:color w:val="auto"/>
                <w:kern w:val="0"/>
                <w:sz w:val="20"/>
                <w:szCs w:val="20"/>
                <w:highlight w:val="none"/>
                <w:u w:val="none"/>
                <w:lang w:val="en-US" w:eastAsia="zh-CN" w:bidi="ar"/>
              </w:rPr>
              <w:t>耕地地力</w:t>
            </w:r>
            <w:r>
              <w:rPr>
                <w:rFonts w:hint="default" w:ascii="Times New Roman" w:hAnsi="Times New Roman" w:eastAsia="宋体" w:cs="Times New Roman"/>
                <w:i w:val="0"/>
                <w:iCs w:val="0"/>
                <w:color w:val="auto"/>
                <w:kern w:val="0"/>
                <w:sz w:val="20"/>
                <w:szCs w:val="20"/>
                <w:highlight w:val="none"/>
                <w:u w:val="none"/>
                <w:lang w:val="en-US" w:eastAsia="zh-CN" w:bidi="ar"/>
              </w:rPr>
              <w:t>保护补贴资金</w:t>
            </w:r>
          </w:p>
        </w:tc>
        <w:tc>
          <w:tcPr>
            <w:tcW w:w="11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2022年已享受实际种粮农民一次性补贴</w:t>
            </w:r>
            <w:r>
              <w:rPr>
                <w:rFonts w:hint="eastAsia" w:ascii="Times New Roman" w:hAnsi="Times New Roman"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第三批</w:t>
            </w:r>
            <w:r>
              <w:rPr>
                <w:rFonts w:hint="eastAsia" w:ascii="Times New Roman" w:hAnsi="Times New Roman"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资金（万元）</w:t>
            </w:r>
          </w:p>
        </w:tc>
        <w:tc>
          <w:tcPr>
            <w:tcW w:w="10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本次申请实际发放资金</w:t>
            </w:r>
            <w:r>
              <w:rPr>
                <w:rFonts w:hint="eastAsia" w:ascii="Times New Roman" w:hAnsi="Times New Roman"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元</w:t>
            </w:r>
            <w:r>
              <w:rPr>
                <w:rFonts w:hint="eastAsia" w:ascii="Times New Roman" w:hAnsi="Times New Roman" w:eastAsia="宋体" w:cs="Times New Roman"/>
                <w:i w:val="0"/>
                <w:iCs w:val="0"/>
                <w:color w:val="auto"/>
                <w:kern w:val="0"/>
                <w:sz w:val="20"/>
                <w:szCs w:val="20"/>
                <w:highlight w:val="none"/>
                <w:u w:val="none"/>
                <w:lang w:val="en-US" w:eastAsia="zh-CN" w:bidi="ar"/>
              </w:rPr>
              <w:t>）</w:t>
            </w: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春小麦面积（亩）</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按照230元/亩补贴金额</w:t>
            </w:r>
            <w:r>
              <w:rPr>
                <w:rFonts w:hint="default"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万元</w:t>
            </w:r>
            <w:r>
              <w:rPr>
                <w:rFonts w:hint="eastAsia" w:ascii="Times New Roman" w:hAnsi="Times New Roman" w:eastAsia="宋体"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耕地地力保护补贴补贴标准</w:t>
            </w:r>
            <w:r>
              <w:rPr>
                <w:rFonts w:hint="eastAsia" w:ascii="Times New Roman" w:hAnsi="Times New Roman"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元</w:t>
            </w:r>
            <w:r>
              <w:rPr>
                <w:rFonts w:hint="eastAsia" w:ascii="Times New Roman" w:hAnsi="Times New Roman" w:eastAsia="宋体" w:cs="Times New Roman"/>
                <w:i w:val="0"/>
                <w:iCs w:val="0"/>
                <w:color w:val="auto"/>
                <w:kern w:val="0"/>
                <w:sz w:val="20"/>
                <w:szCs w:val="20"/>
                <w:highlight w:val="none"/>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2023年度实际种粮农民一次性补贴标准</w:t>
            </w:r>
            <w:r>
              <w:rPr>
                <w:rFonts w:hint="eastAsia" w:ascii="Times New Roman" w:hAnsi="Times New Roman"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元</w:t>
            </w:r>
            <w:r>
              <w:rPr>
                <w:rFonts w:hint="eastAsia" w:ascii="Times New Roman" w:hAnsi="Times New Roman" w:eastAsia="宋体" w:cs="Times New Roman"/>
                <w:i w:val="0"/>
                <w:iCs w:val="0"/>
                <w:color w:val="auto"/>
                <w:kern w:val="0"/>
                <w:sz w:val="20"/>
                <w:szCs w:val="20"/>
                <w:highlight w:val="none"/>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合计：（元/亩）</w:t>
            </w:r>
          </w:p>
        </w:tc>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阿瓦提镇</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21</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833</w:t>
            </w:r>
            <w:r>
              <w:rPr>
                <w:rFonts w:hint="eastAsia" w:eastAsia="宋体" w:cs="Times New Roman"/>
                <w:i w:val="0"/>
                <w:iCs w:val="0"/>
                <w:color w:val="auto"/>
                <w:kern w:val="0"/>
                <w:sz w:val="20"/>
                <w:szCs w:val="20"/>
                <w:highlight w:val="none"/>
                <w:u w:val="none"/>
                <w:lang w:val="en-US" w:eastAsia="zh-CN" w:bidi="ar"/>
              </w:rPr>
              <w:t>.7</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502.18</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21</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828</w:t>
            </w:r>
            <w:r>
              <w:rPr>
                <w:rFonts w:hint="eastAsia" w:eastAsia="宋体" w:cs="Times New Roman"/>
                <w:i w:val="0"/>
                <w:iCs w:val="0"/>
                <w:color w:val="auto"/>
                <w:kern w:val="0"/>
                <w:sz w:val="20"/>
                <w:szCs w:val="20"/>
                <w:highlight w:val="none"/>
                <w:u w:val="none"/>
                <w:lang w:val="en-US" w:eastAsia="zh-CN" w:bidi="ar"/>
              </w:rPr>
              <w:t>.7</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502.06</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39</w:t>
            </w:r>
            <w:r>
              <w:rPr>
                <w:rFonts w:hint="eastAsia" w:eastAsia="宋体" w:cs="Times New Roman"/>
                <w:i w:val="0"/>
                <w:iCs w:val="0"/>
                <w:color w:val="auto"/>
                <w:kern w:val="0"/>
                <w:sz w:val="20"/>
                <w:szCs w:val="20"/>
                <w:highlight w:val="none"/>
                <w:u w:val="none"/>
                <w:lang w:val="en-US" w:eastAsia="zh-CN" w:bidi="ar"/>
              </w:rPr>
              <w:t>.8</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462.26</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英吾斯塘乡</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27</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417</w:t>
            </w:r>
            <w:r>
              <w:rPr>
                <w:rFonts w:hint="eastAsia" w:eastAsia="宋体" w:cs="Times New Roman"/>
                <w:i w:val="0"/>
                <w:iCs w:val="0"/>
                <w:color w:val="auto"/>
                <w:kern w:val="0"/>
                <w:sz w:val="20"/>
                <w:szCs w:val="20"/>
                <w:highlight w:val="none"/>
                <w:u w:val="none"/>
                <w:lang w:val="en-US" w:eastAsia="zh-CN" w:bidi="ar"/>
              </w:rPr>
              <w:t>.8</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630.61</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27</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311</w:t>
            </w:r>
            <w:r>
              <w:rPr>
                <w:rFonts w:hint="eastAsia" w:eastAsia="宋体" w:cs="Times New Roman"/>
                <w:i w:val="0"/>
                <w:iCs w:val="0"/>
                <w:color w:val="auto"/>
                <w:kern w:val="0"/>
                <w:sz w:val="20"/>
                <w:szCs w:val="20"/>
                <w:highlight w:val="none"/>
                <w:u w:val="none"/>
                <w:lang w:val="en-US" w:eastAsia="zh-CN" w:bidi="ar"/>
              </w:rPr>
              <w:t>.9</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628.17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42.54</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585.63</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105</w:t>
            </w:r>
            <w:r>
              <w:rPr>
                <w:rFonts w:hint="eastAsia" w:eastAsia="宋体" w:cs="Times New Roman"/>
                <w:i w:val="0"/>
                <w:iCs w:val="0"/>
                <w:color w:val="auto"/>
                <w:kern w:val="0"/>
                <w:sz w:val="20"/>
                <w:szCs w:val="20"/>
                <w:highlight w:val="none"/>
                <w:u w:val="none"/>
                <w:lang w:val="en-US" w:eastAsia="zh-CN" w:bidi="ar"/>
              </w:rPr>
              <w:t>.9</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琼库尔恰克乡</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38</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263.65</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880.06</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36</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869.15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847.99</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63.45</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784.54</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394</w:t>
            </w:r>
            <w:r>
              <w:rPr>
                <w:rFonts w:hint="eastAsia" w:eastAsia="宋体" w:cs="Times New Roman"/>
                <w:i w:val="0"/>
                <w:iCs w:val="0"/>
                <w:color w:val="auto"/>
                <w:kern w:val="0"/>
                <w:sz w:val="20"/>
                <w:szCs w:val="20"/>
                <w:highlight w:val="none"/>
                <w:u w:val="none"/>
                <w:lang w:val="en-US" w:eastAsia="zh-CN" w:bidi="ar"/>
              </w:rPr>
              <w:t>.5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32.07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色力布亚镇</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40</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960</w:t>
            </w:r>
            <w:r>
              <w:rPr>
                <w:rFonts w:hint="eastAsia" w:eastAsia="宋体" w:cs="Times New Roman"/>
                <w:i w:val="0"/>
                <w:iCs w:val="0"/>
                <w:color w:val="auto"/>
                <w:kern w:val="0"/>
                <w:sz w:val="20"/>
                <w:szCs w:val="20"/>
                <w:highlight w:val="none"/>
                <w:u w:val="none"/>
                <w:lang w:val="en-US" w:eastAsia="zh-CN" w:bidi="ar"/>
              </w:rPr>
              <w:t>.7</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942</w:t>
            </w:r>
            <w:r>
              <w:rPr>
                <w:rFonts w:hint="eastAsia" w:eastAsia="宋体" w:cs="Times New Roman"/>
                <w:i w:val="0"/>
                <w:iCs w:val="0"/>
                <w:color w:val="auto"/>
                <w:kern w:val="0"/>
                <w:sz w:val="20"/>
                <w:szCs w:val="20"/>
                <w:highlight w:val="none"/>
                <w:u w:val="none"/>
                <w:lang w:val="en-US" w:eastAsia="zh-CN" w:bidi="ar"/>
              </w:rPr>
              <w:t>.1</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40</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651</w:t>
            </w:r>
            <w:r>
              <w:rPr>
                <w:rFonts w:hint="eastAsia" w:eastAsia="宋体" w:cs="Times New Roman"/>
                <w:i w:val="0"/>
                <w:iCs w:val="0"/>
                <w:color w:val="auto"/>
                <w:kern w:val="0"/>
                <w:sz w:val="20"/>
                <w:szCs w:val="20"/>
                <w:highlight w:val="none"/>
                <w:u w:val="none"/>
                <w:lang w:val="en-US" w:eastAsia="zh-CN" w:bidi="ar"/>
              </w:rPr>
              <w:t>.6</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934.99</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67.03</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867.96</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309</w:t>
            </w:r>
            <w:r>
              <w:rPr>
                <w:rFonts w:hint="eastAsia" w:eastAsia="宋体" w:cs="Times New Roman"/>
                <w:i w:val="0"/>
                <w:iCs w:val="0"/>
                <w:color w:val="auto"/>
                <w:kern w:val="0"/>
                <w:sz w:val="20"/>
                <w:szCs w:val="20"/>
                <w:highlight w:val="none"/>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7.11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阿拉格尔乡</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30</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347</w:t>
            </w:r>
            <w:r>
              <w:rPr>
                <w:rFonts w:hint="eastAsia" w:eastAsia="宋体" w:cs="Times New Roman"/>
                <w:i w:val="0"/>
                <w:iCs w:val="0"/>
                <w:color w:val="auto"/>
                <w:kern w:val="0"/>
                <w:sz w:val="20"/>
                <w:szCs w:val="20"/>
                <w:highlight w:val="none"/>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697.99</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30</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347</w:t>
            </w:r>
            <w:r>
              <w:rPr>
                <w:rFonts w:hint="eastAsia" w:eastAsia="宋体" w:cs="Times New Roman"/>
                <w:i w:val="0"/>
                <w:iCs w:val="0"/>
                <w:color w:val="auto"/>
                <w:kern w:val="0"/>
                <w:sz w:val="20"/>
                <w:szCs w:val="20"/>
                <w:highlight w:val="none"/>
                <w:u w:val="none"/>
                <w:lang w:val="en-US" w:eastAsia="zh-CN" w:bidi="ar"/>
              </w:rPr>
              <w:t>.4</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697.99</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49.22</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648.78</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阿克萨克马热勒乡</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38</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882</w:t>
            </w:r>
            <w:r>
              <w:rPr>
                <w:rFonts w:hint="eastAsia" w:eastAsia="宋体" w:cs="Times New Roman"/>
                <w:i w:val="0"/>
                <w:iCs w:val="0"/>
                <w:color w:val="auto"/>
                <w:kern w:val="0"/>
                <w:sz w:val="20"/>
                <w:szCs w:val="20"/>
                <w:highlight w:val="none"/>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894.29</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38</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620</w:t>
            </w:r>
            <w:r>
              <w:rPr>
                <w:rFonts w:hint="eastAsia" w:eastAsia="宋体" w:cs="Times New Roman"/>
                <w:i w:val="0"/>
                <w:iCs w:val="0"/>
                <w:color w:val="auto"/>
                <w:kern w:val="0"/>
                <w:sz w:val="20"/>
                <w:szCs w:val="20"/>
                <w:highlight w:val="none"/>
                <w:u w:val="none"/>
                <w:lang w:val="en-US" w:eastAsia="zh-CN" w:bidi="ar"/>
              </w:rPr>
              <w:t>.5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888.27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60</w:t>
            </w:r>
            <w:r>
              <w:rPr>
                <w:rFonts w:hint="eastAsia" w:eastAsia="宋体" w:cs="Times New Roman"/>
                <w:i w:val="0"/>
                <w:iCs w:val="0"/>
                <w:color w:val="auto"/>
                <w:kern w:val="0"/>
                <w:sz w:val="20"/>
                <w:szCs w:val="20"/>
                <w:highlight w:val="none"/>
                <w:u w:val="none"/>
                <w:lang w:val="en-US" w:eastAsia="zh-CN" w:bidi="ar"/>
              </w:rPr>
              <w:t>.9</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827.37</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261</w:t>
            </w:r>
            <w:r>
              <w:rPr>
                <w:rFonts w:hint="eastAsia" w:eastAsia="宋体" w:cs="Times New Roman"/>
                <w:i w:val="0"/>
                <w:iCs w:val="0"/>
                <w:color w:val="auto"/>
                <w:kern w:val="0"/>
                <w:sz w:val="20"/>
                <w:szCs w:val="20"/>
                <w:highlight w:val="none"/>
                <w:u w:val="none"/>
                <w:lang w:val="en-US" w:eastAsia="zh-CN" w:bidi="ar"/>
              </w:rPr>
              <w:t>.8</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7</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夏马勒乡</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023</w:t>
            </w:r>
            <w:r>
              <w:rPr>
                <w:rFonts w:hint="eastAsia" w:eastAsia="宋体" w:cs="Times New Roman"/>
                <w:i w:val="0"/>
                <w:iCs w:val="0"/>
                <w:color w:val="auto"/>
                <w:kern w:val="0"/>
                <w:sz w:val="20"/>
                <w:szCs w:val="20"/>
                <w:highlight w:val="none"/>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184.53</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7</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909</w:t>
            </w:r>
            <w:r>
              <w:rPr>
                <w:rFonts w:hint="eastAsia" w:eastAsia="宋体" w:cs="Times New Roman"/>
                <w:i w:val="0"/>
                <w:iCs w:val="0"/>
                <w:color w:val="auto"/>
                <w:kern w:val="0"/>
                <w:sz w:val="20"/>
                <w:szCs w:val="20"/>
                <w:highlight w:val="none"/>
                <w:u w:val="none"/>
                <w:lang w:val="en-US" w:eastAsia="zh-CN" w:bidi="ar"/>
              </w:rPr>
              <w:t>.2</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181.91</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15.68</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166.23</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114</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阿纳库勒乡</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15</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040.25</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345.93</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14</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707.37</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338.27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3.34</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334.93</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332.88</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7.66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9</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多来提巴格乡</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24</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210</w:t>
            </w:r>
            <w:r>
              <w:rPr>
                <w:rFonts w:hint="eastAsia" w:eastAsia="宋体" w:cs="Times New Roman"/>
                <w:i w:val="0"/>
                <w:iCs w:val="0"/>
                <w:color w:val="auto"/>
                <w:kern w:val="0"/>
                <w:sz w:val="20"/>
                <w:szCs w:val="20"/>
                <w:highlight w:val="none"/>
                <w:u w:val="none"/>
                <w:lang w:val="en-US" w:eastAsia="zh-CN" w:bidi="ar"/>
              </w:rPr>
              <w:t>.9</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556.85</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24</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171</w:t>
            </w:r>
            <w:r>
              <w:rPr>
                <w:rFonts w:hint="eastAsia" w:eastAsia="宋体" w:cs="Times New Roman"/>
                <w:i w:val="0"/>
                <w:iCs w:val="0"/>
                <w:color w:val="auto"/>
                <w:kern w:val="0"/>
                <w:sz w:val="20"/>
                <w:szCs w:val="20"/>
                <w:highlight w:val="none"/>
                <w:u w:val="none"/>
                <w:lang w:val="en-US" w:eastAsia="zh-CN" w:bidi="ar"/>
              </w:rPr>
              <w:t>.2</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555.94</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40.46</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515.48</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39</w:t>
            </w:r>
            <w:r>
              <w:rPr>
                <w:rFonts w:hint="eastAsia" w:eastAsia="宋体" w:cs="Times New Roman"/>
                <w:i w:val="0"/>
                <w:iCs w:val="0"/>
                <w:color w:val="auto"/>
                <w:kern w:val="0"/>
                <w:sz w:val="20"/>
                <w:szCs w:val="20"/>
                <w:highlight w:val="none"/>
                <w:u w:val="none"/>
                <w:lang w:val="en-US" w:eastAsia="zh-CN" w:bidi="ar"/>
              </w:rPr>
              <w:t>.7</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0.91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恰尔巴格乡</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26</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683.38</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613.72</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26</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518.18</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609.92</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47.88</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562.03</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165</w:t>
            </w:r>
            <w:r>
              <w:rPr>
                <w:rFonts w:hint="eastAsia" w:eastAsia="宋体" w:cs="Times New Roman"/>
                <w:i w:val="0"/>
                <w:iCs w:val="0"/>
                <w:color w:val="auto"/>
                <w:kern w:val="0"/>
                <w:sz w:val="20"/>
                <w:szCs w:val="20"/>
                <w:highlight w:val="none"/>
                <w:u w:val="none"/>
                <w:lang w:val="en-US" w:eastAsia="zh-CN" w:bidi="ar"/>
              </w:rPr>
              <w:t>.2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w:t>
            </w:r>
            <w:r>
              <w:rPr>
                <w:rFonts w:hint="eastAsia" w:eastAsia="宋体" w:cs="Times New Roman"/>
                <w:i w:val="0"/>
                <w:iCs w:val="0"/>
                <w:color w:val="auto"/>
                <w:kern w:val="0"/>
                <w:sz w:val="20"/>
                <w:szCs w:val="20"/>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11</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巴楚镇</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136</w:t>
            </w:r>
            <w:r>
              <w:rPr>
                <w:rFonts w:hint="eastAsia" w:eastAsia="宋体" w:cs="Times New Roman"/>
                <w:i w:val="0"/>
                <w:iCs w:val="0"/>
                <w:color w:val="auto"/>
                <w:kern w:val="0"/>
                <w:sz w:val="20"/>
                <w:szCs w:val="20"/>
                <w:highlight w:val="none"/>
                <w:u w:val="none"/>
                <w:lang w:val="en-US" w:eastAsia="zh-CN" w:bidi="ar"/>
              </w:rPr>
              <w:t>.9</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3.15</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125</w:t>
            </w:r>
            <w:r>
              <w:rPr>
                <w:rFonts w:hint="eastAsia" w:eastAsia="宋体" w:cs="Times New Roman"/>
                <w:i w:val="0"/>
                <w:iCs w:val="0"/>
                <w:color w:val="auto"/>
                <w:kern w:val="0"/>
                <w:sz w:val="20"/>
                <w:szCs w:val="20"/>
                <w:highlight w:val="none"/>
                <w:u w:val="none"/>
                <w:lang w:val="en-US" w:eastAsia="zh-CN" w:bidi="ar"/>
              </w:rPr>
              <w:t>.6</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2.89</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2.89</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11</w:t>
            </w:r>
            <w:r>
              <w:rPr>
                <w:rFonts w:hint="eastAsia" w:eastAsia="宋体" w:cs="Times New Roman"/>
                <w:i w:val="0"/>
                <w:iCs w:val="0"/>
                <w:color w:val="auto"/>
                <w:kern w:val="0"/>
                <w:sz w:val="20"/>
                <w:szCs w:val="20"/>
                <w:highlight w:val="none"/>
                <w:u w:val="none"/>
                <w:lang w:val="en-US" w:eastAsia="zh-CN" w:bidi="ar"/>
              </w:rPr>
              <w:t>.3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0.26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2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合计：</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271</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800.18</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251</w:t>
            </w:r>
            <w:r>
              <w:rPr>
                <w:rFonts w:hint="eastAsia" w:eastAsia="宋体" w:cs="Times New Roman"/>
                <w:i w:val="0"/>
                <w:iCs w:val="0"/>
                <w:color w:val="auto"/>
                <w:kern w:val="0"/>
                <w:sz w:val="20"/>
                <w:szCs w:val="20"/>
                <w:highlight w:val="none"/>
                <w:u w:val="none"/>
                <w:lang w:val="en-US" w:eastAsia="zh-CN" w:bidi="ar"/>
              </w:rPr>
              <w:t>.4</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269</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060</w:t>
            </w:r>
            <w:r>
              <w:rPr>
                <w:rFonts w:hint="eastAsia" w:eastAsia="宋体" w:cs="Times New Roman"/>
                <w:i w:val="0"/>
                <w:iCs w:val="0"/>
                <w:color w:val="auto"/>
                <w:kern w:val="0"/>
                <w:sz w:val="20"/>
                <w:szCs w:val="20"/>
                <w:highlight w:val="none"/>
                <w:u w:val="none"/>
                <w:lang w:val="en-US" w:eastAsia="zh-CN" w:bidi="ar"/>
              </w:rPr>
              <w:t>.8</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220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230</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188</w:t>
            </w:r>
            <w:r>
              <w:rPr>
                <w:rFonts w:hint="eastAsia" w:eastAsia="宋体" w:cs="Times New Roman"/>
                <w:i w:val="0"/>
                <w:iCs w:val="0"/>
                <w:color w:val="auto"/>
                <w:kern w:val="0"/>
                <w:sz w:val="20"/>
                <w:szCs w:val="20"/>
                <w:highlight w:val="none"/>
                <w:u w:val="none"/>
                <w:lang w:val="en-US" w:eastAsia="zh-CN" w:bidi="ar"/>
              </w:rPr>
              <w:t>.4</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430.29</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758.11</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w:t>
            </w:r>
            <w:r>
              <w:rPr>
                <w:rFonts w:hint="eastAsia" w:eastAsia="宋体"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739.38</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63</w:t>
            </w:r>
          </w:p>
        </w:tc>
      </w:tr>
    </w:tbl>
    <w:p>
      <w:pPr>
        <w:pageBreakBefore w:val="0"/>
        <w:kinsoku/>
        <w:wordWrap/>
        <w:overflowPunct/>
        <w:topLinePunct w:val="0"/>
        <w:autoSpaceDE/>
        <w:autoSpaceDN/>
        <w:bidi w:val="0"/>
        <w:spacing w:line="360" w:lineRule="exact"/>
        <w:ind w:firstLine="420"/>
        <w:rPr>
          <w:rFonts w:ascii="Times New Roman" w:hAnsi="Times New Roman" w:cs="Times New Roman"/>
          <w:color w:val="auto"/>
          <w:highlight w:val="none"/>
        </w:rPr>
        <w:sectPr>
          <w:pgSz w:w="16838" w:h="11906" w:orient="landscape"/>
          <w:pgMar w:top="1800" w:right="1440" w:bottom="1800" w:left="1440" w:header="851" w:footer="907" w:gutter="0"/>
          <w:cols w:space="425" w:num="1"/>
          <w:docGrid w:type="lines" w:linePitch="312" w:charSpace="0"/>
        </w:sectPr>
      </w:pPr>
    </w:p>
    <w:p>
      <w:pPr>
        <w:pStyle w:val="2"/>
        <w:pageBreakBefore w:val="0"/>
        <w:kinsoku/>
        <w:wordWrap/>
        <w:overflowPunct/>
        <w:topLinePunct w:val="0"/>
        <w:autoSpaceDE/>
        <w:autoSpaceDN/>
        <w:bidi w:val="0"/>
        <w:spacing w:line="360" w:lineRule="exact"/>
        <w:ind w:firstLine="0" w:firstLineChars="0"/>
        <w:rPr>
          <w:color w:val="auto"/>
          <w:highlight w:val="none"/>
        </w:rPr>
      </w:pPr>
      <w:bookmarkStart w:id="145" w:name="_Toc29169"/>
      <w:bookmarkStart w:id="146" w:name="_Toc25064"/>
      <w:bookmarkStart w:id="147" w:name="_Toc4744"/>
      <w:r>
        <w:rPr>
          <w:color w:val="auto"/>
          <w:highlight w:val="none"/>
        </w:rPr>
        <w:t>附件3：问卷调查分析报告</w:t>
      </w:r>
      <w:bookmarkEnd w:id="145"/>
      <w:bookmarkEnd w:id="146"/>
      <w:bookmarkEnd w:id="147"/>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本次绩效评价的对象为</w:t>
      </w:r>
      <w:r>
        <w:rPr>
          <w:rFonts w:hint="default"/>
          <w:color w:val="auto"/>
          <w:highlight w:val="none"/>
          <w:lang w:eastAsia="zh-CN"/>
        </w:rPr>
        <w:t>巴楚县2023年耕地地力保护补贴项目</w:t>
      </w:r>
      <w:r>
        <w:rPr>
          <w:color w:val="auto"/>
          <w:highlight w:val="none"/>
        </w:rPr>
        <w:t>，为客观评价该项目的社会效果，绩效评价小组依据公共支出绩效评价</w:t>
      </w:r>
      <w:r>
        <w:rPr>
          <w:rFonts w:hint="default"/>
          <w:color w:val="auto"/>
          <w:highlight w:val="none"/>
        </w:rPr>
        <w:t>“</w:t>
      </w:r>
      <w:r>
        <w:rPr>
          <w:color w:val="auto"/>
          <w:highlight w:val="none"/>
        </w:rPr>
        <w:t>为顾客服务</w:t>
      </w:r>
      <w:r>
        <w:rPr>
          <w:rFonts w:hint="default"/>
          <w:color w:val="auto"/>
          <w:highlight w:val="none"/>
        </w:rPr>
        <w:t>”</w:t>
      </w:r>
      <w:r>
        <w:rPr>
          <w:color w:val="auto"/>
          <w:highlight w:val="none"/>
        </w:rPr>
        <w:t>原理，引入</w:t>
      </w:r>
      <w:r>
        <w:rPr>
          <w:rFonts w:hint="default"/>
          <w:color w:val="auto"/>
          <w:highlight w:val="none"/>
        </w:rPr>
        <w:t>“</w:t>
      </w:r>
      <w:r>
        <w:rPr>
          <w:rFonts w:hint="default"/>
          <w:color w:val="auto"/>
          <w:highlight w:val="none"/>
          <w:lang w:val="en-US" w:eastAsia="zh-CN"/>
        </w:rPr>
        <w:t>农户</w:t>
      </w:r>
      <w:r>
        <w:rPr>
          <w:color w:val="auto"/>
          <w:highlight w:val="none"/>
        </w:rPr>
        <w:t>满意度</w:t>
      </w:r>
      <w:r>
        <w:rPr>
          <w:rFonts w:hint="default"/>
          <w:color w:val="auto"/>
          <w:highlight w:val="none"/>
        </w:rPr>
        <w:t>”</w:t>
      </w:r>
      <w:r>
        <w:rPr>
          <w:color w:val="auto"/>
          <w:highlight w:val="none"/>
        </w:rPr>
        <w:t>等效益指标，了解</w:t>
      </w:r>
      <w:r>
        <w:rPr>
          <w:rFonts w:hint="default"/>
          <w:color w:val="auto"/>
          <w:highlight w:val="none"/>
          <w:lang w:val="en-US" w:eastAsia="zh-CN"/>
        </w:rPr>
        <w:t>农户</w:t>
      </w:r>
      <w:r>
        <w:rPr>
          <w:color w:val="auto"/>
          <w:highlight w:val="none"/>
        </w:rPr>
        <w:t>对项目的评价情况，对</w:t>
      </w:r>
      <w:r>
        <w:rPr>
          <w:rFonts w:hint="default"/>
          <w:color w:val="auto"/>
          <w:highlight w:val="none"/>
          <w:lang w:eastAsia="zh-CN"/>
        </w:rPr>
        <w:t>该项目</w:t>
      </w:r>
      <w:r>
        <w:rPr>
          <w:color w:val="auto"/>
          <w:highlight w:val="none"/>
        </w:rPr>
        <w:t>展开满意度问卷调查。问卷调查工作情况如下：</w:t>
      </w:r>
    </w:p>
    <w:p>
      <w:pPr>
        <w:pageBreakBefore w:val="0"/>
        <w:kinsoku/>
        <w:wordWrap/>
        <w:overflowPunct/>
        <w:topLinePunct w:val="0"/>
        <w:autoSpaceDE/>
        <w:autoSpaceDN/>
        <w:bidi w:val="0"/>
        <w:spacing w:line="360" w:lineRule="exact"/>
        <w:ind w:firstLine="422"/>
        <w:rPr>
          <w:b/>
          <w:bCs/>
          <w:color w:val="auto"/>
          <w:highlight w:val="none"/>
        </w:rPr>
      </w:pPr>
      <w:bookmarkStart w:id="148" w:name="_Toc529373554"/>
      <w:bookmarkStart w:id="149" w:name="_Toc529373321"/>
      <w:r>
        <w:rPr>
          <w:b/>
          <w:bCs/>
          <w:color w:val="auto"/>
          <w:highlight w:val="none"/>
        </w:rPr>
        <w:t>1.调</w:t>
      </w:r>
      <w:r>
        <w:rPr>
          <w:rFonts w:hint="default"/>
          <w:b/>
          <w:bCs/>
          <w:color w:val="auto"/>
          <w:highlight w:val="none"/>
        </w:rPr>
        <w:t>查</w:t>
      </w:r>
      <w:r>
        <w:rPr>
          <w:b/>
          <w:bCs/>
          <w:color w:val="auto"/>
          <w:highlight w:val="none"/>
        </w:rPr>
        <w:t>对象</w:t>
      </w:r>
      <w:bookmarkEnd w:id="148"/>
      <w:bookmarkEnd w:id="149"/>
    </w:p>
    <w:p>
      <w:pPr>
        <w:pageBreakBefore w:val="0"/>
        <w:kinsoku/>
        <w:wordWrap/>
        <w:overflowPunct/>
        <w:topLinePunct w:val="0"/>
        <w:autoSpaceDE/>
        <w:autoSpaceDN/>
        <w:bidi w:val="0"/>
        <w:spacing w:line="360" w:lineRule="exact"/>
        <w:ind w:firstLine="420"/>
        <w:rPr>
          <w:color w:val="auto"/>
          <w:highlight w:val="none"/>
        </w:rPr>
      </w:pPr>
      <w:r>
        <w:rPr>
          <w:rFonts w:hint="default"/>
          <w:color w:val="auto"/>
          <w:highlight w:val="none"/>
        </w:rPr>
        <w:t>结合</w:t>
      </w:r>
      <w:r>
        <w:rPr>
          <w:rFonts w:hint="default"/>
          <w:color w:val="auto"/>
          <w:highlight w:val="none"/>
          <w:lang w:eastAsia="zh-CN"/>
        </w:rPr>
        <w:t>巴楚县2023年耕地地力保护补贴项目</w:t>
      </w:r>
      <w:r>
        <w:rPr>
          <w:rFonts w:hint="default"/>
          <w:color w:val="auto"/>
          <w:highlight w:val="none"/>
        </w:rPr>
        <w:t>建设工作实施情况及实际问卷调查可操作性，本次满意度问卷旨在考察</w:t>
      </w:r>
      <w:r>
        <w:rPr>
          <w:rFonts w:hint="default"/>
          <w:color w:val="auto"/>
          <w:highlight w:val="none"/>
          <w:lang w:val="en-US" w:eastAsia="zh-CN"/>
        </w:rPr>
        <w:t>巴楚县小麦种植农户</w:t>
      </w:r>
      <w:r>
        <w:rPr>
          <w:rFonts w:hint="default"/>
          <w:color w:val="auto"/>
          <w:highlight w:val="none"/>
        </w:rPr>
        <w:t>对项目的补助及时性</w:t>
      </w:r>
      <w:r>
        <w:rPr>
          <w:rFonts w:hint="default"/>
          <w:color w:val="auto"/>
          <w:highlight w:val="none"/>
          <w:lang w:eastAsia="zh-CN"/>
        </w:rPr>
        <w:t>、</w:t>
      </w:r>
      <w:r>
        <w:rPr>
          <w:rFonts w:hint="default"/>
          <w:color w:val="auto"/>
          <w:highlight w:val="none"/>
          <w:lang w:val="en-US" w:eastAsia="zh-CN"/>
        </w:rPr>
        <w:t>经济收入提升、产量提升</w:t>
      </w:r>
      <w:r>
        <w:rPr>
          <w:rFonts w:hint="default"/>
          <w:color w:val="auto"/>
          <w:highlight w:val="none"/>
        </w:rPr>
        <w:t>等方面满意度情况。因此，</w:t>
      </w:r>
      <w:r>
        <w:rPr>
          <w:color w:val="auto"/>
          <w:highlight w:val="none"/>
        </w:rPr>
        <w:t>本次</w:t>
      </w:r>
      <w:r>
        <w:rPr>
          <w:rFonts w:hint="default"/>
          <w:color w:val="auto"/>
          <w:highlight w:val="none"/>
        </w:rPr>
        <w:t>满意度调查</w:t>
      </w:r>
      <w:r>
        <w:rPr>
          <w:color w:val="auto"/>
          <w:highlight w:val="none"/>
        </w:rPr>
        <w:t>的</w:t>
      </w:r>
      <w:r>
        <w:rPr>
          <w:rFonts w:hint="default"/>
          <w:color w:val="auto"/>
          <w:highlight w:val="none"/>
        </w:rPr>
        <w:t>对象</w:t>
      </w:r>
      <w:r>
        <w:rPr>
          <w:color w:val="auto"/>
          <w:highlight w:val="none"/>
        </w:rPr>
        <w:t>为</w:t>
      </w:r>
      <w:r>
        <w:rPr>
          <w:rFonts w:hint="default"/>
          <w:color w:val="auto"/>
          <w:highlight w:val="none"/>
          <w:lang w:val="en-US" w:eastAsia="zh-CN"/>
        </w:rPr>
        <w:t>巴楚县小麦种植农户</w:t>
      </w:r>
      <w:r>
        <w:rPr>
          <w:color w:val="auto"/>
          <w:highlight w:val="none"/>
        </w:rPr>
        <w:t>。</w:t>
      </w:r>
    </w:p>
    <w:p>
      <w:pPr>
        <w:pageBreakBefore w:val="0"/>
        <w:kinsoku/>
        <w:wordWrap/>
        <w:overflowPunct/>
        <w:topLinePunct w:val="0"/>
        <w:autoSpaceDE/>
        <w:autoSpaceDN/>
        <w:bidi w:val="0"/>
        <w:spacing w:line="360" w:lineRule="exact"/>
        <w:ind w:firstLine="422"/>
        <w:rPr>
          <w:b/>
          <w:bCs/>
          <w:color w:val="auto"/>
          <w:highlight w:val="none"/>
        </w:rPr>
      </w:pPr>
      <w:bookmarkStart w:id="150" w:name="_Toc529373555"/>
      <w:bookmarkStart w:id="151" w:name="_Toc529373322"/>
      <w:r>
        <w:rPr>
          <w:b/>
          <w:bCs/>
          <w:color w:val="auto"/>
          <w:highlight w:val="none"/>
        </w:rPr>
        <w:t>2.调</w:t>
      </w:r>
      <w:r>
        <w:rPr>
          <w:rFonts w:hint="default"/>
          <w:b/>
          <w:bCs/>
          <w:color w:val="auto"/>
          <w:highlight w:val="none"/>
        </w:rPr>
        <w:t>查</w:t>
      </w:r>
      <w:r>
        <w:rPr>
          <w:b/>
          <w:bCs/>
          <w:color w:val="auto"/>
          <w:highlight w:val="none"/>
        </w:rPr>
        <w:t>内容</w:t>
      </w:r>
      <w:bookmarkEnd w:id="150"/>
      <w:bookmarkEnd w:id="151"/>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（1）对</w:t>
      </w:r>
      <w:r>
        <w:rPr>
          <w:rFonts w:hint="default"/>
          <w:color w:val="auto"/>
          <w:highlight w:val="none"/>
          <w:lang w:eastAsia="zh-CN"/>
        </w:rPr>
        <w:t>巴楚县2023年耕地地力保护补贴项目</w:t>
      </w:r>
      <w:r>
        <w:rPr>
          <w:color w:val="auto"/>
          <w:highlight w:val="none"/>
        </w:rPr>
        <w:t>实施后的满意度，包括对项目情况是否了解、知晓和满意、</w:t>
      </w:r>
      <w:r>
        <w:rPr>
          <w:rFonts w:hint="default"/>
          <w:color w:val="auto"/>
          <w:highlight w:val="none"/>
        </w:rPr>
        <w:t>对补助政策</w:t>
      </w:r>
      <w:r>
        <w:rPr>
          <w:color w:val="auto"/>
          <w:highlight w:val="none"/>
        </w:rPr>
        <w:t>是否了解和满意等。</w:t>
      </w:r>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（2）对</w:t>
      </w:r>
      <w:r>
        <w:rPr>
          <w:rFonts w:hint="default"/>
          <w:color w:val="auto"/>
          <w:highlight w:val="none"/>
          <w:lang w:eastAsia="zh-CN"/>
        </w:rPr>
        <w:t>巴楚县2023年耕地地力保护补贴项目</w:t>
      </w:r>
      <w:r>
        <w:rPr>
          <w:color w:val="auto"/>
          <w:highlight w:val="none"/>
        </w:rPr>
        <w:t>的意见和建议，通过开放式问答收集，涵盖各个方面。</w:t>
      </w:r>
    </w:p>
    <w:p>
      <w:pPr>
        <w:pageBreakBefore w:val="0"/>
        <w:kinsoku/>
        <w:wordWrap/>
        <w:overflowPunct/>
        <w:topLinePunct w:val="0"/>
        <w:autoSpaceDE/>
        <w:autoSpaceDN/>
        <w:bidi w:val="0"/>
        <w:spacing w:line="360" w:lineRule="exact"/>
        <w:ind w:firstLine="422"/>
        <w:rPr>
          <w:b/>
          <w:bCs/>
          <w:color w:val="auto"/>
          <w:highlight w:val="none"/>
        </w:rPr>
      </w:pPr>
      <w:bookmarkStart w:id="152" w:name="_Toc529373323"/>
      <w:bookmarkStart w:id="153" w:name="_Toc529373556"/>
      <w:r>
        <w:rPr>
          <w:b/>
          <w:bCs/>
          <w:color w:val="auto"/>
          <w:highlight w:val="none"/>
        </w:rPr>
        <w:t>3.调</w:t>
      </w:r>
      <w:r>
        <w:rPr>
          <w:rFonts w:hint="default"/>
          <w:b/>
          <w:bCs/>
          <w:color w:val="auto"/>
          <w:highlight w:val="none"/>
        </w:rPr>
        <w:t>查</w:t>
      </w:r>
      <w:r>
        <w:rPr>
          <w:b/>
          <w:bCs/>
          <w:color w:val="auto"/>
          <w:highlight w:val="none"/>
        </w:rPr>
        <w:t>方法</w:t>
      </w:r>
      <w:bookmarkEnd w:id="152"/>
      <w:bookmarkEnd w:id="153"/>
    </w:p>
    <w:p>
      <w:pPr>
        <w:pageBreakBefore w:val="0"/>
        <w:kinsoku/>
        <w:wordWrap/>
        <w:overflowPunct/>
        <w:topLinePunct w:val="0"/>
        <w:autoSpaceDE/>
        <w:autoSpaceDN/>
        <w:bidi w:val="0"/>
        <w:spacing w:line="360" w:lineRule="exact"/>
        <w:ind w:firstLine="420"/>
        <w:rPr>
          <w:color w:val="auto"/>
          <w:highlight w:val="none"/>
        </w:rPr>
      </w:pPr>
      <w:r>
        <w:rPr>
          <w:color w:val="auto"/>
          <w:highlight w:val="none"/>
        </w:rPr>
        <w:t>为确保问卷</w:t>
      </w:r>
      <w:r>
        <w:rPr>
          <w:rFonts w:hint="default"/>
          <w:color w:val="auto"/>
          <w:highlight w:val="none"/>
        </w:rPr>
        <w:t>调查</w:t>
      </w:r>
      <w:r>
        <w:rPr>
          <w:color w:val="auto"/>
          <w:highlight w:val="none"/>
        </w:rPr>
        <w:t>的全面性和代表性，在全面调研开展之前会先进行论证，依据论证结果对问卷和抽样方案再进行一次修改和调整。本次问卷调查采取抽样和重点选取的方式进行，对20</w:t>
      </w:r>
      <w:r>
        <w:rPr>
          <w:rFonts w:hint="default"/>
          <w:color w:val="auto"/>
          <w:highlight w:val="none"/>
        </w:rPr>
        <w:t>23</w:t>
      </w:r>
      <w:r>
        <w:rPr>
          <w:color w:val="auto"/>
          <w:highlight w:val="none"/>
        </w:rPr>
        <w:t>年度受益补助企业</w:t>
      </w:r>
      <w:r>
        <w:rPr>
          <w:rFonts w:hint="default"/>
          <w:color w:val="auto"/>
          <w:highlight w:val="none"/>
          <w:lang w:val="en-US" w:eastAsia="zh-CN"/>
        </w:rPr>
        <w:t>164</w:t>
      </w:r>
      <w:r>
        <w:rPr>
          <w:rFonts w:hint="default"/>
          <w:color w:val="auto"/>
          <w:highlight w:val="none"/>
        </w:rPr>
        <w:t>家</w:t>
      </w:r>
      <w:r>
        <w:rPr>
          <w:color w:val="auto"/>
          <w:highlight w:val="none"/>
        </w:rPr>
        <w:t>为样本，发放问卷</w:t>
      </w:r>
      <w:r>
        <w:rPr>
          <w:rFonts w:hint="default"/>
          <w:color w:val="auto"/>
          <w:highlight w:val="none"/>
          <w:lang w:val="en-US" w:eastAsia="zh-CN"/>
        </w:rPr>
        <w:t>164</w:t>
      </w:r>
      <w:r>
        <w:rPr>
          <w:color w:val="auto"/>
          <w:highlight w:val="none"/>
        </w:rPr>
        <w:t>份。</w:t>
      </w:r>
    </w:p>
    <w:p>
      <w:pPr>
        <w:pageBreakBefore w:val="0"/>
        <w:kinsoku/>
        <w:wordWrap/>
        <w:overflowPunct/>
        <w:topLinePunct w:val="0"/>
        <w:autoSpaceDE/>
        <w:autoSpaceDN/>
        <w:bidi w:val="0"/>
        <w:spacing w:line="360" w:lineRule="exact"/>
        <w:ind w:firstLine="422"/>
        <w:rPr>
          <w:b/>
          <w:bCs/>
          <w:color w:val="auto"/>
          <w:highlight w:val="none"/>
        </w:rPr>
      </w:pPr>
      <w:bookmarkStart w:id="154" w:name="_Toc529373325"/>
      <w:bookmarkStart w:id="155" w:name="_Toc529373558"/>
      <w:r>
        <w:rPr>
          <w:rFonts w:hint="default"/>
          <w:b/>
          <w:bCs/>
          <w:color w:val="auto"/>
          <w:highlight w:val="none"/>
        </w:rPr>
        <w:t>4</w:t>
      </w:r>
      <w:r>
        <w:rPr>
          <w:b/>
          <w:bCs/>
          <w:color w:val="auto"/>
          <w:highlight w:val="none"/>
        </w:rPr>
        <w:t>.问卷的发放和回收</w:t>
      </w:r>
      <w:bookmarkEnd w:id="154"/>
      <w:bookmarkEnd w:id="155"/>
    </w:p>
    <w:p>
      <w:pPr>
        <w:pageBreakBefore w:val="0"/>
        <w:kinsoku/>
        <w:wordWrap/>
        <w:overflowPunct/>
        <w:topLinePunct w:val="0"/>
        <w:autoSpaceDE/>
        <w:autoSpaceDN/>
        <w:bidi w:val="0"/>
        <w:spacing w:line="360" w:lineRule="exact"/>
        <w:ind w:firstLine="420"/>
        <w:jc w:val="left"/>
        <w:rPr>
          <w:color w:val="auto"/>
          <w:highlight w:val="none"/>
        </w:rPr>
      </w:pPr>
      <w:r>
        <w:rPr>
          <w:color w:val="auto"/>
          <w:highlight w:val="none"/>
        </w:rPr>
        <w:t>为充分采集</w:t>
      </w:r>
      <w:r>
        <w:rPr>
          <w:rFonts w:hint="default"/>
          <w:color w:val="auto"/>
          <w:highlight w:val="none"/>
        </w:rPr>
        <w:t>调查</w:t>
      </w:r>
      <w:r>
        <w:rPr>
          <w:color w:val="auto"/>
          <w:highlight w:val="none"/>
        </w:rPr>
        <w:t>对象的真实想法，保证</w:t>
      </w:r>
      <w:r>
        <w:rPr>
          <w:rFonts w:hint="default"/>
          <w:color w:val="auto"/>
          <w:highlight w:val="none"/>
        </w:rPr>
        <w:t>问卷调查</w:t>
      </w:r>
      <w:r>
        <w:rPr>
          <w:color w:val="auto"/>
          <w:highlight w:val="none"/>
        </w:rPr>
        <w:t>的公平性和科学性，本次问卷</w:t>
      </w:r>
      <w:r>
        <w:rPr>
          <w:rFonts w:hint="default"/>
          <w:color w:val="auto"/>
          <w:highlight w:val="none"/>
        </w:rPr>
        <w:t>通过</w:t>
      </w:r>
      <w:r>
        <w:rPr>
          <w:rFonts w:hint="default"/>
          <w:color w:val="auto"/>
          <w:highlight w:val="none"/>
          <w:lang w:val="en-US" w:eastAsia="zh-CN"/>
        </w:rPr>
        <w:t>线上</w:t>
      </w:r>
      <w:r>
        <w:rPr>
          <w:rFonts w:hint="default"/>
          <w:color w:val="auto"/>
          <w:highlight w:val="none"/>
        </w:rPr>
        <w:t>问卷形式进行</w:t>
      </w:r>
      <w:r>
        <w:rPr>
          <w:color w:val="auto"/>
          <w:highlight w:val="none"/>
        </w:rPr>
        <w:t>发放与回收。</w:t>
      </w:r>
    </w:p>
    <w:p>
      <w:pPr>
        <w:pageBreakBefore w:val="0"/>
        <w:kinsoku/>
        <w:wordWrap/>
        <w:overflowPunct/>
        <w:topLinePunct w:val="0"/>
        <w:autoSpaceDE/>
        <w:autoSpaceDN/>
        <w:bidi w:val="0"/>
        <w:spacing w:line="360" w:lineRule="exact"/>
        <w:ind w:left="420" w:leftChars="200" w:firstLine="0" w:firstLineChars="0"/>
        <w:jc w:val="left"/>
        <w:rPr>
          <w:b/>
          <w:bCs/>
          <w:color w:val="auto"/>
          <w:highlight w:val="none"/>
        </w:rPr>
      </w:pPr>
      <w:r>
        <w:rPr>
          <w:rFonts w:hint="default"/>
          <w:b/>
          <w:bCs/>
          <w:color w:val="auto"/>
          <w:highlight w:val="none"/>
        </w:rPr>
        <w:t>5.</w:t>
      </w:r>
      <w:r>
        <w:rPr>
          <w:b/>
          <w:bCs/>
          <w:color w:val="auto"/>
          <w:highlight w:val="none"/>
        </w:rPr>
        <w:t>问卷调查分析结果</w:t>
      </w:r>
    </w:p>
    <w:p>
      <w:pPr>
        <w:pageBreakBefore w:val="0"/>
        <w:kinsoku/>
        <w:wordWrap/>
        <w:overflowPunct/>
        <w:topLinePunct w:val="0"/>
        <w:autoSpaceDE/>
        <w:autoSpaceDN/>
        <w:bidi w:val="0"/>
        <w:spacing w:line="360" w:lineRule="exact"/>
        <w:ind w:firstLine="420"/>
        <w:jc w:val="left"/>
        <w:rPr>
          <w:color w:val="auto"/>
          <w:highlight w:val="none"/>
        </w:rPr>
      </w:pPr>
      <w:r>
        <w:rPr>
          <w:color w:val="auto"/>
          <w:highlight w:val="none"/>
        </w:rPr>
        <w:t>本次调研过程中，</w:t>
      </w:r>
      <w:r>
        <w:rPr>
          <w:rFonts w:hint="default"/>
          <w:color w:val="auto"/>
          <w:highlight w:val="none"/>
        </w:rPr>
        <w:t>评价组</w:t>
      </w:r>
      <w:r>
        <w:rPr>
          <w:color w:val="auto"/>
          <w:highlight w:val="none"/>
        </w:rPr>
        <w:t>实际发放问卷</w:t>
      </w:r>
      <w:r>
        <w:rPr>
          <w:rFonts w:hint="default"/>
          <w:color w:val="auto"/>
          <w:highlight w:val="none"/>
          <w:lang w:val="en-US" w:eastAsia="zh-CN"/>
        </w:rPr>
        <w:t>164</w:t>
      </w:r>
      <w:r>
        <w:rPr>
          <w:color w:val="auto"/>
          <w:highlight w:val="none"/>
        </w:rPr>
        <w:t>份，回收问卷</w:t>
      </w:r>
      <w:r>
        <w:rPr>
          <w:rFonts w:hint="default"/>
          <w:color w:val="auto"/>
          <w:highlight w:val="none"/>
          <w:lang w:val="en-US" w:eastAsia="zh-CN"/>
        </w:rPr>
        <w:t>164</w:t>
      </w:r>
      <w:r>
        <w:rPr>
          <w:color w:val="auto"/>
          <w:highlight w:val="none"/>
        </w:rPr>
        <w:t>份，问卷回收率为</w:t>
      </w:r>
      <w:r>
        <w:rPr>
          <w:rFonts w:hint="default"/>
          <w:color w:val="auto"/>
          <w:highlight w:val="none"/>
        </w:rPr>
        <w:t>100</w:t>
      </w:r>
      <w:r>
        <w:rPr>
          <w:color w:val="auto"/>
          <w:highlight w:val="none"/>
        </w:rPr>
        <w:t>%，有效问卷</w:t>
      </w:r>
      <w:r>
        <w:rPr>
          <w:rFonts w:hint="default"/>
          <w:color w:val="auto"/>
          <w:highlight w:val="none"/>
          <w:lang w:val="en-US" w:eastAsia="zh-CN"/>
        </w:rPr>
        <w:t>164</w:t>
      </w:r>
      <w:r>
        <w:rPr>
          <w:color w:val="auto"/>
          <w:highlight w:val="none"/>
        </w:rPr>
        <w:t>份，有效回收率</w:t>
      </w:r>
      <w:r>
        <w:rPr>
          <w:rFonts w:hint="default"/>
          <w:color w:val="auto"/>
          <w:highlight w:val="none"/>
        </w:rPr>
        <w:t>100</w:t>
      </w:r>
      <w:r>
        <w:rPr>
          <w:color w:val="auto"/>
          <w:highlight w:val="none"/>
        </w:rPr>
        <w:t>%，</w:t>
      </w:r>
      <w:r>
        <w:rPr>
          <w:rFonts w:hint="default"/>
          <w:color w:val="auto"/>
          <w:highlight w:val="none"/>
        </w:rPr>
        <w:t>调研问卷总体满意度为</w:t>
      </w:r>
      <w:r>
        <w:rPr>
          <w:rFonts w:hint="default"/>
          <w:color w:val="auto"/>
          <w:highlight w:val="none"/>
          <w:lang w:val="en-US" w:eastAsia="zh-CN"/>
        </w:rPr>
        <w:t>97.48%</w:t>
      </w:r>
      <w:r>
        <w:rPr>
          <w:rFonts w:hint="default"/>
          <w:color w:val="auto"/>
          <w:highlight w:val="none"/>
        </w:rPr>
        <w:t>。根据问卷调查结果反馈，</w:t>
      </w:r>
      <w:r>
        <w:rPr>
          <w:rFonts w:hint="default"/>
          <w:color w:val="auto"/>
          <w:highlight w:val="none"/>
          <w:lang w:val="en-US" w:eastAsia="zh-CN"/>
        </w:rPr>
        <w:t>农户对项目实施的</w:t>
      </w:r>
      <w:r>
        <w:rPr>
          <w:rFonts w:hint="default"/>
          <w:color w:val="auto"/>
          <w:highlight w:val="none"/>
        </w:rPr>
        <w:t>政策普及宣传、农户收入、耕地地力、耕地产量、补贴申请发放方面总体比较满意。</w:t>
      </w:r>
      <w:r>
        <w:rPr>
          <w:color w:val="auto"/>
          <w:highlight w:val="none"/>
        </w:rPr>
        <w:t>本次调研的</w:t>
      </w:r>
      <w:r>
        <w:rPr>
          <w:rFonts w:hint="default"/>
          <w:color w:val="auto"/>
          <w:highlight w:val="none"/>
        </w:rPr>
        <w:t>具体</w:t>
      </w:r>
      <w:r>
        <w:rPr>
          <w:color w:val="auto"/>
          <w:highlight w:val="none"/>
        </w:rPr>
        <w:t>情况如下：</w:t>
      </w:r>
    </w:p>
    <w:tbl>
      <w:tblPr>
        <w:tblStyle w:val="18"/>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80"/>
        <w:gridCol w:w="2598"/>
        <w:gridCol w:w="27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1.请问您是否在2023年申请耕地地力保护补贴资金？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是</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147</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89.63%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否</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17</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2.请问您对耕地地力保护补贴是否了解?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十分了解</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133</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82</w:t>
            </w:r>
            <w:r>
              <w:rPr>
                <w:rFonts w:hint="eastAsia" w:eastAsia="宋体" w:cs="Times New Roman"/>
                <w:i w:val="0"/>
                <w:iCs w:val="0"/>
                <w:color w:val="auto"/>
                <w:kern w:val="0"/>
                <w:sz w:val="21"/>
                <w:szCs w:val="21"/>
                <w:highlight w:val="none"/>
                <w:u w:val="none"/>
                <w:lang w:val="en-US" w:eastAsia="zh-CN" w:bidi="ar"/>
              </w:rPr>
              <w:t>.1</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比较了解</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16</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11</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不太了解</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完全不清楚</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3.您是通过哪些渠道了解耕地地力保护补贴政策的？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网络平台</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33</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广播电视</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政府宣传</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39</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23.78%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乡镇公示公告</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88</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其他</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4.您所在的乡镇是否经常开展过耕地地力保护项目的有关宣传活动？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是的，经常开展</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157</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95.73%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是的，偶尔开展</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一般，很少开展</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没有开展</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不清楚</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5.请问您种田的经济收入改善情况如何？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极大改善</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136</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82.93%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有所改善</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23</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基本不变</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略有变差</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极大变差</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6.请问您的耕地是否存在耕地退化、地力不足等其他问题？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没有退化，地力明显提升</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85.37%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没有退化，地力略有提升</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r>
              <w:rPr>
                <w:rFonts w:hint="eastAsia" w:eastAsia="宋体" w:cs="Times New Roman"/>
                <w:i w:val="0"/>
                <w:iCs w:val="0"/>
                <w:color w:val="auto"/>
                <w:kern w:val="0"/>
                <w:sz w:val="21"/>
                <w:szCs w:val="21"/>
                <w:highlight w:val="none"/>
                <w:u w:val="none"/>
                <w:lang w:val="en-US" w:eastAsia="zh-CN" w:bidi="ar"/>
              </w:rPr>
              <w:t>.1</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基本没有变化</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7</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存在退化，地力不足</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退化、地力不足比较严重</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7.请问您的耕地近几年的粮食产量如何？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有所增加</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148</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90.24%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略有增加</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基本不变</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略有降低</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较大降低</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8.请问您在申请耕地地力保护补贴时是否顺利？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很满意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150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很不满意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9.请问您对本项目的奖补资金发放及时性是否满意？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很满意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150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11</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很不满意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10.请问您对2023年耕地地力保护补贴项目实施的整体满意度如何？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很满意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144</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87</w:t>
            </w:r>
            <w:r>
              <w:rPr>
                <w:rFonts w:hint="eastAsia" w:eastAsia="宋体" w:cs="Times New Roman"/>
                <w:i w:val="0"/>
                <w:iCs w:val="0"/>
                <w:color w:val="auto"/>
                <w:kern w:val="0"/>
                <w:sz w:val="21"/>
                <w:szCs w:val="21"/>
                <w:highlight w:val="none"/>
                <w:u w:val="none"/>
                <w:lang w:val="en-US" w:eastAsia="zh-CN" w:bidi="ar"/>
              </w:rPr>
              <w:t>.8</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很不满意</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11.您对于本项目是否有其他意见或建议？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无。</w:t>
            </w:r>
          </w:p>
        </w:tc>
      </w:tr>
    </w:tbl>
    <w:p>
      <w:pPr>
        <w:pageBreakBefore w:val="0"/>
        <w:kinsoku/>
        <w:wordWrap/>
        <w:overflowPunct/>
        <w:topLinePunct w:val="0"/>
        <w:autoSpaceDE/>
        <w:autoSpaceDN/>
        <w:bidi w:val="0"/>
        <w:spacing w:line="360" w:lineRule="exact"/>
        <w:jc w:val="left"/>
        <w:rPr>
          <w:color w:val="auto"/>
          <w:highlight w:val="none"/>
        </w:rPr>
      </w:pPr>
      <w:r>
        <w:rPr>
          <w:color w:val="auto"/>
          <w:highlight w:val="none"/>
        </w:rPr>
        <w:br w:type="page"/>
      </w:r>
    </w:p>
    <w:p>
      <w:pPr>
        <w:pageBreakBefore w:val="0"/>
        <w:kinsoku/>
        <w:wordWrap/>
        <w:overflowPunct/>
        <w:topLinePunct w:val="0"/>
        <w:autoSpaceDE/>
        <w:autoSpaceDN/>
        <w:bidi w:val="0"/>
        <w:spacing w:line="360" w:lineRule="exact"/>
        <w:ind w:firstLine="0" w:firstLineChars="0"/>
        <w:rPr>
          <w:rFonts w:hint="eastAsia" w:eastAsia="黑体"/>
          <w:color w:val="auto"/>
          <w:highlight w:val="none"/>
          <w:lang w:eastAsia="zh-CN"/>
        </w:rPr>
      </w:pPr>
    </w:p>
    <w:p>
      <w:pPr>
        <w:pageBreakBefore w:val="0"/>
        <w:kinsoku/>
        <w:wordWrap/>
        <w:overflowPunct/>
        <w:topLinePunct w:val="0"/>
        <w:autoSpaceDE/>
        <w:autoSpaceDN/>
        <w:bidi w:val="0"/>
        <w:spacing w:line="360" w:lineRule="exact"/>
        <w:rPr>
          <w:color w:val="auto"/>
          <w:highlight w:val="none"/>
        </w:rPr>
      </w:pPr>
    </w:p>
    <w:p>
      <w:pPr>
        <w:pageBreakBefore w:val="0"/>
        <w:kinsoku/>
        <w:wordWrap/>
        <w:overflowPunct/>
        <w:topLinePunct w:val="0"/>
        <w:autoSpaceDE/>
        <w:autoSpaceDN/>
        <w:bidi w:val="0"/>
        <w:spacing w:line="360" w:lineRule="exact"/>
        <w:jc w:val="center"/>
        <w:rPr>
          <w:rFonts w:ascii="Times New Roman" w:hAnsi="Times New Roman" w:cs="Times New Roman" w:eastAsiaTheme="minorEastAsia"/>
          <w:color w:val="auto"/>
          <w:kern w:val="2"/>
          <w:sz w:val="21"/>
          <w:szCs w:val="21"/>
          <w:highlight w:val="none"/>
          <w:lang w:val="en-US" w:eastAsia="zh-CN" w:bidi="ar-SA"/>
        </w:rPr>
      </w:pPr>
    </w:p>
    <w:p>
      <w:pPr>
        <w:pageBreakBefore w:val="0"/>
        <w:kinsoku/>
        <w:wordWrap/>
        <w:overflowPunct/>
        <w:topLinePunct w:val="0"/>
        <w:autoSpaceDE/>
        <w:autoSpaceDN/>
        <w:bidi w:val="0"/>
        <w:spacing w:line="360" w:lineRule="exact"/>
        <w:jc w:val="left"/>
        <w:rPr>
          <w:rFonts w:ascii="Times New Roman" w:hAnsi="Times New Roman" w:cs="Times New Roman" w:eastAsiaTheme="minorEastAsia"/>
          <w:color w:val="auto"/>
          <w:kern w:val="2"/>
          <w:sz w:val="21"/>
          <w:szCs w:val="21"/>
          <w:highlight w:val="none"/>
          <w:lang w:val="en-US" w:eastAsia="zh-CN" w:bidi="ar-SA"/>
        </w:rPr>
      </w:pPr>
    </w:p>
    <w:p>
      <w:pPr>
        <w:pageBreakBefore w:val="0"/>
        <w:kinsoku/>
        <w:wordWrap/>
        <w:overflowPunct/>
        <w:topLinePunct w:val="0"/>
        <w:autoSpaceDE/>
        <w:autoSpaceDN/>
        <w:bidi w:val="0"/>
        <w:spacing w:line="360" w:lineRule="exact"/>
        <w:jc w:val="left"/>
        <w:rPr>
          <w:color w:val="auto"/>
          <w:highlight w:val="none"/>
          <w:lang w:val="en-US" w:eastAsia="zh-CN"/>
        </w:rPr>
      </w:pPr>
    </w:p>
    <w:p>
      <w:pPr>
        <w:pageBreakBefore w:val="0"/>
        <w:kinsoku/>
        <w:wordWrap/>
        <w:overflowPunct/>
        <w:topLinePunct w:val="0"/>
        <w:autoSpaceDE/>
        <w:autoSpaceDN/>
        <w:bidi w:val="0"/>
        <w:spacing w:line="360" w:lineRule="exact"/>
        <w:jc w:val="center"/>
        <w:rPr>
          <w:color w:val="auto"/>
          <w:highlight w:val="none"/>
          <w:lang w:val="en-US" w:eastAsia="zh-CN"/>
        </w:rPr>
      </w:pPr>
    </w:p>
    <w:sectPr>
      <w:footerReference r:id="rId13" w:type="default"/>
      <w:pgSz w:w="11906" w:h="16838"/>
      <w:pgMar w:top="1440" w:right="1800" w:bottom="1440" w:left="1800" w:header="851" w:footer="79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altName w:val="微软雅黑"/>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439"/>
        <w:tab w:val="right" w:pos="8999"/>
      </w:tabs>
      <w:ind w:firstLine="360"/>
    </w:pPr>
    <w:r>
      <w:rPr>
        <w:rFonts w:hint="eastAsia"/>
      </w:rPr>
      <w:tab/>
    </w:r>
    <w:r>
      <w:rPr>
        <w:rFonts w:hint="eastAsia"/>
      </w:rPr>
      <w:tab/>
    </w:r>
    <w:r>
      <w:rPr>
        <w:rFonts w:hint="eastAsia"/>
      </w:rPr>
      <w:tab/>
    </w:r>
    <w:r>
      <w:rPr>
        <w:rFonts w:hint="eastAsia"/>
      </w:rPr>
      <w:tab/>
    </w:r>
  </w:p>
  <w:p>
    <w:pPr>
      <w:pStyle w:val="13"/>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right"/>
    </w:pPr>
    <w:r>
      <mc:AlternateContent>
        <mc:Choice Requires="wps">
          <w:drawing>
            <wp:anchor distT="0" distB="0" distL="114300" distR="114300" simplePos="0" relativeHeight="251659264" behindDoc="0" locked="0" layoutInCell="1" allowOverlap="1">
              <wp:simplePos x="0" y="0"/>
              <wp:positionH relativeFrom="margin">
                <wp:posOffset>2526665</wp:posOffset>
              </wp:positionH>
              <wp:positionV relativeFrom="paragraph">
                <wp:posOffset>-5715</wp:posOffset>
              </wp:positionV>
              <wp:extent cx="433705" cy="13716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3705" cy="137160"/>
                      </a:xfrm>
                      <a:prstGeom prst="rect">
                        <a:avLst/>
                      </a:prstGeom>
                      <a:noFill/>
                      <a:ln>
                        <a:noFill/>
                      </a:ln>
                    </wps:spPr>
                    <wps:txbx>
                      <w:txbxContent>
                        <w:p>
                          <w:pPr>
                            <w:pStyle w:val="13"/>
                            <w:spacing w:line="240" w:lineRule="auto"/>
                            <w:ind w:firstLine="0" w:firstLineChars="0"/>
                          </w:pPr>
                          <w:r>
                            <w:fldChar w:fldCharType="begin"/>
                          </w:r>
                          <w:r>
                            <w:instrText xml:space="preserve"> PAGE  \* MERGEFORMAT </w:instrText>
                          </w:r>
                          <w:r>
                            <w:fldChar w:fldCharType="separate"/>
                          </w:r>
                          <w:r>
                            <w:t>II</w:t>
                          </w:r>
                          <w:r>
                            <w:fldChar w:fldCharType="end"/>
                          </w:r>
                        </w:p>
                      </w:txbxContent>
                    </wps:txbx>
                    <wps:bodyPr wrap="square" lIns="0" tIns="0" rIns="0" bIns="0">
                      <a:noAutofit/>
                    </wps:bodyPr>
                  </wps:wsp>
                </a:graphicData>
              </a:graphic>
            </wp:anchor>
          </w:drawing>
        </mc:Choice>
        <mc:Fallback>
          <w:pict>
            <v:shape id="_x0000_s1026" o:spid="_x0000_s1026" o:spt="202" type="#_x0000_t202" style="position:absolute;left:0pt;margin-left:198.95pt;margin-top:-0.45pt;height:10.8pt;width:34.15pt;mso-position-horizontal-relative:margin;z-index:251659264;mso-width-relative:page;mso-height-relative:page;" filled="f" stroked="f" coordsize="21600,21600" o:gfxdata="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COzKCtgA&#10;AAAIAQAADwAAAAAAAAABACAAAAAiAAAAZHJzL2Rvd25yZXYueG1sUEsBAhQAFAAAAAgAh07iQEVO&#10;8jytAQAAPwMAAA4AAAAAAAAAAQAgAAAAJwEAAGRycy9lMm9Eb2MueG1sUEsFBgAAAAAGAAYAWQEA&#10;AEYFAAAAAA==&#10;">
              <v:fill on="f" focussize="0,0"/>
              <v:stroke on="f"/>
              <v:imagedata o:title=""/>
              <o:lock v:ext="edit" aspectratio="f"/>
              <v:textbox inset="0mm,0mm,0mm,0mm">
                <w:txbxContent>
                  <w:p>
                    <w:pPr>
                      <w:pStyle w:val="13"/>
                      <w:spacing w:line="240" w:lineRule="auto"/>
                      <w:ind w:firstLine="0" w:firstLineChars="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9161"/>
      <w:docPartObj>
        <w:docPartGallery w:val="autotext"/>
      </w:docPartObj>
    </w:sdtPr>
    <w:sdtContent>
      <w:p>
        <w:pPr>
          <w:pStyle w:val="13"/>
          <w:ind w:firstLine="360"/>
          <w:jc w:val="center"/>
        </w:pPr>
        <w:r>
          <w:fldChar w:fldCharType="begin"/>
        </w:r>
        <w:r>
          <w:instrText xml:space="preserve">PAGE   \* MERGEFORMAT</w:instrText>
        </w:r>
        <w:r>
          <w:fldChar w:fldCharType="separate"/>
        </w:r>
        <w:r>
          <w:rPr>
            <w:lang w:val="zh-CN"/>
          </w:rPr>
          <w:t>1</w:t>
        </w:r>
        <w:r>
          <w:fldChar w:fldCharType="end"/>
        </w:r>
      </w:p>
    </w:sdtContent>
  </w:sdt>
  <w:p>
    <w:pPr>
      <w:pStyle w:val="13"/>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654414"/>
      <w:docPartObj>
        <w:docPartGallery w:val="autotext"/>
      </w:docPartObj>
    </w:sdtPr>
    <w:sdtContent>
      <w:p>
        <w:pPr>
          <w:pStyle w:val="13"/>
          <w:ind w:firstLine="360"/>
          <w:jc w:val="center"/>
        </w:pPr>
        <w:r>
          <w:fldChar w:fldCharType="begin"/>
        </w:r>
        <w:r>
          <w:instrText xml:space="preserve">PAGE   \* MERGEFORMAT</w:instrText>
        </w:r>
        <w:r>
          <w:fldChar w:fldCharType="separate"/>
        </w:r>
        <w:r>
          <w:rPr>
            <w:lang w:val="zh-CN"/>
          </w:rPr>
          <w:t>7</w:t>
        </w:r>
        <w:r>
          <w:fldChar w:fldCharType="end"/>
        </w:r>
      </w:p>
    </w:sdtContent>
  </w:sdt>
  <w:p>
    <w:pPr>
      <w:pStyle w:val="13"/>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9251423"/>
      <w:docPartObj>
        <w:docPartGallery w:val="autotext"/>
      </w:docPartObj>
    </w:sdtPr>
    <w:sdtContent>
      <w:p>
        <w:pPr>
          <w:pStyle w:val="13"/>
          <w:spacing w:line="240" w:lineRule="auto"/>
          <w:ind w:firstLine="0" w:firstLineChars="0"/>
          <w:jc w:val="center"/>
        </w:pPr>
        <w:r>
          <w:fldChar w:fldCharType="begin"/>
        </w:r>
        <w:r>
          <w:instrText xml:space="preserve">PAGE   \* MERGEFORMAT</w:instrText>
        </w:r>
        <w:r>
          <w:fldChar w:fldCharType="separate"/>
        </w:r>
        <w:r>
          <w:rPr>
            <w:lang w:val="zh-CN"/>
          </w:rPr>
          <w:t>11</w:t>
        </w:r>
        <w:r>
          <w:fldChar w:fldCharType="end"/>
        </w:r>
      </w:p>
    </w:sdtContent>
  </w:sdt>
  <w:p>
    <w:pPr>
      <w:pStyle w:val="13"/>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F7A89"/>
    <w:multiLevelType w:val="singleLevel"/>
    <w:tmpl w:val="536F7A89"/>
    <w:lvl w:ilvl="0" w:tentative="0">
      <w:start w:val="1"/>
      <w:numFmt w:val="decimal"/>
      <w:suff w:val="nothing"/>
      <w:lvlText w:val="%1."/>
      <w:lvlJc w:val="left"/>
      <w:pPr>
        <w:ind w:left="0" w:leftChars="0" w:firstLine="4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MWIwZGExYjFiYmEwZTI5M2Y4YmVjYmY1ZmZhYjYifQ=="/>
  </w:docVars>
  <w:rsids>
    <w:rsidRoot w:val="00A03703"/>
    <w:rsid w:val="00144E57"/>
    <w:rsid w:val="0020458F"/>
    <w:rsid w:val="00207014"/>
    <w:rsid w:val="00252009"/>
    <w:rsid w:val="002550B3"/>
    <w:rsid w:val="0036398D"/>
    <w:rsid w:val="0041395F"/>
    <w:rsid w:val="00426245"/>
    <w:rsid w:val="006C6562"/>
    <w:rsid w:val="00774338"/>
    <w:rsid w:val="00813149"/>
    <w:rsid w:val="00837A57"/>
    <w:rsid w:val="00A03703"/>
    <w:rsid w:val="00A15A88"/>
    <w:rsid w:val="00C32FFE"/>
    <w:rsid w:val="00C83FDF"/>
    <w:rsid w:val="00CA14B6"/>
    <w:rsid w:val="00D265A7"/>
    <w:rsid w:val="00D50A30"/>
    <w:rsid w:val="00E12696"/>
    <w:rsid w:val="00EE50F7"/>
    <w:rsid w:val="01DE1480"/>
    <w:rsid w:val="032920CF"/>
    <w:rsid w:val="04542819"/>
    <w:rsid w:val="050C276A"/>
    <w:rsid w:val="085705E0"/>
    <w:rsid w:val="09DD6475"/>
    <w:rsid w:val="09E65C14"/>
    <w:rsid w:val="0A2C5771"/>
    <w:rsid w:val="0C5D5E4B"/>
    <w:rsid w:val="0C69230C"/>
    <w:rsid w:val="0EC86014"/>
    <w:rsid w:val="1158748B"/>
    <w:rsid w:val="1190322D"/>
    <w:rsid w:val="11C83272"/>
    <w:rsid w:val="12E52DFE"/>
    <w:rsid w:val="13513B8A"/>
    <w:rsid w:val="16AD25B0"/>
    <w:rsid w:val="178025FC"/>
    <w:rsid w:val="1821504C"/>
    <w:rsid w:val="194006D5"/>
    <w:rsid w:val="1A7A0749"/>
    <w:rsid w:val="1A8A0E46"/>
    <w:rsid w:val="1B5955C0"/>
    <w:rsid w:val="1F271DD6"/>
    <w:rsid w:val="20070B5C"/>
    <w:rsid w:val="204A64FA"/>
    <w:rsid w:val="208800D4"/>
    <w:rsid w:val="20DD1169"/>
    <w:rsid w:val="23B14FE2"/>
    <w:rsid w:val="25AF6319"/>
    <w:rsid w:val="25F7546A"/>
    <w:rsid w:val="27E42637"/>
    <w:rsid w:val="2A754ED1"/>
    <w:rsid w:val="2AAD1304"/>
    <w:rsid w:val="2CD07DE1"/>
    <w:rsid w:val="2D09536D"/>
    <w:rsid w:val="2FA60AF6"/>
    <w:rsid w:val="33484DD4"/>
    <w:rsid w:val="355F35C4"/>
    <w:rsid w:val="36832FFC"/>
    <w:rsid w:val="37823126"/>
    <w:rsid w:val="3884792E"/>
    <w:rsid w:val="38B12267"/>
    <w:rsid w:val="398D26CB"/>
    <w:rsid w:val="3A1061A7"/>
    <w:rsid w:val="3AEF3BB8"/>
    <w:rsid w:val="3B9947F1"/>
    <w:rsid w:val="3DAF0D3F"/>
    <w:rsid w:val="3DB50D85"/>
    <w:rsid w:val="4060552B"/>
    <w:rsid w:val="439F6B41"/>
    <w:rsid w:val="453D5E35"/>
    <w:rsid w:val="46D1728D"/>
    <w:rsid w:val="49516307"/>
    <w:rsid w:val="4A451A1F"/>
    <w:rsid w:val="4C1C4D95"/>
    <w:rsid w:val="4C6E6818"/>
    <w:rsid w:val="4D2646B1"/>
    <w:rsid w:val="4E4A4191"/>
    <w:rsid w:val="4EC00D07"/>
    <w:rsid w:val="4F357F6E"/>
    <w:rsid w:val="5101218E"/>
    <w:rsid w:val="55543782"/>
    <w:rsid w:val="56921B6A"/>
    <w:rsid w:val="58AA2E09"/>
    <w:rsid w:val="58DE2219"/>
    <w:rsid w:val="58E801B2"/>
    <w:rsid w:val="593F3897"/>
    <w:rsid w:val="5BB81D6F"/>
    <w:rsid w:val="5C6B645D"/>
    <w:rsid w:val="5D382BE7"/>
    <w:rsid w:val="5DEE6DAA"/>
    <w:rsid w:val="5E484837"/>
    <w:rsid w:val="5E59557E"/>
    <w:rsid w:val="60253BB4"/>
    <w:rsid w:val="6058121E"/>
    <w:rsid w:val="61021397"/>
    <w:rsid w:val="62262DBC"/>
    <w:rsid w:val="64FF2692"/>
    <w:rsid w:val="65D6467C"/>
    <w:rsid w:val="6631134F"/>
    <w:rsid w:val="667F60B7"/>
    <w:rsid w:val="668441DE"/>
    <w:rsid w:val="66E75E1D"/>
    <w:rsid w:val="674F2F0C"/>
    <w:rsid w:val="67754CF7"/>
    <w:rsid w:val="67B758A0"/>
    <w:rsid w:val="68167B75"/>
    <w:rsid w:val="68D511B8"/>
    <w:rsid w:val="6A5F5D4A"/>
    <w:rsid w:val="6AAF4400"/>
    <w:rsid w:val="6B036D61"/>
    <w:rsid w:val="6CA65E33"/>
    <w:rsid w:val="6D5E5248"/>
    <w:rsid w:val="6D63701F"/>
    <w:rsid w:val="6D8E15BD"/>
    <w:rsid w:val="6EA7498F"/>
    <w:rsid w:val="6FA01673"/>
    <w:rsid w:val="6FC6422B"/>
    <w:rsid w:val="70184DFC"/>
    <w:rsid w:val="70520E38"/>
    <w:rsid w:val="710244DE"/>
    <w:rsid w:val="725D7644"/>
    <w:rsid w:val="726C71D4"/>
    <w:rsid w:val="75BE13C4"/>
    <w:rsid w:val="761107C1"/>
    <w:rsid w:val="76D62192"/>
    <w:rsid w:val="76E77809"/>
    <w:rsid w:val="77473EC0"/>
    <w:rsid w:val="77C359EF"/>
    <w:rsid w:val="78D173E0"/>
    <w:rsid w:val="797D721A"/>
    <w:rsid w:val="79A03C50"/>
    <w:rsid w:val="7A0E2437"/>
    <w:rsid w:val="7A94506A"/>
    <w:rsid w:val="7B0876A2"/>
    <w:rsid w:val="7B494A02"/>
    <w:rsid w:val="7BF267D8"/>
    <w:rsid w:val="7CA31C35"/>
    <w:rsid w:val="7DBF3111"/>
    <w:rsid w:val="7E6671D0"/>
    <w:rsid w:val="7FD82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ascii="Times New Roman" w:hAnsi="Times New Roman" w:cs="Times New Roman" w:eastAsiaTheme="minorEastAsia"/>
      <w:kern w:val="2"/>
      <w:sz w:val="21"/>
      <w:szCs w:val="21"/>
      <w:lang w:val="en-US" w:eastAsia="zh-CN" w:bidi="ar-SA"/>
    </w:rPr>
  </w:style>
  <w:style w:type="paragraph" w:styleId="2">
    <w:name w:val="heading 1"/>
    <w:basedOn w:val="1"/>
    <w:next w:val="1"/>
    <w:qFormat/>
    <w:uiPriority w:val="99"/>
    <w:pPr>
      <w:keepNext/>
      <w:keepLines/>
      <w:spacing w:before="260" w:after="260"/>
      <w:outlineLvl w:val="0"/>
    </w:pPr>
    <w:rPr>
      <w:b/>
      <w:bCs/>
      <w:kern w:val="44"/>
      <w:sz w:val="24"/>
      <w:szCs w:val="44"/>
    </w:rPr>
  </w:style>
  <w:style w:type="paragraph" w:styleId="3">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4">
    <w:name w:val="heading 3"/>
    <w:basedOn w:val="1"/>
    <w:next w:val="5"/>
    <w:qFormat/>
    <w:uiPriority w:val="99"/>
    <w:pPr>
      <w:keepNext/>
      <w:keepLines/>
      <w:outlineLvl w:val="2"/>
    </w:pPr>
    <w:rPr>
      <w:rFonts w:ascii="仿宋_GB2312" w:hAnsi="仿宋_GB2312"/>
      <w:b/>
      <w:bCs/>
      <w:kern w:val="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style>
  <w:style w:type="paragraph" w:styleId="6">
    <w:name w:val="toc 4"/>
    <w:basedOn w:val="1"/>
    <w:next w:val="1"/>
    <w:qFormat/>
    <w:uiPriority w:val="0"/>
    <w:pPr>
      <w:ind w:left="1260" w:leftChars="600"/>
    </w:pPr>
  </w:style>
  <w:style w:type="paragraph" w:styleId="7">
    <w:name w:val="caption"/>
    <w:basedOn w:val="1"/>
    <w:next w:val="1"/>
    <w:semiHidden/>
    <w:unhideWhenUsed/>
    <w:qFormat/>
    <w:uiPriority w:val="35"/>
    <w:rPr>
      <w:rFonts w:ascii="Arial" w:hAnsi="Arial" w:eastAsia="黑体"/>
      <w:sz w:val="20"/>
    </w:rPr>
  </w:style>
  <w:style w:type="paragraph" w:styleId="8">
    <w:name w:val="annotation text"/>
    <w:basedOn w:val="1"/>
    <w:unhideWhenUsed/>
    <w:qFormat/>
    <w:uiPriority w:val="99"/>
    <w:rPr>
      <w:rFonts w:ascii="Calibri" w:hAnsi="Calibri" w:eastAsia="仿宋"/>
      <w:kern w:val="0"/>
      <w:sz w:val="24"/>
      <w:szCs w:val="20"/>
    </w:rPr>
  </w:style>
  <w:style w:type="paragraph" w:styleId="9">
    <w:name w:val="Body Text"/>
    <w:basedOn w:val="1"/>
    <w:next w:val="10"/>
    <w:qFormat/>
    <w:uiPriority w:val="0"/>
  </w:style>
  <w:style w:type="paragraph" w:styleId="10">
    <w:name w:val="Body Text 2"/>
    <w:basedOn w:val="1"/>
    <w:qFormat/>
    <w:uiPriority w:val="0"/>
    <w:pPr>
      <w:spacing w:after="120" w:line="480" w:lineRule="auto"/>
    </w:pPr>
    <w:rPr>
      <w:rFonts w:eastAsia="宋体"/>
    </w:rPr>
  </w:style>
  <w:style w:type="paragraph" w:styleId="11">
    <w:name w:val="Body Text Indent"/>
    <w:basedOn w:val="1"/>
    <w:qFormat/>
    <w:uiPriority w:val="0"/>
    <w:pPr>
      <w:ind w:firstLine="570"/>
    </w:pPr>
    <w:rPr>
      <w:rFonts w:eastAsia="宋体"/>
      <w:sz w:val="24"/>
    </w:rPr>
  </w:style>
  <w:style w:type="paragraph" w:styleId="12">
    <w:name w:val="Balloon Text"/>
    <w:basedOn w:val="1"/>
    <w:link w:val="32"/>
    <w:semiHidden/>
    <w:unhideWhenUsed/>
    <w:qFormat/>
    <w:uiPriority w:val="99"/>
    <w:pPr>
      <w:spacing w:line="240" w:lineRule="auto"/>
    </w:pPr>
    <w:rPr>
      <w:sz w:val="18"/>
      <w:szCs w:val="18"/>
    </w:rPr>
  </w:style>
  <w:style w:type="paragraph" w:styleId="13">
    <w:name w:val="footer"/>
    <w:basedOn w:val="1"/>
    <w:link w:val="24"/>
    <w:unhideWhenUsed/>
    <w:qFormat/>
    <w:uiPriority w:val="99"/>
    <w:pPr>
      <w:tabs>
        <w:tab w:val="center" w:pos="4153"/>
        <w:tab w:val="right" w:pos="8306"/>
      </w:tabs>
      <w:jc w:val="left"/>
    </w:pPr>
    <w:rPr>
      <w:sz w:val="18"/>
      <w:szCs w:val="18"/>
    </w:rPr>
  </w:style>
  <w:style w:type="paragraph" w:styleId="14">
    <w:name w:val="header"/>
    <w:basedOn w:val="1"/>
    <w:link w:val="23"/>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6">
    <w:name w:val="toc 2"/>
    <w:basedOn w:val="1"/>
    <w:next w:val="1"/>
    <w:semiHidden/>
    <w:unhideWhenUsed/>
    <w:qFormat/>
    <w:uiPriority w:val="39"/>
    <w:pPr>
      <w:ind w:firstLine="663" w:firstLineChars="150"/>
    </w:pPr>
    <w:rPr>
      <w:sz w:val="24"/>
    </w:rPr>
  </w:style>
  <w:style w:type="paragraph" w:styleId="17">
    <w:name w:val="Body Text First Indent 2"/>
    <w:basedOn w:val="11"/>
    <w:qFormat/>
    <w:uiPriority w:val="0"/>
    <w:pPr>
      <w:ind w:firstLine="420"/>
    </w:p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annotation reference"/>
    <w:basedOn w:val="20"/>
    <w:semiHidden/>
    <w:unhideWhenUsed/>
    <w:qFormat/>
    <w:uiPriority w:val="99"/>
    <w:rPr>
      <w:sz w:val="21"/>
      <w:szCs w:val="21"/>
    </w:rPr>
  </w:style>
  <w:style w:type="character" w:customStyle="1" w:styleId="23">
    <w:name w:val="页眉 Char"/>
    <w:basedOn w:val="20"/>
    <w:link w:val="14"/>
    <w:qFormat/>
    <w:uiPriority w:val="99"/>
    <w:rPr>
      <w:sz w:val="18"/>
      <w:szCs w:val="18"/>
    </w:rPr>
  </w:style>
  <w:style w:type="character" w:customStyle="1" w:styleId="24">
    <w:name w:val="页脚 Char"/>
    <w:basedOn w:val="20"/>
    <w:link w:val="13"/>
    <w:qFormat/>
    <w:uiPriority w:val="99"/>
    <w:rPr>
      <w:sz w:val="18"/>
      <w:szCs w:val="18"/>
    </w:rPr>
  </w:style>
  <w:style w:type="paragraph" w:customStyle="1" w:styleId="25">
    <w:name w:val="闻政-正文二级标题"/>
    <w:basedOn w:val="3"/>
    <w:next w:val="26"/>
    <w:qFormat/>
    <w:uiPriority w:val="3"/>
    <w:pPr>
      <w:spacing w:before="120" w:after="60" w:line="500" w:lineRule="exact"/>
      <w:ind w:left="200" w:leftChars="200" w:firstLine="0" w:firstLineChars="0"/>
    </w:pPr>
    <w:rPr>
      <w:rFonts w:ascii="Times New Roman" w:hAnsi="Times New Roman"/>
      <w:sz w:val="28"/>
    </w:rPr>
  </w:style>
  <w:style w:type="paragraph" w:customStyle="1" w:styleId="26">
    <w:name w:val="闻政-正文段落文字"/>
    <w:basedOn w:val="1"/>
    <w:qFormat/>
    <w:uiPriority w:val="3"/>
    <w:pPr>
      <w:spacing w:line="500" w:lineRule="exact"/>
      <w:ind w:firstLine="200"/>
    </w:pPr>
    <w:rPr>
      <w:kern w:val="0"/>
      <w:szCs w:val="28"/>
    </w:rPr>
  </w:style>
  <w:style w:type="paragraph" w:customStyle="1" w:styleId="27">
    <w:name w:val="闻政-正文一级标题"/>
    <w:basedOn w:val="4"/>
    <w:next w:val="26"/>
    <w:qFormat/>
    <w:uiPriority w:val="3"/>
    <w:pPr>
      <w:spacing w:before="120" w:after="60" w:line="500" w:lineRule="exact"/>
      <w:ind w:firstLine="0" w:firstLineChars="0"/>
      <w:outlineLvl w:val="0"/>
    </w:pPr>
    <w:rPr>
      <w:rFonts w:ascii="黑体" w:hAnsi="黑体" w:eastAsia="黑体"/>
      <w:sz w:val="32"/>
    </w:rPr>
  </w:style>
  <w:style w:type="paragraph" w:styleId="28">
    <w:name w:val="List Paragraph"/>
    <w:basedOn w:val="1"/>
    <w:qFormat/>
    <w:uiPriority w:val="34"/>
    <w:pPr>
      <w:ind w:firstLine="420"/>
    </w:pPr>
  </w:style>
  <w:style w:type="paragraph" w:customStyle="1" w:styleId="29">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0">
    <w:name w:val="WPSOffice手动目录 1"/>
    <w:qFormat/>
    <w:uiPriority w:val="0"/>
    <w:rPr>
      <w:rFonts w:ascii="Times New Roman" w:hAnsi="Times New Roman" w:eastAsia="宋体" w:cs="Times New Roman"/>
      <w:lang w:val="en-US" w:eastAsia="zh-CN" w:bidi="ar-SA"/>
    </w:rPr>
  </w:style>
  <w:style w:type="paragraph" w:customStyle="1" w:styleId="31">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2">
    <w:name w:val="批注框文本 Char"/>
    <w:basedOn w:val="20"/>
    <w:link w:val="12"/>
    <w:semiHidden/>
    <w:qFormat/>
    <w:uiPriority w:val="99"/>
    <w:rPr>
      <w:rFonts w:eastAsiaTheme="minorEastAsia"/>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7A4AD-C8AC-4D6E-B5B8-B4766CB3F4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37</Pages>
  <Words>28726</Words>
  <Characters>33548</Characters>
  <Lines>41</Lines>
  <Paragraphs>11</Paragraphs>
  <TotalTime>28</TotalTime>
  <ScaleCrop>false</ScaleCrop>
  <LinksUpToDate>false</LinksUpToDate>
  <CharactersWithSpaces>34076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2020-09-22T07:41:00Z</dcterms:created>
  <dc:creator>Lenovo</dc:creator>
  <cp:lastModifiedBy>Administrator</cp:lastModifiedBy>
  <dcterms:modified xsi:type="dcterms:W3CDTF">2024-08-22T04:07:27Z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390057C842E149A3B6BAC25C7043575C_13</vt:lpwstr>
  </property>
</Properties>
</file>