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仿宋简体" w:cs="Times New Roman"/>
        </w:rPr>
      </w:pPr>
      <w:r>
        <w:rPr>
          <w:rFonts w:hint="default" w:ascii="Times New Roman" w:hAnsi="Times New Roman" w:eastAsia="方正仿宋简体" w:cs="Times New Roman"/>
        </w:rPr>
        <w:t>附件2</w:t>
      </w:r>
    </w:p>
    <w:p>
      <w:pPr>
        <w:spacing w:line="560" w:lineRule="exact"/>
        <w:jc w:val="left"/>
        <w:rPr>
          <w:rFonts w:ascii="Times New Roman" w:eastAsia="黑体" w:cs="Times New Roman"/>
        </w:rPr>
      </w:pPr>
    </w:p>
    <w:p>
      <w:pPr>
        <w:spacing w:line="640" w:lineRule="exact"/>
        <w:jc w:val="center"/>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新疆维吾尔自治区消防安全重点单位</w:t>
      </w:r>
    </w:p>
    <w:p>
      <w:pPr>
        <w:spacing w:line="640" w:lineRule="exact"/>
        <w:jc w:val="center"/>
        <w:rPr>
          <w:rFonts w:hint="eastAsia" w:ascii="方正小标宋_GBK" w:hAnsi="宋体" w:eastAsia="方正小标宋_GBK"/>
          <w:kern w:val="0"/>
          <w:sz w:val="44"/>
          <w:szCs w:val="44"/>
        </w:rPr>
      </w:pPr>
      <w:bookmarkStart w:id="0" w:name="_GoBack"/>
      <w:bookmarkEnd w:id="0"/>
      <w:r>
        <w:rPr>
          <w:rFonts w:hint="eastAsia" w:ascii="方正小标宋_GBK" w:hAnsi="宋体" w:eastAsia="方正小标宋_GBK"/>
          <w:sz w:val="44"/>
          <w:szCs w:val="44"/>
        </w:rPr>
        <w:t>界定标准</w:t>
      </w:r>
    </w:p>
    <w:p>
      <w:pPr>
        <w:spacing w:line="576" w:lineRule="exact"/>
        <w:ind w:firstLine="640" w:firstLineChars="200"/>
        <w:rPr>
          <w:rFonts w:hint="eastAsia" w:ascii="仿宋_GB2312" w:hAnsi="ˎ̥"/>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一、商场（市场）、宾馆（饭店）、体育场（馆）、会堂、公共娱乐场所等公众聚集场所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1.建筑面积在1000平方米（含本数，下同）以上且经营可燃商品的商场(商店、市场）；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2.客房数在50间以上的宾馆（旅馆、饭店）；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3.公共的体育场（馆）、会堂；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4.建筑面积在1000平方米以上的餐饮场所；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5.建筑面积在200平方米以上的下列公共娱乐场所：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shd w:val="clear" w:color="auto" w:fill="FFFFFF"/>
        </w:rPr>
        <w:t>（1）影剧院、放映厅、礼堂等演出放映场所；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shd w:val="clear" w:color="auto" w:fill="FFFFFF"/>
        </w:rPr>
        <w:t>（2）舞厅、KTV等歌舞娱乐场所；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shd w:val="clear" w:color="auto" w:fill="FFFFFF"/>
        </w:rPr>
        <w:t>（3）具有娱乐功能的夜总会、音乐茶座和餐饮场所；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shd w:val="clear" w:color="auto" w:fill="FFFFFF"/>
        </w:rPr>
      </w:pPr>
      <w:r>
        <w:rPr>
          <w:rFonts w:hint="default" w:ascii="Times New Roman" w:hAnsi="Times New Roman" w:eastAsia="方正仿宋_GBK" w:cs="Times New Roman"/>
          <w:szCs w:val="32"/>
          <w:shd w:val="clear" w:color="auto" w:fill="FFFFFF"/>
        </w:rPr>
        <w:t>（4）游艺、游乐场所；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Cs w:val="32"/>
          <w:shd w:val="clear" w:color="auto" w:fill="FFFFFF"/>
        </w:rPr>
      </w:pPr>
      <w:r>
        <w:rPr>
          <w:rFonts w:hint="default" w:ascii="Times New Roman" w:hAnsi="Times New Roman" w:eastAsia="方正仿宋_GBK" w:cs="Times New Roman"/>
          <w:szCs w:val="32"/>
          <w:shd w:val="clear" w:color="auto" w:fill="FFFFFF"/>
        </w:rPr>
        <w:t>（5）保龄球馆、旱冰场、桑拿浴室等营业性健身、休闲场所。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二、医院、养老院和寄宿制的学校、托儿所、幼儿园</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.住院床位在</w:t>
      </w:r>
      <w:r>
        <w:rPr>
          <w:rFonts w:hint="default" w:ascii="Times New Roman" w:hAnsi="Times New Roman" w:eastAsia="方正仿宋_GBK" w:cs="Times New Roman"/>
          <w:szCs w:val="32"/>
        </w:rPr>
        <w:t>50</w:t>
      </w:r>
      <w:r>
        <w:rPr>
          <w:rFonts w:hint="eastAsia" w:ascii="Times New Roman" w:hAnsi="Times New Roman" w:eastAsia="方正仿宋_GBK" w:cs="Times New Roman"/>
          <w:szCs w:val="32"/>
        </w:rPr>
        <w:t>张以上的医院、疗养院、康复中心；</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.老人住宿床位在</w:t>
      </w:r>
      <w:r>
        <w:rPr>
          <w:rFonts w:hint="default" w:ascii="Times New Roman" w:hAnsi="Times New Roman" w:eastAsia="方正仿宋_GBK" w:cs="Times New Roman"/>
          <w:szCs w:val="32"/>
        </w:rPr>
        <w:t>50</w:t>
      </w:r>
      <w:r>
        <w:rPr>
          <w:rFonts w:hint="eastAsia" w:ascii="Times New Roman" w:hAnsi="Times New Roman" w:eastAsia="方正仿宋_GBK" w:cs="Times New Roman"/>
          <w:szCs w:val="32"/>
        </w:rPr>
        <w:t xml:space="preserve">张以上的养老院、敬老院、福利院； </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.学生住宿床位在</w:t>
      </w:r>
      <w:r>
        <w:rPr>
          <w:rFonts w:hint="default" w:ascii="Times New Roman" w:hAnsi="Times New Roman" w:eastAsia="方正仿宋_GBK" w:cs="Times New Roman"/>
          <w:szCs w:val="32"/>
        </w:rPr>
        <w:t>100</w:t>
      </w:r>
      <w:r>
        <w:rPr>
          <w:rFonts w:hint="eastAsia" w:ascii="Times New Roman" w:hAnsi="Times New Roman" w:eastAsia="方正仿宋_GBK" w:cs="Times New Roman"/>
          <w:szCs w:val="32"/>
        </w:rPr>
        <w:t>张以上的学校；</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4</w:t>
      </w:r>
      <w:r>
        <w:rPr>
          <w:rFonts w:hint="eastAsia" w:ascii="Times New Roman" w:hAnsi="Times New Roman" w:eastAsia="方正仿宋_GBK" w:cs="Times New Roman"/>
          <w:szCs w:val="32"/>
        </w:rPr>
        <w:t>.幼儿住宿床位在</w:t>
      </w:r>
      <w:r>
        <w:rPr>
          <w:rFonts w:hint="default" w:ascii="Times New Roman" w:hAnsi="Times New Roman" w:eastAsia="方正仿宋_GBK" w:cs="Times New Roman"/>
          <w:szCs w:val="32"/>
        </w:rPr>
        <w:t>50</w:t>
      </w:r>
      <w:r>
        <w:rPr>
          <w:rFonts w:hint="eastAsia" w:ascii="Times New Roman" w:hAnsi="Times New Roman" w:eastAsia="方正仿宋_GBK" w:cs="Times New Roman"/>
          <w:szCs w:val="32"/>
        </w:rPr>
        <w:t>张以上的托儿所、幼儿园。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三、国家机关</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.县级以上的党委、人大、政府、政协；</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.人民检察院、人民法院；</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仿宋_GB2312" w:hAnsi="ˎ̥"/>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.共青团中央、全国总工会、全国妇联的驻疆办事机关。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四、广播、电视和邮政、通信枢纽</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.广播电台、电视台；</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.县级以上邮政、通信枢纽单位。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五、客运车站、码头、民用机场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.建筑面积在</w:t>
      </w:r>
      <w:r>
        <w:rPr>
          <w:rFonts w:hint="default" w:ascii="Times New Roman" w:hAnsi="Times New Roman" w:eastAsia="方正仿宋_GBK" w:cs="Times New Roman"/>
          <w:szCs w:val="32"/>
        </w:rPr>
        <w:t>500</w:t>
      </w:r>
      <w:r>
        <w:rPr>
          <w:rFonts w:hint="eastAsia" w:ascii="Times New Roman" w:hAnsi="Times New Roman" w:eastAsia="方正仿宋_GBK" w:cs="Times New Roman"/>
          <w:szCs w:val="32"/>
        </w:rPr>
        <w:t>平方米以上的客运车站候车厅；</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.民用机场。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六、公共图书馆、展览馆、博物馆、档案馆以及具有火灾危险性的文物保护单位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.建筑面积在</w:t>
      </w:r>
      <w:r>
        <w:rPr>
          <w:rFonts w:hint="default" w:ascii="Times New Roman" w:hAnsi="Times New Roman" w:eastAsia="方正仿宋_GBK" w:cs="Times New Roman"/>
          <w:szCs w:val="32"/>
        </w:rPr>
        <w:t>2000</w:t>
      </w:r>
      <w:r>
        <w:rPr>
          <w:rFonts w:hint="eastAsia" w:ascii="Times New Roman" w:hAnsi="Times New Roman" w:eastAsia="方正仿宋_GBK" w:cs="Times New Roman"/>
          <w:szCs w:val="32"/>
        </w:rPr>
        <w:t>平方米以上的公共图书馆、展览馆；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.公共博物馆、档案馆；</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.具有火灾危险性的县级以上文物保护单位。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七、发电厂（站）和</w:t>
      </w:r>
      <w:r>
        <w:rPr>
          <w:rFonts w:hint="default" w:ascii="Times New Roman" w:hAnsi="Times New Roman" w:eastAsia="黑体" w:cs="Times New Roman"/>
          <w:szCs w:val="32"/>
        </w:rPr>
        <w:t>110</w:t>
      </w:r>
      <w:r>
        <w:rPr>
          <w:rFonts w:hint="eastAsia" w:ascii="黑体" w:hAnsi="ˎ̥" w:eastAsia="黑体"/>
          <w:szCs w:val="32"/>
        </w:rPr>
        <w:t>KV以上的变（配）电站等电网经营企业。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i/>
          <w:szCs w:val="32"/>
        </w:rPr>
      </w:pPr>
      <w:r>
        <w:rPr>
          <w:rFonts w:hint="eastAsia" w:ascii="黑体" w:hAnsi="ˎ̥" w:eastAsia="黑体"/>
          <w:szCs w:val="32"/>
        </w:rPr>
        <w:t>八、易燃易爆化学物品的生产、充装、储存、供应、销售单位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.生产易燃易爆化学物品的工厂；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.易燃易爆气体和液体的灌装站、调压站；</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.储存易燃易爆化学物品的专用仓库（堆场、储罐场所）；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4</w:t>
      </w:r>
      <w:r>
        <w:rPr>
          <w:rFonts w:hint="eastAsia" w:ascii="Times New Roman" w:hAnsi="Times New Roman" w:eastAsia="方正仿宋_GBK" w:cs="Times New Roman"/>
          <w:szCs w:val="32"/>
        </w:rPr>
        <w:t>.营业性汽车加油站、加气站，储瓶量在</w:t>
      </w:r>
      <w:r>
        <w:rPr>
          <w:rFonts w:hint="default" w:ascii="Times New Roman" w:hAnsi="Times New Roman" w:eastAsia="方正仿宋_GBK" w:cs="Times New Roman"/>
          <w:szCs w:val="32"/>
        </w:rPr>
        <w:t>100</w:t>
      </w:r>
      <w:r>
        <w:rPr>
          <w:rFonts w:hint="eastAsia" w:ascii="Times New Roman" w:hAnsi="Times New Roman" w:eastAsia="方正仿宋_GBK" w:cs="Times New Roman"/>
          <w:szCs w:val="32"/>
        </w:rPr>
        <w:t>瓶以上的液化石油气供应站（换瓶站）；</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rPr>
        <w:t>.经营易燃易爆化学物品（甲、乙类）且场所面积在</w:t>
      </w:r>
      <w:r>
        <w:rPr>
          <w:rFonts w:hint="default" w:ascii="Times New Roman" w:hAnsi="Times New Roman" w:eastAsia="方正仿宋_GBK" w:cs="Times New Roman"/>
          <w:szCs w:val="32"/>
        </w:rPr>
        <w:t>300</w:t>
      </w:r>
      <w:r>
        <w:rPr>
          <w:rFonts w:hint="eastAsia" w:ascii="Times New Roman" w:hAnsi="Times New Roman" w:eastAsia="方正仿宋_GBK" w:cs="Times New Roman"/>
          <w:szCs w:val="32"/>
        </w:rPr>
        <w:t>平方米以上或店内存放总量达</w:t>
      </w:r>
      <w:r>
        <w:rPr>
          <w:rFonts w:hint="default" w:ascii="Times New Roman" w:hAnsi="Times New Roman" w:eastAsia="方正仿宋_GBK" w:cs="Times New Roman"/>
          <w:szCs w:val="32"/>
        </w:rPr>
        <w:t>1000</w:t>
      </w:r>
      <w:r>
        <w:rPr>
          <w:rFonts w:hint="eastAsia" w:ascii="Times New Roman" w:hAnsi="Times New Roman" w:eastAsia="方正仿宋_GBK" w:cs="Times New Roman"/>
          <w:szCs w:val="32"/>
        </w:rPr>
        <w:t>公斤以上的化工商店。</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九、劳动密集型生产、加工企业</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生产车间员工在</w:t>
      </w:r>
      <w:r>
        <w:rPr>
          <w:rFonts w:hint="default" w:ascii="Times New Roman" w:hAnsi="Times New Roman" w:eastAsia="方正仿宋_GBK" w:cs="Times New Roman"/>
          <w:szCs w:val="32"/>
        </w:rPr>
        <w:t>100</w:t>
      </w:r>
      <w:r>
        <w:rPr>
          <w:rFonts w:hint="eastAsia" w:ascii="Times New Roman" w:hAnsi="Times New Roman" w:eastAsia="方正仿宋_GBK" w:cs="Times New Roman"/>
          <w:szCs w:val="32"/>
        </w:rPr>
        <w:t>人以上的服装、鞋帽、玩具、纺织、木材加工、食品加工、印刷、印染等劳动密集型企业。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十、重要的科研单位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.国家及自治区级科研单位；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.设备价值超过</w:t>
      </w:r>
      <w:r>
        <w:rPr>
          <w:rFonts w:hint="default" w:ascii="Times New Roman" w:hAnsi="Times New Roman" w:eastAsia="方正仿宋_GBK" w:cs="Times New Roman"/>
          <w:szCs w:val="32"/>
        </w:rPr>
        <w:t>1000</w:t>
      </w:r>
      <w:r>
        <w:rPr>
          <w:rFonts w:hint="eastAsia" w:ascii="Times New Roman" w:hAnsi="Times New Roman" w:eastAsia="方正仿宋_GBK" w:cs="Times New Roman"/>
          <w:szCs w:val="32"/>
        </w:rPr>
        <w:t>万元以上的科研单位；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.科研试验中具有火灾爆炸危险的科研单位。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十一、高层公共建筑、地下铁道、地下观光隧道，粮、棉、木材、百货等物资仓库和堆场，重点工程的施工现场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.高层公共建筑的办公楼（写字楼）、公寓楼等；</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.城市地下铁道、地下观光隧道等地下公共建筑和城市重要的交通隧道；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.国家储备粮库、总储备量在</w:t>
      </w:r>
      <w:r>
        <w:rPr>
          <w:rFonts w:hint="default" w:ascii="Times New Roman" w:hAnsi="Times New Roman" w:eastAsia="方正仿宋_GBK" w:cs="Times New Roman"/>
          <w:szCs w:val="32"/>
        </w:rPr>
        <w:t>10000</w:t>
      </w:r>
      <w:r>
        <w:rPr>
          <w:rFonts w:hint="eastAsia" w:ascii="Times New Roman" w:hAnsi="Times New Roman" w:eastAsia="方正仿宋_GBK" w:cs="Times New Roman"/>
          <w:szCs w:val="32"/>
        </w:rPr>
        <w:t>吨以上的其他粮库；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4</w:t>
      </w:r>
      <w:r>
        <w:rPr>
          <w:rFonts w:hint="eastAsia" w:ascii="Times New Roman" w:hAnsi="Times New Roman" w:eastAsia="方正仿宋_GBK" w:cs="Times New Roman"/>
          <w:szCs w:val="32"/>
        </w:rPr>
        <w:t>.总储量在</w:t>
      </w:r>
      <w:r>
        <w:rPr>
          <w:rFonts w:hint="default" w:ascii="Times New Roman" w:hAnsi="Times New Roman" w:eastAsia="方正仿宋_GBK" w:cs="Times New Roman"/>
          <w:szCs w:val="32"/>
        </w:rPr>
        <w:t>500</w:t>
      </w:r>
      <w:r>
        <w:rPr>
          <w:rFonts w:hint="eastAsia" w:ascii="Times New Roman" w:hAnsi="Times New Roman" w:eastAsia="方正仿宋_GBK" w:cs="Times New Roman"/>
          <w:szCs w:val="32"/>
        </w:rPr>
        <w:t>吨以上的棉库；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rPr>
        <w:t>.总储量在</w:t>
      </w:r>
      <w:r>
        <w:rPr>
          <w:rFonts w:hint="default" w:ascii="Times New Roman" w:hAnsi="Times New Roman" w:eastAsia="方正仿宋_GBK" w:cs="Times New Roman"/>
          <w:szCs w:val="32"/>
        </w:rPr>
        <w:t>10000</w:t>
      </w:r>
      <w:r>
        <w:rPr>
          <w:rFonts w:hint="eastAsia" w:ascii="Times New Roman" w:hAnsi="Times New Roman" w:eastAsia="方正仿宋_GBK" w:cs="Times New Roman"/>
          <w:szCs w:val="32"/>
        </w:rPr>
        <w:t>立方米以上的木材堆场；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6</w:t>
      </w:r>
      <w:r>
        <w:rPr>
          <w:rFonts w:hint="eastAsia" w:ascii="Times New Roman" w:hAnsi="Times New Roman" w:eastAsia="方正仿宋_GBK" w:cs="Times New Roman"/>
          <w:szCs w:val="32"/>
        </w:rPr>
        <w:t>.总储存价值在</w:t>
      </w:r>
      <w:r>
        <w:rPr>
          <w:rFonts w:hint="default" w:ascii="Times New Roman" w:hAnsi="Times New Roman" w:eastAsia="方正仿宋_GBK" w:cs="Times New Roman"/>
          <w:szCs w:val="32"/>
        </w:rPr>
        <w:t>1000</w:t>
      </w:r>
      <w:r>
        <w:rPr>
          <w:rFonts w:hint="eastAsia" w:ascii="Times New Roman" w:hAnsi="Times New Roman" w:eastAsia="方正仿宋_GBK" w:cs="Times New Roman"/>
          <w:szCs w:val="32"/>
        </w:rPr>
        <w:t>万元的可燃物品仓库、堆场；</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7</w:t>
      </w:r>
      <w:r>
        <w:rPr>
          <w:rFonts w:hint="eastAsia" w:ascii="Times New Roman" w:hAnsi="Times New Roman" w:eastAsia="方正仿宋_GBK" w:cs="Times New Roman"/>
          <w:szCs w:val="32"/>
        </w:rPr>
        <w:t>.国家和省级等重点工程的施工现场。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ˎ̥" w:eastAsia="黑体"/>
          <w:szCs w:val="32"/>
        </w:rPr>
      </w:pPr>
      <w:r>
        <w:rPr>
          <w:rFonts w:hint="eastAsia" w:ascii="黑体" w:hAnsi="ˎ̥" w:eastAsia="黑体"/>
          <w:szCs w:val="32"/>
        </w:rPr>
        <w:t>十二、其他发生火灾可能性较大以及一旦发生火灾可能造成人身重大伤亡或者财产重大损失的单位</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.储存量在</w:t>
      </w:r>
      <w:r>
        <w:rPr>
          <w:rFonts w:hint="default" w:ascii="Times New Roman" w:hAnsi="Times New Roman" w:eastAsia="方正仿宋_GBK" w:cs="Times New Roman"/>
          <w:szCs w:val="32"/>
        </w:rPr>
        <w:t>500</w:t>
      </w:r>
      <w:r>
        <w:rPr>
          <w:rFonts w:hint="eastAsia" w:ascii="Times New Roman" w:hAnsi="Times New Roman" w:eastAsia="方正仿宋_GBK" w:cs="Times New Roman"/>
          <w:szCs w:val="32"/>
        </w:rPr>
        <w:t>吨（</w:t>
      </w: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万担）以上的棉花收购站、加工厂；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.浸出制油工厂；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.生产或储存酒精度数在</w:t>
      </w:r>
      <w:r>
        <w:rPr>
          <w:rFonts w:hint="default" w:ascii="Times New Roman" w:hAnsi="Times New Roman" w:eastAsia="方正仿宋_GBK" w:cs="Times New Roman"/>
          <w:szCs w:val="32"/>
        </w:rPr>
        <w:t>38</w:t>
      </w:r>
      <w:r>
        <w:rPr>
          <w:rFonts w:hint="eastAsia" w:ascii="Times New Roman" w:hAnsi="Times New Roman" w:eastAsia="方正仿宋_GBK" w:cs="Times New Roman"/>
          <w:szCs w:val="32"/>
        </w:rPr>
        <w:t>度以上的酒厂；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4</w:t>
      </w:r>
      <w:r>
        <w:rPr>
          <w:rFonts w:hint="eastAsia" w:ascii="Times New Roman" w:hAnsi="Times New Roman" w:eastAsia="方正仿宋_GBK" w:cs="Times New Roman"/>
          <w:szCs w:val="32"/>
        </w:rPr>
        <w:t>.有酒精生产的糖厂；</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rPr>
        <w:t>.冷藏间或冰库的公称容积为</w:t>
      </w:r>
      <w:r>
        <w:rPr>
          <w:rFonts w:hint="default" w:ascii="Times New Roman" w:hAnsi="Times New Roman" w:eastAsia="方正仿宋_GBK" w:cs="Times New Roman"/>
          <w:szCs w:val="32"/>
        </w:rPr>
        <w:t>5000</w:t>
      </w:r>
      <w:r>
        <w:rPr>
          <w:rFonts w:hint="eastAsia" w:ascii="Times New Roman" w:hAnsi="Times New Roman" w:eastAsia="方正仿宋_GBK" w:cs="Times New Roman"/>
          <w:szCs w:val="32"/>
        </w:rPr>
        <w:t>立方米以上的冷库或水果保鲜库；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6</w:t>
      </w:r>
      <w:r>
        <w:rPr>
          <w:rFonts w:hint="eastAsia" w:ascii="Times New Roman" w:hAnsi="Times New Roman" w:eastAsia="方正仿宋_GBK" w:cs="Times New Roman"/>
          <w:szCs w:val="32"/>
        </w:rPr>
        <w:t>.固定资产价值在</w:t>
      </w:r>
      <w:r>
        <w:rPr>
          <w:rFonts w:hint="default" w:ascii="Times New Roman" w:hAnsi="Times New Roman" w:eastAsia="方正仿宋_GBK" w:cs="Times New Roman"/>
          <w:szCs w:val="32"/>
        </w:rPr>
        <w:t>5000</w:t>
      </w:r>
      <w:r>
        <w:rPr>
          <w:rFonts w:hint="eastAsia" w:ascii="Times New Roman" w:hAnsi="Times New Roman" w:eastAsia="方正仿宋_GBK" w:cs="Times New Roman"/>
          <w:szCs w:val="32"/>
        </w:rPr>
        <w:t>万元以上的电子、汽车、机械、化学原料及制品、医药、钢铁、冶金、塑料、烟草、石油化工等企业；</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7</w:t>
      </w:r>
      <w:r>
        <w:rPr>
          <w:rFonts w:hint="eastAsia" w:ascii="Times New Roman" w:hAnsi="Times New Roman" w:eastAsia="方正仿宋_GBK" w:cs="Times New Roman"/>
          <w:szCs w:val="32"/>
        </w:rPr>
        <w:t>.发生火灾可能性较大以及一旦发生火灾可能造成人身重大伤亡或者财产重大损失的旅游场所；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8</w:t>
      </w:r>
      <w:r>
        <w:rPr>
          <w:rFonts w:hint="eastAsia" w:ascii="Times New Roman" w:hAnsi="Times New Roman" w:eastAsia="方正仿宋_GBK" w:cs="Times New Roman"/>
          <w:szCs w:val="32"/>
        </w:rPr>
        <w:t>.建筑面积</w:t>
      </w:r>
      <w:r>
        <w:rPr>
          <w:rFonts w:hint="default" w:ascii="Times New Roman" w:hAnsi="Times New Roman" w:eastAsia="方正仿宋_GBK" w:cs="Times New Roman"/>
          <w:szCs w:val="32"/>
        </w:rPr>
        <w:t>1000</w:t>
      </w:r>
      <w:r>
        <w:rPr>
          <w:rFonts w:hint="eastAsia" w:ascii="Times New Roman" w:hAnsi="Times New Roman" w:eastAsia="方正仿宋_GBK" w:cs="Times New Roman"/>
          <w:szCs w:val="32"/>
        </w:rPr>
        <w:t>平方米以上的清真寺等宗教活动场所；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9</w:t>
      </w:r>
      <w:r>
        <w:rPr>
          <w:rFonts w:hint="eastAsia" w:ascii="Times New Roman" w:hAnsi="Times New Roman" w:eastAsia="方正仿宋_GBK" w:cs="Times New Roman"/>
          <w:szCs w:val="32"/>
        </w:rPr>
        <w:t>.营业面积在</w:t>
      </w:r>
      <w:r>
        <w:rPr>
          <w:rFonts w:hint="default" w:ascii="Times New Roman" w:hAnsi="Times New Roman" w:eastAsia="方正仿宋_GBK" w:cs="Times New Roman"/>
          <w:szCs w:val="32"/>
        </w:rPr>
        <w:t>500</w:t>
      </w:r>
      <w:r>
        <w:rPr>
          <w:rFonts w:hint="eastAsia" w:ascii="Times New Roman" w:hAnsi="Times New Roman" w:eastAsia="方正仿宋_GBK" w:cs="Times New Roman"/>
          <w:szCs w:val="32"/>
        </w:rPr>
        <w:t>平方米以上的证券、期货交易、人才交流等场所；</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10</w:t>
      </w:r>
      <w:r>
        <w:rPr>
          <w:rFonts w:hint="eastAsia" w:ascii="Times New Roman" w:hAnsi="Times New Roman" w:eastAsia="方正仿宋_GBK" w:cs="Times New Roman"/>
          <w:szCs w:val="32"/>
        </w:rPr>
        <w:t>.单层占地面积超过</w:t>
      </w:r>
      <w:r>
        <w:rPr>
          <w:rFonts w:hint="default" w:ascii="Times New Roman" w:hAnsi="Times New Roman" w:eastAsia="方正仿宋_GBK" w:cs="Times New Roman"/>
          <w:szCs w:val="32"/>
        </w:rPr>
        <w:t>12000</w:t>
      </w:r>
      <w:r>
        <w:rPr>
          <w:rFonts w:hint="eastAsia" w:ascii="Times New Roman" w:hAnsi="Times New Roman" w:eastAsia="方正仿宋_GBK" w:cs="Times New Roman"/>
          <w:szCs w:val="32"/>
        </w:rPr>
        <w:t>平方米或者多层占地面积超过</w:t>
      </w:r>
      <w:r>
        <w:rPr>
          <w:rFonts w:hint="default" w:ascii="Times New Roman" w:hAnsi="Times New Roman" w:eastAsia="方正仿宋_GBK" w:cs="Times New Roman"/>
          <w:szCs w:val="32"/>
        </w:rPr>
        <w:t>9600</w:t>
      </w:r>
      <w:r>
        <w:rPr>
          <w:rFonts w:hint="eastAsia" w:ascii="Times New Roman" w:hAnsi="Times New Roman" w:eastAsia="方正仿宋_GBK" w:cs="Times New Roman"/>
          <w:szCs w:val="32"/>
        </w:rPr>
        <w:t>平方米的大型物流仓库；</w:t>
      </w:r>
    </w:p>
    <w:p>
      <w:pPr>
        <w:keepNext w:val="0"/>
        <w:keepLines w:val="0"/>
        <w:pageBreakBefore w:val="0"/>
        <w:widowControl/>
        <w:kinsoku/>
        <w:wordWrap/>
        <w:overflowPunct/>
        <w:topLinePunct w:val="0"/>
        <w:autoSpaceDE/>
        <w:autoSpaceDN/>
        <w:bidi w:val="0"/>
        <w:adjustRightInd/>
        <w:snapToGrid/>
        <w:spacing w:line="240" w:lineRule="auto"/>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11</w:t>
      </w:r>
      <w:r>
        <w:rPr>
          <w:rFonts w:hint="eastAsia" w:ascii="Times New Roman" w:hAnsi="Times New Roman" w:eastAsia="方正仿宋_GBK" w:cs="Times New Roman"/>
          <w:szCs w:val="32"/>
        </w:rPr>
        <w:t>.其它应当确定为消防安全重点单位的单位。</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ˎ̥"/>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Cs w:val="32"/>
        </w:rPr>
      </w:pPr>
      <w:r>
        <w:rPr>
          <w:rFonts w:hint="eastAsia" w:ascii="方正黑体_GBK" w:hAnsi="方正黑体_GBK" w:eastAsia="方正黑体_GBK" w:cs="方正黑体_GBK"/>
          <w:b w:val="0"/>
          <w:bCs/>
          <w:szCs w:val="32"/>
        </w:rPr>
        <w:t>说明：</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.个体工商户虽不属于“单位”，但达到重点单位界定标准的必须纳入管理。</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.一个物业小区内有多栋高层公寓等建筑而且同属一个产权单位和物业管理单位的，按一个消防安全重点单位申报。</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3</w:t>
      </w:r>
      <w:r>
        <w:rPr>
          <w:rFonts w:hint="eastAsia" w:ascii="Times New Roman" w:hAnsi="Times New Roman" w:eastAsia="方正仿宋_GBK" w:cs="Times New Roman"/>
          <w:color w:val="auto"/>
          <w:szCs w:val="32"/>
        </w:rPr>
        <w:t>.</w:t>
      </w:r>
      <w:r>
        <w:rPr>
          <w:rFonts w:hint="eastAsia" w:ascii="Times New Roman" w:hAnsi="Times New Roman" w:eastAsia="方正仿宋_GBK" w:cs="Times New Roman"/>
          <w:color w:val="auto"/>
          <w:szCs w:val="32"/>
          <w:u w:val="single"/>
        </w:rPr>
        <w:t>符合消防安全重点单位界定标准的承租、承包或者受托经营单位，其名称为该单位营业执照名称，并在名称后备注建筑产权单位或经营单位名称。如XX超市（建筑产权单位或经营单位名称）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rPr>
      </w:pPr>
      <w:r>
        <w:rPr>
          <w:rFonts w:hint="default" w:ascii="Times New Roman" w:hAnsi="Times New Roman" w:eastAsia="方正仿宋_GBK" w:cs="Times New Roman"/>
          <w:szCs w:val="32"/>
          <w:lang w:val="en-US" w:eastAsia="zh-CN"/>
        </w:rPr>
        <w:t>4</w:t>
      </w:r>
      <w:r>
        <w:rPr>
          <w:rFonts w:hint="eastAsia" w:ascii="Times New Roman" w:eastAsia="方正仿宋_GBK" w:cs="Times New Roman"/>
          <w:szCs w:val="32"/>
          <w:lang w:val="en-US" w:eastAsia="zh-CN"/>
        </w:rPr>
        <w:t>.</w:t>
      </w:r>
      <w:r>
        <w:rPr>
          <w:rFonts w:hint="eastAsia" w:ascii="Times New Roman" w:hAnsi="Times New Roman" w:eastAsia="方正仿宋_GBK" w:cs="Times New Roman"/>
          <w:szCs w:val="32"/>
        </w:rPr>
        <w:t>一幢建筑物中各自独立的产权单位或使用单位，凡符合消防安全重点单位界定标准的，应当各自独立申报备案；如建筑物本身符合消防安全重点单位界定标准的，该建筑物产权单位或负责统一管理的物业管理单位（消防安全组织）也要独立申报备案。</w:t>
      </w:r>
      <w:r>
        <w:rPr>
          <w:rFonts w:hint="eastAsia" w:ascii="Times New Roman" w:hAnsi="Times New Roman" w:eastAsia="方正仿宋_GBK" w:cs="Times New Roman"/>
          <w:color w:val="auto"/>
          <w:szCs w:val="32"/>
          <w:u w:val="single"/>
        </w:rPr>
        <w:t>符合消防安全重点单位界定标准的独立产权单位，应在名称后备注其所在建筑或统一管理单位名称，如：XX影院（建筑或统一管理单位名称）；建筑本身也符合消防安全重点单位界定标准的，其名称为统一管理单位营业执照或组织机构代码证名称，如统一管理单位为物业服务企业的，应在其名称后备注建筑或服务项目名称，如XX物业公司（建筑或服务项目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u w:val="single"/>
        </w:rPr>
      </w:pPr>
      <w:r>
        <w:rPr>
          <w:rFonts w:hint="default" w:ascii="Times New Roman" w:hAnsi="Times New Roman" w:eastAsia="方正仿宋_GBK" w:cs="Times New Roman"/>
          <w:color w:val="auto"/>
          <w:szCs w:val="32"/>
          <w:u w:val="single"/>
        </w:rPr>
        <w:t>4</w:t>
      </w:r>
      <w:r>
        <w:rPr>
          <w:rFonts w:hint="eastAsia" w:ascii="Times New Roman" w:hAnsi="Times New Roman" w:eastAsia="方正仿宋_GBK" w:cs="Times New Roman"/>
          <w:color w:val="auto"/>
          <w:szCs w:val="32"/>
          <w:u w:val="single"/>
        </w:rPr>
        <w:t>.对《中华人民共和国消防法》</w:t>
      </w:r>
      <w:r>
        <w:rPr>
          <w:rFonts w:hint="eastAsia" w:ascii="Times New Roman" w:hAnsi="Times New Roman" w:eastAsia="方正仿宋_GBK" w:cs="Times New Roman"/>
          <w:color w:val="auto"/>
          <w:szCs w:val="32"/>
          <w:u w:val="single"/>
          <w:lang w:eastAsia="zh-CN"/>
        </w:rPr>
        <w:t>（</w:t>
      </w:r>
      <w:r>
        <w:rPr>
          <w:rFonts w:hint="default" w:ascii="Times New Roman" w:hAnsi="Times New Roman" w:eastAsia="方正仿宋_GBK" w:cs="Times New Roman"/>
          <w:color w:val="auto"/>
          <w:szCs w:val="32"/>
          <w:u w:val="single"/>
          <w:lang w:val="en-US" w:eastAsia="zh-CN"/>
        </w:rPr>
        <w:t>2019</w:t>
      </w:r>
      <w:r>
        <w:rPr>
          <w:rFonts w:hint="eastAsia" w:ascii="Times New Roman" w:hAnsi="Times New Roman" w:eastAsia="方正仿宋_GBK" w:cs="Times New Roman"/>
          <w:color w:val="auto"/>
          <w:szCs w:val="32"/>
          <w:u w:val="single"/>
          <w:lang w:val="en-US" w:eastAsia="zh-CN"/>
        </w:rPr>
        <w:t>年</w:t>
      </w:r>
      <w:r>
        <w:rPr>
          <w:rFonts w:hint="default" w:ascii="Times New Roman" w:hAnsi="Times New Roman" w:eastAsia="方正仿宋_GBK" w:cs="Times New Roman"/>
          <w:color w:val="auto"/>
          <w:szCs w:val="32"/>
          <w:u w:val="single"/>
          <w:lang w:val="en-US" w:eastAsia="zh-CN"/>
        </w:rPr>
        <w:t>4</w:t>
      </w:r>
      <w:r>
        <w:rPr>
          <w:rFonts w:hint="eastAsia" w:ascii="Times New Roman" w:hAnsi="Times New Roman" w:eastAsia="方正仿宋_GBK" w:cs="Times New Roman"/>
          <w:color w:val="auto"/>
          <w:szCs w:val="32"/>
          <w:u w:val="single"/>
          <w:lang w:val="en-US" w:eastAsia="zh-CN"/>
        </w:rPr>
        <w:t>月</w:t>
      </w:r>
      <w:r>
        <w:rPr>
          <w:rFonts w:hint="default" w:ascii="Times New Roman" w:hAnsi="Times New Roman" w:eastAsia="方正仿宋_GBK" w:cs="Times New Roman"/>
          <w:color w:val="auto"/>
          <w:szCs w:val="32"/>
          <w:u w:val="single"/>
          <w:lang w:val="en-US" w:eastAsia="zh-CN"/>
        </w:rPr>
        <w:t>23</w:t>
      </w:r>
      <w:r>
        <w:rPr>
          <w:rFonts w:hint="eastAsia" w:ascii="Times New Roman" w:hAnsi="Times New Roman" w:eastAsia="方正仿宋_GBK" w:cs="Times New Roman"/>
          <w:color w:val="auto"/>
          <w:szCs w:val="32"/>
          <w:u w:val="single"/>
          <w:lang w:val="en-US" w:eastAsia="zh-CN"/>
        </w:rPr>
        <w:t>日修正</w:t>
      </w:r>
      <w:r>
        <w:rPr>
          <w:rFonts w:hint="eastAsia" w:ascii="Times New Roman" w:hAnsi="Times New Roman" w:eastAsia="方正仿宋_GBK" w:cs="Times New Roman"/>
          <w:color w:val="auto"/>
          <w:szCs w:val="32"/>
          <w:u w:val="single"/>
          <w:lang w:eastAsia="zh-CN"/>
        </w:rPr>
        <w:t>）</w:t>
      </w:r>
      <w:r>
        <w:rPr>
          <w:rFonts w:hint="eastAsia" w:ascii="Times New Roman" w:hAnsi="Times New Roman" w:eastAsia="方正仿宋_GBK" w:cs="Times New Roman"/>
          <w:color w:val="auto"/>
          <w:szCs w:val="32"/>
          <w:u w:val="single"/>
        </w:rPr>
        <w:t>施行后未经</w:t>
      </w:r>
      <w:r>
        <w:rPr>
          <w:rFonts w:hint="eastAsia" w:ascii="Times New Roman" w:hAnsi="Times New Roman" w:eastAsia="方正仿宋_GBK" w:cs="Times New Roman"/>
          <w:color w:val="auto"/>
          <w:szCs w:val="32"/>
          <w:u w:val="single"/>
          <w:lang w:val="en-US" w:eastAsia="zh-CN"/>
        </w:rPr>
        <w:t>当地住房和城乡建设部门</w:t>
      </w:r>
      <w:r>
        <w:rPr>
          <w:rFonts w:hint="eastAsia" w:ascii="Times New Roman" w:hAnsi="Times New Roman" w:eastAsia="方正仿宋_GBK" w:cs="Times New Roman"/>
          <w:color w:val="auto"/>
          <w:szCs w:val="32"/>
          <w:u w:val="single"/>
        </w:rPr>
        <w:t>消防设计审核</w:t>
      </w:r>
      <w:r>
        <w:rPr>
          <w:rFonts w:hint="eastAsia" w:ascii="Times New Roman" w:hAnsi="Times New Roman" w:eastAsia="方正仿宋_GBK" w:cs="Times New Roman"/>
          <w:color w:val="auto"/>
          <w:szCs w:val="32"/>
          <w:u w:val="single"/>
          <w:lang w:eastAsia="zh-CN"/>
        </w:rPr>
        <w:t>、</w:t>
      </w:r>
      <w:r>
        <w:rPr>
          <w:rFonts w:hint="eastAsia" w:ascii="Times New Roman" w:hAnsi="Times New Roman" w:eastAsia="方正仿宋_GBK" w:cs="Times New Roman"/>
          <w:color w:val="auto"/>
          <w:szCs w:val="32"/>
          <w:u w:val="single"/>
        </w:rPr>
        <w:t>验收</w:t>
      </w:r>
      <w:r>
        <w:rPr>
          <w:rFonts w:hint="eastAsia" w:ascii="Times New Roman" w:hAnsi="Times New Roman" w:eastAsia="方正仿宋_GBK" w:cs="Times New Roman"/>
          <w:color w:val="auto"/>
          <w:szCs w:val="32"/>
          <w:u w:val="single"/>
          <w:lang w:val="en-US" w:eastAsia="zh-CN"/>
        </w:rPr>
        <w:t>或备案抽查</w:t>
      </w:r>
      <w:r>
        <w:rPr>
          <w:rFonts w:hint="eastAsia" w:ascii="Times New Roman" w:hAnsi="Times New Roman" w:eastAsia="方正仿宋_GBK" w:cs="Times New Roman"/>
          <w:color w:val="auto"/>
          <w:szCs w:val="32"/>
          <w:u w:val="single"/>
        </w:rPr>
        <w:t>的建筑物，如其符合消防安全重点单位界定标准，应要求其按照公安部</w:t>
      </w:r>
      <w:r>
        <w:rPr>
          <w:rFonts w:hint="default" w:ascii="Times New Roman" w:hAnsi="Times New Roman" w:eastAsia="方正仿宋_GBK" w:cs="Times New Roman"/>
          <w:color w:val="auto"/>
          <w:szCs w:val="32"/>
          <w:u w:val="single"/>
        </w:rPr>
        <w:t>61</w:t>
      </w:r>
      <w:r>
        <w:rPr>
          <w:rFonts w:hint="eastAsia" w:ascii="Times New Roman" w:hAnsi="Times New Roman" w:eastAsia="方正仿宋_GBK" w:cs="Times New Roman"/>
          <w:color w:val="auto"/>
          <w:szCs w:val="32"/>
          <w:u w:val="single"/>
        </w:rPr>
        <w:t>号令第十四条规定，向当地消防</w:t>
      </w:r>
      <w:r>
        <w:rPr>
          <w:rFonts w:hint="eastAsia" w:ascii="Times New Roman" w:hAnsi="Times New Roman" w:eastAsia="方正仿宋_GBK" w:cs="Times New Roman"/>
          <w:color w:val="auto"/>
          <w:szCs w:val="32"/>
          <w:u w:val="single"/>
          <w:lang w:val="en-US" w:eastAsia="zh-CN"/>
        </w:rPr>
        <w:t>救援</w:t>
      </w:r>
      <w:r>
        <w:rPr>
          <w:rFonts w:hint="eastAsia" w:ascii="Times New Roman" w:hAnsi="Times New Roman" w:eastAsia="方正仿宋_GBK" w:cs="Times New Roman"/>
          <w:color w:val="auto"/>
          <w:szCs w:val="32"/>
          <w:u w:val="single"/>
        </w:rPr>
        <w:t>机构备案</w:t>
      </w:r>
      <w:r>
        <w:rPr>
          <w:rFonts w:hint="eastAsia" w:ascii="Times New Roman" w:eastAsia="方正仿宋_GBK" w:cs="Times New Roman"/>
          <w:color w:val="auto"/>
          <w:szCs w:val="32"/>
          <w:u w:val="single"/>
          <w:lang w:eastAsia="zh-CN"/>
        </w:rPr>
        <w:t>，</w:t>
      </w:r>
      <w:r>
        <w:rPr>
          <w:rFonts w:hint="eastAsia" w:ascii="Times New Roman" w:hAnsi="Times New Roman" w:eastAsia="方正仿宋_GBK" w:cs="Times New Roman"/>
          <w:color w:val="auto"/>
          <w:szCs w:val="32"/>
          <w:u w:val="single"/>
        </w:rPr>
        <w:t>待其补齐手续并符合消防安全要求的基础上，再确定其为消防安全重点单位并予以备案。在确定其为消防安全重点单位前，应按照消防安全重点单位要求进行管理，并纳入重点监管范围。</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color w:val="auto"/>
          <w:szCs w:val="32"/>
          <w:u w:val="single"/>
        </w:rPr>
      </w:pP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rPr>
        <w:t>.有隶属关系的单位，不在同一地点且符合消防安全重点单位界定标准的，不论下属单位是否具备独立的法人资格，均应当独立申报备案；位于同一地点的有隶属关系的单位，如下属单位具备独立的法人资格，且符合消防安全重点单位界定标准的，也应当独立申报备案。</w:t>
      </w:r>
      <w:r>
        <w:rPr>
          <w:rFonts w:hint="eastAsia" w:ascii="Times New Roman" w:hAnsi="Times New Roman" w:eastAsia="方正仿宋_GBK" w:cs="Times New Roman"/>
          <w:color w:val="auto"/>
          <w:szCs w:val="32"/>
          <w:u w:val="single"/>
        </w:rPr>
        <w:t>不在同一地点且符合消防安全重点单位界定标准的，如其不具备独立法人资格，其申报名称为营业执照或组织机构代码证名称，同时备注所在区域，如：XX医院（XX院区</w:t>
      </w:r>
      <w:r>
        <w:rPr>
          <w:rFonts w:hint="eastAsia" w:ascii="Times New Roman" w:eastAsia="方正仿宋_GBK" w:cs="Times New Roman"/>
          <w:color w:val="auto"/>
          <w:szCs w:val="32"/>
          <w:u w:val="single"/>
          <w:lang w:val="en-US" w:eastAsia="zh-CN"/>
        </w:rPr>
        <w:t>或分院</w:t>
      </w:r>
      <w:r>
        <w:rPr>
          <w:rFonts w:hint="eastAsia" w:ascii="Times New Roman" w:hAnsi="Times New Roman" w:eastAsia="方正仿宋_GBK" w:cs="Times New Roman"/>
          <w:color w:val="auto"/>
          <w:szCs w:val="32"/>
          <w:u w:val="single"/>
        </w:rPr>
        <w:t>）；同一地点具备独立法人资格的下属单位，且符合消防安全重点单位界定标准，应在名称后备注其所属上级单位名称，如：XX研究所（上级单位名称）。</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6</w:t>
      </w:r>
      <w:r>
        <w:rPr>
          <w:rFonts w:hint="eastAsia" w:ascii="Times New Roman" w:hAnsi="Times New Roman" w:eastAsia="方正仿宋_GBK" w:cs="Times New Roman"/>
          <w:szCs w:val="32"/>
        </w:rPr>
        <w:t>.县级以上党委、人大、政府、政协等机关的消防安全管理工作，根据公安部</w:t>
      </w:r>
      <w:r>
        <w:rPr>
          <w:rFonts w:hint="default" w:ascii="Times New Roman" w:hAnsi="Times New Roman" w:eastAsia="方正仿宋_GBK" w:cs="Times New Roman"/>
          <w:szCs w:val="32"/>
        </w:rPr>
        <w:t>61</w:t>
      </w:r>
      <w:r>
        <w:rPr>
          <w:rFonts w:hint="eastAsia" w:ascii="Times New Roman" w:hAnsi="Times New Roman" w:eastAsia="方正仿宋_GBK" w:cs="Times New Roman"/>
          <w:szCs w:val="32"/>
        </w:rPr>
        <w:t>号令第四条的规定，由法定代表人负责。上述机关可以根据需要确定本单位的消防安全管理人，具体组织和实施落实消防安全管理工作。</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7</w:t>
      </w:r>
      <w:r>
        <w:rPr>
          <w:rFonts w:hint="eastAsia" w:ascii="Times New Roman" w:hAnsi="Times New Roman" w:eastAsia="方正仿宋_GBK" w:cs="Times New Roman"/>
          <w:szCs w:val="32"/>
        </w:rPr>
        <w:t>.商场、市场均指室内的商场、市场。</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8</w:t>
      </w:r>
      <w:r>
        <w:rPr>
          <w:rFonts w:hint="eastAsia" w:ascii="Times New Roman" w:hAnsi="Times New Roman" w:eastAsia="方正仿宋_GBK" w:cs="Times New Roman"/>
          <w:szCs w:val="32"/>
        </w:rPr>
        <w:t>.寄宿制幼儿园是指夜间寄宿。</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9</w:t>
      </w:r>
      <w:r>
        <w:rPr>
          <w:rFonts w:hint="eastAsia" w:ascii="Times New Roman" w:hAnsi="Times New Roman" w:eastAsia="方正仿宋_GBK" w:cs="Times New Roman"/>
          <w:szCs w:val="32"/>
        </w:rPr>
        <w:t>.候车厅的建筑面积是指独立的建筑面积，不包括其他附属建筑的建筑面积。</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10</w:t>
      </w:r>
      <w:r>
        <w:rPr>
          <w:rFonts w:hint="eastAsia" w:ascii="Times New Roman" w:hAnsi="Times New Roman" w:eastAsia="方正仿宋_GBK" w:cs="Times New Roman"/>
          <w:szCs w:val="32"/>
        </w:rPr>
        <w:t>.液化石油气供应站（换瓶站）的储瓶量是指</w:t>
      </w:r>
      <w:r>
        <w:rPr>
          <w:rFonts w:hint="default" w:ascii="Times New Roman" w:hAnsi="Times New Roman" w:eastAsia="方正仿宋_GBK" w:cs="Times New Roman"/>
          <w:szCs w:val="32"/>
        </w:rPr>
        <w:t>15</w:t>
      </w:r>
      <w:r>
        <w:rPr>
          <w:rFonts w:hint="eastAsia" w:ascii="Times New Roman" w:hAnsi="Times New Roman" w:eastAsia="方正仿宋_GBK" w:cs="Times New Roman"/>
          <w:szCs w:val="32"/>
        </w:rPr>
        <w:t>公斤液化石油气钢瓶实瓶的储量。</w:t>
      </w:r>
    </w:p>
    <w:p>
      <w:pPr>
        <w:keepNext w:val="0"/>
        <w:keepLines w:val="0"/>
        <w:pageBreakBefore w:val="0"/>
        <w:widowControl/>
        <w:kinsoku/>
        <w:wordWrap/>
        <w:overflowPunct/>
        <w:topLinePunct w:val="0"/>
        <w:autoSpaceDE/>
        <w:autoSpaceDN/>
        <w:bidi w:val="0"/>
        <w:adjustRightInd/>
        <w:snapToGrid/>
        <w:spacing w:line="560" w:lineRule="exact"/>
        <w:ind w:firstLine="624"/>
        <w:jc w:val="left"/>
        <w:textAlignment w:val="auto"/>
        <w:rPr>
          <w:rFonts w:hint="eastAsia" w:ascii="Times New Roman" w:hAnsi="Times New Roman" w:eastAsia="方正仿宋_GBK" w:cs="Times New Roman"/>
          <w:szCs w:val="32"/>
        </w:rPr>
      </w:pPr>
      <w:r>
        <w:rPr>
          <w:rFonts w:hint="default" w:ascii="Times New Roman" w:hAnsi="Times New Roman" w:eastAsia="方正仿宋_GBK" w:cs="Times New Roman"/>
          <w:szCs w:val="32"/>
        </w:rPr>
        <w:t>11</w:t>
      </w:r>
      <w:r>
        <w:rPr>
          <w:rFonts w:hint="eastAsia" w:ascii="Times New Roman" w:hAnsi="Times New Roman" w:eastAsia="方正仿宋_GBK" w:cs="Times New Roman"/>
          <w:szCs w:val="32"/>
        </w:rPr>
        <w:t>.劳动密集型生产、加工企业生产车间员工人数是指同一时间一个车间的员工数量。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00425"/>
    <w:rsid w:val="2C400425"/>
    <w:rsid w:val="7CD2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line="360" w:lineRule="auto"/>
      <w:ind w:left="0" w:leftChars="0" w:firstLine="420" w:firstLineChars="200"/>
      <w:jc w:val="left"/>
    </w:pPr>
    <w:rPr>
      <w:rFonts w:ascii="Times New Roman" w:hAnsi="Times New Roman" w:eastAsia="Times New Roman"/>
      <w:sz w:val="28"/>
      <w:szCs w:val="28"/>
    </w:rPr>
  </w:style>
  <w:style w:type="paragraph" w:styleId="3">
    <w:name w:val="Body Text Indent"/>
    <w:basedOn w:val="1"/>
    <w:next w:val="4"/>
    <w:qFormat/>
    <w:uiPriority w:val="0"/>
    <w:pPr>
      <w:ind w:right="-153" w:rightChars="-73" w:firstLine="752" w:firstLineChars="235"/>
    </w:pPr>
    <w:rPr>
      <w:rFonts w:ascii="仿宋_GB2312" w:eastAsia="仿宋_GB2312" w:cs="仿宋_GB2312"/>
      <w:sz w:val="32"/>
      <w:szCs w:val="32"/>
    </w:rPr>
  </w:style>
  <w:style w:type="paragraph" w:styleId="4">
    <w:name w:val="Normal Indent"/>
    <w:basedOn w:val="1"/>
    <w:next w:val="1"/>
    <w:qFormat/>
    <w:uiPriority w:val="0"/>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2023-09-08T10:02:00Z</dcterms:created>
  <dc:creator>Administrator</dc:creator>
  <cp:lastModifiedBy>Administrator</cp:lastModifiedBy>
  <dcterms:modified xsi:type="dcterms:W3CDTF">2023-09-08T10:02:19Z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