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仿宋简体" w:cs="Times New Roman"/>
          <w:bCs/>
        </w:rPr>
      </w:pPr>
      <w:r>
        <w:rPr>
          <w:rFonts w:hint="default" w:ascii="Times New Roman" w:hAnsi="Times New Roman" w:eastAsia="方正仿宋简体" w:cs="Times New Roman"/>
          <w:bCs/>
        </w:rPr>
        <w:t>附件3</w:t>
      </w:r>
    </w:p>
    <w:p>
      <w:pPr>
        <w:spacing w:line="560" w:lineRule="exact"/>
        <w:jc w:val="left"/>
        <w:rPr>
          <w:rFonts w:hint="eastAsia" w:ascii="Times New Roman" w:cs="Times New Roman"/>
          <w:bCs/>
        </w:rPr>
      </w:pPr>
    </w:p>
    <w:p>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新疆维吾尔自治区火灾高危单位界定标准</w:t>
      </w:r>
      <w:bookmarkEnd w:id="0"/>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按照《新疆维吾尔自治区火灾高危单位消防安全管理暂行规定》（新政发〔2013〕53号）</w:t>
      </w:r>
      <w:r>
        <w:rPr>
          <w:rFonts w:hint="eastAsia" w:ascii="Times New Roman" w:eastAsia="方正仿宋_GBK" w:cs="Times New Roman"/>
          <w:szCs w:val="32"/>
          <w:lang w:val="en-US" w:eastAsia="zh-CN"/>
        </w:rPr>
        <w:t>第二条规定，</w:t>
      </w:r>
      <w:r>
        <w:rPr>
          <w:rFonts w:hint="eastAsia" w:ascii="Times New Roman" w:hAnsi="Times New Roman" w:eastAsia="方正仿宋_GBK" w:cs="Times New Roman"/>
          <w:szCs w:val="32"/>
        </w:rPr>
        <w:t>下列范围的单位、场所是火灾高危单位：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（一）单层建筑面积</w:t>
      </w:r>
      <w:r>
        <w:rPr>
          <w:rFonts w:hint="default" w:ascii="Times New Roman" w:hAnsi="Times New Roman" w:eastAsia="方正仿宋_GBK" w:cs="Times New Roman"/>
          <w:szCs w:val="32"/>
        </w:rPr>
        <w:t>5000</w:t>
      </w:r>
      <w:r>
        <w:rPr>
          <w:rFonts w:hint="eastAsia" w:ascii="Times New Roman" w:hAnsi="Times New Roman" w:eastAsia="方正仿宋_GBK" w:cs="Times New Roman"/>
          <w:szCs w:val="32"/>
        </w:rPr>
        <w:t>平方米以上或建筑总面积</w:t>
      </w:r>
      <w:r>
        <w:rPr>
          <w:rFonts w:hint="default" w:ascii="Times New Roman" w:hAnsi="Times New Roman" w:eastAsia="方正仿宋_GBK" w:cs="Times New Roman"/>
          <w:szCs w:val="32"/>
        </w:rPr>
        <w:t>50000</w:t>
      </w:r>
      <w:r>
        <w:rPr>
          <w:rFonts w:hint="eastAsia" w:ascii="Times New Roman" w:hAnsi="Times New Roman" w:eastAsia="方正仿宋_GBK" w:cs="Times New Roman"/>
          <w:szCs w:val="32"/>
        </w:rPr>
        <w:t>平方米以上、经营易燃可燃商品的商场，建筑总面积</w:t>
      </w:r>
      <w:r>
        <w:rPr>
          <w:rFonts w:hint="default" w:ascii="Times New Roman" w:hAnsi="Times New Roman" w:eastAsia="方正仿宋_GBK" w:cs="Times New Roman"/>
          <w:szCs w:val="32"/>
        </w:rPr>
        <w:t>20000</w:t>
      </w:r>
      <w:r>
        <w:rPr>
          <w:rFonts w:hint="eastAsia" w:ascii="Times New Roman" w:hAnsi="Times New Roman" w:eastAsia="方正仿宋_GBK" w:cs="Times New Roman"/>
          <w:szCs w:val="32"/>
        </w:rPr>
        <w:t>平方米以上的集贸市场，设有中央空调且三星级以上或客房数在</w:t>
      </w:r>
      <w:r>
        <w:rPr>
          <w:rFonts w:hint="default" w:ascii="Times New Roman" w:hAnsi="Times New Roman" w:eastAsia="方正仿宋_GBK" w:cs="Times New Roman"/>
          <w:szCs w:val="32"/>
        </w:rPr>
        <w:t>200</w:t>
      </w:r>
      <w:r>
        <w:rPr>
          <w:rFonts w:hint="eastAsia" w:ascii="Times New Roman" w:hAnsi="Times New Roman" w:eastAsia="方正仿宋_GBK" w:cs="Times New Roman"/>
          <w:szCs w:val="32"/>
        </w:rPr>
        <w:t>间以上的宾馆、饭店，建筑总面积</w:t>
      </w:r>
      <w:r>
        <w:rPr>
          <w:rFonts w:hint="default" w:ascii="Times New Roman" w:hAnsi="Times New Roman" w:eastAsia="方正仿宋_GBK" w:cs="Times New Roman"/>
          <w:szCs w:val="32"/>
        </w:rPr>
        <w:t>10000</w:t>
      </w:r>
      <w:r>
        <w:rPr>
          <w:rFonts w:hint="eastAsia" w:ascii="Times New Roman" w:hAnsi="Times New Roman" w:eastAsia="方正仿宋_GBK" w:cs="Times New Roman"/>
          <w:szCs w:val="32"/>
        </w:rPr>
        <w:t>平方米以上的其他地下公众聚集场所；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（二）位于建筑的首层、二层、三层且建筑总面积</w:t>
      </w:r>
      <w:r>
        <w:rPr>
          <w:rFonts w:hint="default" w:ascii="Times New Roman" w:hAnsi="Times New Roman" w:eastAsia="方正仿宋_GBK" w:cs="Times New Roman"/>
          <w:szCs w:val="32"/>
        </w:rPr>
        <w:t>5000</w:t>
      </w:r>
      <w:r>
        <w:rPr>
          <w:rFonts w:hint="eastAsia" w:ascii="Times New Roman" w:hAnsi="Times New Roman" w:eastAsia="方正仿宋_GBK" w:cs="Times New Roman"/>
          <w:szCs w:val="32"/>
        </w:rPr>
        <w:t>平方米以上，或者位于建筑的地下、四层以上且建筑总面积</w:t>
      </w:r>
      <w:r>
        <w:rPr>
          <w:rFonts w:hint="default" w:ascii="Times New Roman" w:hAnsi="Times New Roman" w:eastAsia="方正仿宋_GBK" w:cs="Times New Roman"/>
          <w:szCs w:val="32"/>
        </w:rPr>
        <w:t>2000</w:t>
      </w:r>
      <w:r>
        <w:rPr>
          <w:rFonts w:hint="eastAsia" w:ascii="Times New Roman" w:hAnsi="Times New Roman" w:eastAsia="方正仿宋_GBK" w:cs="Times New Roman"/>
          <w:szCs w:val="32"/>
        </w:rPr>
        <w:t>平方米以上的公共娱乐场所；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（三）床位数</w:t>
      </w:r>
      <w:r>
        <w:rPr>
          <w:rFonts w:hint="default" w:ascii="Times New Roman" w:hAnsi="Times New Roman" w:eastAsia="方正仿宋_GBK" w:cs="Times New Roman"/>
          <w:szCs w:val="32"/>
        </w:rPr>
        <w:t>1000</w:t>
      </w:r>
      <w:r>
        <w:rPr>
          <w:rFonts w:hint="eastAsia" w:ascii="Times New Roman" w:hAnsi="Times New Roman" w:eastAsia="方正仿宋_GBK" w:cs="Times New Roman"/>
          <w:szCs w:val="32"/>
        </w:rPr>
        <w:t>张以上的医院，床位数</w:t>
      </w:r>
      <w:r>
        <w:rPr>
          <w:rFonts w:hint="default" w:ascii="Times New Roman" w:hAnsi="Times New Roman" w:eastAsia="方正仿宋_GBK" w:cs="Times New Roman"/>
          <w:szCs w:val="32"/>
        </w:rPr>
        <w:t>200</w:t>
      </w:r>
      <w:r>
        <w:rPr>
          <w:rFonts w:hint="eastAsia" w:ascii="Times New Roman" w:hAnsi="Times New Roman" w:eastAsia="方正仿宋_GBK" w:cs="Times New Roman"/>
          <w:szCs w:val="32"/>
        </w:rPr>
        <w:t>张以上的养老院、敬老院、福利院，床位数</w:t>
      </w:r>
      <w:r>
        <w:rPr>
          <w:rFonts w:hint="default" w:ascii="Times New Roman" w:hAnsi="Times New Roman" w:eastAsia="方正仿宋_GBK" w:cs="Times New Roman"/>
          <w:szCs w:val="32"/>
        </w:rPr>
        <w:t>100</w:t>
      </w:r>
      <w:r>
        <w:rPr>
          <w:rFonts w:hint="eastAsia" w:ascii="Times New Roman" w:hAnsi="Times New Roman" w:eastAsia="方正仿宋_GBK" w:cs="Times New Roman"/>
          <w:szCs w:val="32"/>
        </w:rPr>
        <w:t>张以上的寄宿制幼儿园、托儿所；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（四）建筑总面积</w:t>
      </w:r>
      <w:r>
        <w:rPr>
          <w:rFonts w:hint="default" w:ascii="Times New Roman" w:hAnsi="Times New Roman" w:eastAsia="方正仿宋_GBK" w:cs="Times New Roman"/>
          <w:szCs w:val="32"/>
        </w:rPr>
        <w:t>50000</w:t>
      </w:r>
      <w:r>
        <w:rPr>
          <w:rFonts w:hint="eastAsia" w:ascii="Times New Roman" w:hAnsi="Times New Roman" w:eastAsia="方正仿宋_GBK" w:cs="Times New Roman"/>
          <w:szCs w:val="32"/>
        </w:rPr>
        <w:t>平方米以上的公共体育馆、会堂、展览馆、博物馆；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（五）总储量</w:t>
      </w:r>
      <w:r>
        <w:rPr>
          <w:rFonts w:hint="default" w:ascii="Times New Roman" w:hAnsi="Times New Roman" w:eastAsia="方正仿宋_GBK" w:cs="Times New Roman"/>
          <w:szCs w:val="32"/>
        </w:rPr>
        <w:t>10000</w:t>
      </w:r>
      <w:r>
        <w:rPr>
          <w:rFonts w:hint="eastAsia" w:ascii="Times New Roman" w:hAnsi="Times New Roman" w:eastAsia="方正仿宋_GBK" w:cs="Times New Roman"/>
          <w:szCs w:val="32"/>
        </w:rPr>
        <w:t>立方米以上的甲、乙类可燃气体和总储量</w:t>
      </w:r>
      <w:r>
        <w:rPr>
          <w:rFonts w:hint="default" w:ascii="Times New Roman" w:hAnsi="Times New Roman" w:eastAsia="方正仿宋_GBK" w:cs="Times New Roman"/>
          <w:szCs w:val="32"/>
        </w:rPr>
        <w:t>30000</w:t>
      </w:r>
      <w:r>
        <w:rPr>
          <w:rFonts w:hint="eastAsia" w:ascii="Times New Roman" w:hAnsi="Times New Roman" w:eastAsia="方正仿宋_GBK" w:cs="Times New Roman"/>
          <w:szCs w:val="32"/>
        </w:rPr>
        <w:t>立方米以上的甲、乙类易燃液体的生产、充装、储存、销售单位；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（六）总储量</w:t>
      </w:r>
      <w:r>
        <w:rPr>
          <w:rFonts w:hint="default" w:ascii="Times New Roman" w:hAnsi="Times New Roman" w:eastAsia="方正仿宋_GBK" w:cs="Times New Roman"/>
          <w:szCs w:val="32"/>
        </w:rPr>
        <w:t>50000</w:t>
      </w:r>
      <w:r>
        <w:rPr>
          <w:rFonts w:hint="eastAsia" w:ascii="Times New Roman" w:hAnsi="Times New Roman" w:eastAsia="方正仿宋_GBK" w:cs="Times New Roman"/>
          <w:szCs w:val="32"/>
        </w:rPr>
        <w:t>吨以上的粮库，总储量</w:t>
      </w:r>
      <w:r>
        <w:rPr>
          <w:rFonts w:hint="default" w:ascii="Times New Roman" w:hAnsi="Times New Roman" w:eastAsia="方正仿宋_GBK" w:cs="Times New Roman"/>
          <w:szCs w:val="32"/>
        </w:rPr>
        <w:t>10000</w:t>
      </w:r>
      <w:r>
        <w:rPr>
          <w:rFonts w:hint="eastAsia" w:ascii="Times New Roman" w:hAnsi="Times New Roman" w:eastAsia="方正仿宋_GBK" w:cs="Times New Roman"/>
          <w:szCs w:val="32"/>
        </w:rPr>
        <w:t>吨以上的棉花储存、加工场所，总储量</w:t>
      </w:r>
      <w:r>
        <w:rPr>
          <w:rFonts w:hint="default" w:ascii="Times New Roman" w:hAnsi="Times New Roman" w:eastAsia="方正仿宋_GBK" w:cs="Times New Roman"/>
          <w:szCs w:val="32"/>
        </w:rPr>
        <w:t>50000</w:t>
      </w:r>
      <w:r>
        <w:rPr>
          <w:rFonts w:hint="eastAsia" w:ascii="Times New Roman" w:hAnsi="Times New Roman" w:eastAsia="方正仿宋_GBK" w:cs="Times New Roman"/>
          <w:szCs w:val="32"/>
        </w:rPr>
        <w:t>立方米以上的木材堆场，以及储存总价值</w:t>
      </w:r>
      <w:r>
        <w:rPr>
          <w:rFonts w:hint="default" w:ascii="Times New Roman" w:hAnsi="Times New Roman" w:eastAsia="方正仿宋_GBK" w:cs="Times New Roman"/>
          <w:szCs w:val="32"/>
        </w:rPr>
        <w:t>2000</w:t>
      </w:r>
      <w:r>
        <w:rPr>
          <w:rFonts w:hint="eastAsia" w:ascii="Times New Roman" w:hAnsi="Times New Roman" w:eastAsia="方正仿宋_GBK" w:cs="Times New Roman"/>
          <w:szCs w:val="32"/>
        </w:rPr>
        <w:t>万元以上的其他可燃物品仓库、堆场；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（七）建筑高度超过</w:t>
      </w:r>
      <w:r>
        <w:rPr>
          <w:rFonts w:hint="default" w:ascii="Times New Roman" w:hAnsi="Times New Roman" w:eastAsia="方正仿宋_GBK" w:cs="Times New Roman"/>
          <w:szCs w:val="32"/>
        </w:rPr>
        <w:t>100</w:t>
      </w:r>
      <w:r>
        <w:rPr>
          <w:rFonts w:hint="eastAsia" w:ascii="Times New Roman" w:hAnsi="Times New Roman" w:eastAsia="方正仿宋_GBK" w:cs="Times New Roman"/>
          <w:szCs w:val="32"/>
        </w:rPr>
        <w:t>米的高层公共建筑；</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（八）规模容量</w:t>
      </w:r>
      <w:r>
        <w:rPr>
          <w:rFonts w:hint="default" w:ascii="Times New Roman" w:hAnsi="Times New Roman" w:eastAsia="方正仿宋_GBK" w:cs="Times New Roman"/>
          <w:szCs w:val="32"/>
        </w:rPr>
        <w:t>120</w:t>
      </w:r>
      <w:r>
        <w:rPr>
          <w:rFonts w:hint="eastAsia" w:ascii="Times New Roman" w:hAnsi="Times New Roman" w:eastAsia="方正仿宋_GBK" w:cs="Times New Roman"/>
          <w:szCs w:val="32"/>
        </w:rPr>
        <w:t>万千瓦以上的发电厂；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（九）采用木结构或砖木结构的全国重点文物保护单位；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（十）其他容易发生火灾且一旦发生火灾可能造成重大人员伤亡或者财产损失的单位、场所。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lang w:val="en-US" w:eastAsia="zh-CN"/>
        </w:rPr>
      </w:pPr>
      <w:r>
        <w:rPr>
          <w:rFonts w:hint="eastAsia" w:ascii="方正黑体_GBK" w:hAnsi="方正黑体_GBK" w:eastAsia="方正黑体_GBK" w:cs="方正黑体_GBK"/>
          <w:b w:val="0"/>
          <w:bCs/>
          <w:szCs w:val="32"/>
          <w:lang w:val="en-US" w:eastAsia="zh-CN"/>
        </w:rPr>
        <w:t>说明：</w:t>
      </w:r>
      <w:r>
        <w:rPr>
          <w:rFonts w:hint="eastAsia" w:ascii="Times New Roman" w:hAnsi="Times New Roman" w:eastAsia="方正仿宋_GBK" w:cs="Times New Roman"/>
          <w:szCs w:val="32"/>
        </w:rPr>
        <w:t>本</w:t>
      </w:r>
      <w:r>
        <w:rPr>
          <w:rFonts w:hint="eastAsia" w:ascii="Times New Roman" w:hAnsi="Times New Roman" w:eastAsia="方正仿宋_GBK" w:cs="Times New Roman"/>
          <w:szCs w:val="32"/>
          <w:lang w:val="en-US" w:eastAsia="zh-CN"/>
        </w:rPr>
        <w:t>标准</w:t>
      </w:r>
      <w:r>
        <w:rPr>
          <w:rFonts w:hint="eastAsia" w:ascii="Times New Roman" w:hAnsi="Times New Roman" w:eastAsia="方正仿宋_GBK" w:cs="Times New Roman"/>
          <w:szCs w:val="32"/>
        </w:rPr>
        <w:t>中所提到的“以上”包含本数。</w:t>
      </w:r>
    </w:p>
    <w:p>
      <w:pPr>
        <w:keepNext w:val="0"/>
        <w:keepLines w:val="0"/>
        <w:pageBreakBefore w:val="0"/>
        <w:widowControl w:val="0"/>
        <w:kinsoku/>
        <w:wordWrap/>
        <w:overflowPunct/>
        <w:topLinePunct w:val="0"/>
        <w:autoSpaceDE/>
        <w:autoSpaceDN/>
        <w:bidi w:val="0"/>
        <w:adjustRightInd w:val="0"/>
        <w:snapToGrid w:val="0"/>
        <w:spacing w:line="560" w:lineRule="exact"/>
        <w:ind w:right="935" w:firstLine="560" w:firstLineChars="200"/>
        <w:textAlignment w:val="auto"/>
        <w:rPr>
          <w:rFonts w:hint="eastAsia" w:ascii="仿宋_GB2312" w:hAnsi="仿宋" w:eastAsia="仿宋_GB2312" w:cs="仿宋_GB2312"/>
          <w:sz w:val="28"/>
          <w:szCs w:val="28"/>
        </w:rPr>
      </w:pPr>
    </w:p>
    <w:p/>
    <w:sectPr>
      <w:head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F18A6"/>
    <w:rsid w:val="121F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line="360" w:lineRule="auto"/>
      <w:ind w:left="0" w:leftChars="0" w:firstLine="420" w:firstLineChars="200"/>
      <w:jc w:val="left"/>
    </w:pPr>
    <w:rPr>
      <w:rFonts w:ascii="Times New Roman" w:hAnsi="Times New Roman" w:eastAsia="Times New Roman"/>
      <w:sz w:val="28"/>
      <w:szCs w:val="28"/>
    </w:rPr>
  </w:style>
  <w:style w:type="paragraph" w:styleId="3">
    <w:name w:val="Body Text Indent"/>
    <w:basedOn w:val="1"/>
    <w:next w:val="4"/>
    <w:qFormat/>
    <w:uiPriority w:val="0"/>
    <w:pPr>
      <w:ind w:right="-153" w:rightChars="-73" w:firstLine="752" w:firstLineChars="235"/>
    </w:pPr>
    <w:rPr>
      <w:rFonts w:ascii="仿宋_GB2312" w:eastAsia="仿宋_GB2312" w:cs="仿宋_GB2312"/>
      <w:sz w:val="32"/>
      <w:szCs w:val="32"/>
    </w:rPr>
  </w:style>
  <w:style w:type="paragraph" w:styleId="4">
    <w:name w:val="Normal Indent"/>
    <w:basedOn w:val="1"/>
    <w:next w:val="1"/>
    <w:qFormat/>
    <w:uiPriority w:val="0"/>
    <w:pPr>
      <w:ind w:firstLine="420" w:firstLineChars="200"/>
    </w:pPr>
    <w:rPr>
      <w:rFonts w:eastAsia="仿宋"/>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2023-09-08T10:01:00Z</dcterms:created>
  <dc:creator>Administrator</dc:creator>
  <cp:lastModifiedBy>Administrator</cp:lastModifiedBy>
  <dcterms:modified xsi:type="dcterms:W3CDTF">2023-09-08T10:01:46Z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