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4</w:t>
      </w:r>
    </w:p>
    <w:p>
      <w:pPr>
        <w:spacing w:before="156" w:beforeLines="50" w:after="156" w:afterLines="50"/>
        <w:jc w:val="center"/>
        <w:outlineLvl w:val="1"/>
        <w:rPr>
          <w:rFonts w:hint="eastAsia" w:ascii="Times New Roman" w:hAnsi="Times New Roman" w:eastAsia="方正小标宋简体" w:cs="Times New Roman"/>
          <w:spacing w:val="-1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-12"/>
          <w:sz w:val="44"/>
          <w:szCs w:val="44"/>
          <w:lang w:val="en-US" w:eastAsia="zh-CN"/>
        </w:rPr>
        <w:t>不合格项目小知识</w:t>
      </w:r>
    </w:p>
    <w:p>
      <w:pPr>
        <w:spacing w:before="120" w:after="120"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一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毒死蜱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毒死蜱又名氯蜱硫磷，目前是全世界使用最广泛的有机磷酸酯杀虫剂之一，具有触杀、胃毒和熏蒸等作用。长期食用毒死蜱超标的食品，可能会引起头痛、头昏、无力、呕吐等症状，甚至还可能导致癫痫样抽搐。《食品安全国家标准 食品中农药最大残留限量》（GB2763-2021）中规定，辣椒中毒死蜱残留限量值不得超过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0.02mg/kg。辣椒中毒死蜱超标的原因，可能是菜农不了解使用农药的安全间隔期，违规滥用农药。</w:t>
      </w:r>
    </w:p>
    <w:p>
      <w:pPr>
        <w:widowControl/>
        <w:spacing w:line="480" w:lineRule="auto"/>
        <w:ind w:firstLine="480"/>
        <w:rPr>
          <w:rFonts w:hint="default" w:ascii="微软雅黑" w:hAnsi="微软雅黑" w:eastAsia="微软雅黑" w:cs="宋体"/>
          <w:b/>
          <w:bCs/>
          <w:color w:val="333333"/>
          <w:kern w:val="36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YWJlZGQ1NGZhODNmZTMzOWIxZDA1MWU5MDA2Y2MifQ=="/>
  </w:docVars>
  <w:rsids>
    <w:rsidRoot w:val="72F45F73"/>
    <w:rsid w:val="168A172F"/>
    <w:rsid w:val="72F4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5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2024-08-01T03:34:00Z</dcterms:created>
  <dc:creator> 西瓜西瓜</dc:creator>
  <cp:lastModifiedBy>Administrator</cp:lastModifiedBy>
  <dcterms:modified xsi:type="dcterms:W3CDTF">2024-08-01T04:17:41Z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  <property fmtid="{D5CDD505-2E9C-101B-9397-08002B2CF9AE}" pid="3" name="ICV">
    <vt:lpwstr>6F99B802E8634BFC88C0FC9005311634_11</vt:lpwstr>
  </property>
</Properties>
</file>