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《关于印发〈关于支持整合改造闲置社会资源加快发展养老服务的指导意见〉的通知》（新民发〔2017〕61号）的解读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为促进居民消费扩大和升级，带动产业结构调整升级,进一步贯彻落实《民政部等11部门关于支持整合改造闲置社会资源发展养老服务的通知》（民发〔2016〕179号）精神，自治区民政厅等12个部门联合下发了《关于印发〈关于支持整合改造闲置社会资源加快发展养老服务的指导意见〉的通知》（以下简称《通知》），拟通过整合改造闲置社会资源，有效增加供给总量，推动养老服务业发展提质增效，更好地满足社会日益增长的养老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通知》强调，要坚持以科学统筹规划、因地制宜推进、严格资产管理、兜底保障优先为基本原则。要根据实际情况，科学统筹规划整合改造闲置社会资源，加快发展养老服务；既要把握整合改造闲置社会资源的统一要求，又要区分不同地域、不同类型和不同情况，突出重点、体现特色，分类稳妥推进；要遵守国有资产管理有关规定，严格按照相关程序和要求办理整合改造闲置社会资源事项，确保整合改造后的养老服务用途不改变；由各级政府整合改造闲置社会资源用于养老服务的机构，要优先保障政府托底供养对象，履行政府托底养老、保障基本职能，在满足兜底保障的基础上，向社会老年人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通知》要求，充分挖掘闲置社会资源，引导社会力量积极参与，将城镇中废弃的厂房、医院、学校等，事业单位改制后腾出的办公用房，乡镇区划调整后的办公楼，村（居）民委员会闲置用房，以及转型中的党政机关和国有企事业单位举办的培训中心、疗养院及其他具有教育培训或疗养休养功能的各类机构等，经过一定的程序，整合改造成养老机构、社区居家养老设施用房等养老服务设施，增加养老服务供给总量，满足特困老人和失能老人集中供养需求，提高社区居家老年人就近就便获得养老服务的可及性、便捷性，为全面建成以居家为基础、社区为依托、机构为补充、医养相结合，具有新疆特色的社会养老服务体系提供坚强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通知》明确，此项工作的三个步骤，一是开展调查，摸清底数，切实搞清区域内闲置社会资源的底数，建立闲置资源发展养老服务储备库；二是政府统筹，整合改造，各地政府根据不同情况，可以通过购置、置换、租赁、收回等方式，将其整合改造为养老服务机构或设施；三是投入运营，助推发展。整合改造后的养老服务机构或设施，政府可以直接运营或以招投标方式提供社会力量运营。鼓励社会力量通过股份制、股份合作制、政府和社会资本合作（PPP）等模式整合改造闲置社会资源发展养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通知》强调，各地要根据经济社会发展水平、人口老龄化发展趋势、老年人口分布和养老服务需求状况，统筹整合改造闲置社会资源，发展养老服务。包括盘活存量养老服务设施建设用地；整合改造闲置厂房、社区用房、非民用房，整合农村集体建设用地存量、整合改造具有教育培训或疗养休养功能的各类机构；各地要进一步深化“放管服”改革，加大简政放权力度，对整合改造闲置社会资源举办养老服务设施的，尽量简化审批手续、缩短审批时限、提供便利服务。凡通过整合改造闲置社会资源建成的养老服务设施，符合相关政策条件的，均可依照有关规定享受养老服务建设补贴、运营补贴等资金支持和税费减免、水电气热费用优惠等政策扶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jc w:val="both"/>
        <w:textAlignment w:val="auto"/>
        <w:rPr>
          <w:rFonts w:hint="default" w:ascii="Times New Roman" w:hAnsi="Times New Roman" w:cs="Times New Roman" w:eastAsiaTheme="minorEastAsia"/>
          <w:sz w:val="22"/>
          <w:szCs w:val="22"/>
        </w:rPr>
      </w:pPr>
      <w:r>
        <w:rPr>
          <w:rFonts w:hint="default" w:ascii="Times New Roman" w:hAnsi="Times New Roman" w:cs="Times New Roman" w:eastAsiaTheme="minorEastAsia"/>
          <w:sz w:val="22"/>
          <w:szCs w:val="22"/>
        </w:rPr>
        <w:t>《通知》明确，各地要建立健全整合改造闲置社会资源发展养老服务的工作机制，加强沟通，密切合作，及时研究解决工作中遇到的重大问题。暂时不具备条件的地（州、市）可确定部分县（市、区）开展先期试点，积累经验，条件已具备的地（州、市）可全面推行。加强对整合改造闲置社会资源发展养老服务的协调指导和监督检查，确保各项工作顺利推进。同时，要确保国有资产不流失，做好信息公开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YzQxMmFiNzBlMmViN2JlM2IzYWYzNTNmMWFmNDIifQ=="/>
  </w:docVars>
  <w:rsids>
    <w:rsidRoot w:val="00000000"/>
    <w:rsid w:val="20C64EF8"/>
    <w:rsid w:val="58144E4D"/>
    <w:rsid w:val="6C00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2023-10-24T04:18:03Z</dcterms:created>
  <dc:creator>Administrator</dc:creator>
  <cp:lastModifiedBy>默涵</cp:lastModifiedBy>
  <dcterms:modified xsi:type="dcterms:W3CDTF">2023-10-24T04:19:01Z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C442A702758C442DABF80B6323B928BA_12</vt:lpwstr>
  </property>
</Properties>
</file>