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89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附件２</w:t>
      </w:r>
    </w:p>
    <w:p w14:paraId="60807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</w:p>
    <w:p w14:paraId="2F691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巴楚县中心城区详细规划（2021-2035年）</w:t>
      </w:r>
    </w:p>
    <w:p w14:paraId="22E6B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征求意见稿）》起草说明</w:t>
      </w:r>
    </w:p>
    <w:p w14:paraId="26158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40"/>
          <w:szCs w:val="40"/>
          <w:lang w:val="en-US" w:eastAsia="zh-CN"/>
        </w:rPr>
      </w:pPr>
    </w:p>
    <w:p w14:paraId="41064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一、指导思想</w:t>
      </w:r>
    </w:p>
    <w:p w14:paraId="594DA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深入贯彻落实中共中央国务院《关于建立空间规划体系并监督实施的若干意见》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中发〔2019〕18号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、自然资源部《关于全面开展国土空间规划工作的通知》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自然资发〔2019〕87号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和自治区人民政府办公厅《关于印发新疆全面开展国土空间规划编制工作方案的通知》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新政办发〔2019〕92号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文件精神，建立国土空间规划体系并监督实施，建设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一张图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实施监督信息系统。</w:t>
      </w:r>
    </w:p>
    <w:p w14:paraId="1C39C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二、基本原则</w:t>
      </w:r>
    </w:p>
    <w:p w14:paraId="71713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详细规划主要以对地块的用地使用控制和环境容量控制、建筑建造控制和城市设计引导、市政工程设施和公共服务设施的配套，以及交通活动控制和环境保护规定为主要内容，并针对不同地块、不同建设项目和不同开发过程，应用指标量化、条文规定、图则标定等方式对各控制要素进行定性、定量、定位和定界的控制和引导。</w:t>
      </w:r>
    </w:p>
    <w:p w14:paraId="4E9752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规划内容</w:t>
      </w:r>
    </w:p>
    <w:p w14:paraId="13F5249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规划范围</w:t>
      </w:r>
    </w:p>
    <w:p w14:paraId="2CEC3B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北至铁路沿线，南至纬九路，西至兴盛路，东至经十三路、经十七路以西。包含处西北部的地块以外全部的中心城区开发边界范围。中心城区开发边界：37.93平方公里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 w14:paraId="47752388"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规划期限</w:t>
      </w:r>
    </w:p>
    <w:p w14:paraId="3C1D7C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本规划期限为2021年至2035年，规划基期为2020年，近期至2025年，远期至2035年。</w:t>
      </w:r>
    </w:p>
    <w:p w14:paraId="1A57E9D5"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规划单元</w:t>
      </w:r>
    </w:p>
    <w:p w14:paraId="774440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按照有力传导及便于实施的原则，以行政区划界线为基础，统筹城市更新、功能分区、行政管辖等要素，对规划范围进行控制单元划分。</w:t>
      </w:r>
    </w:p>
    <w:p w14:paraId="410C4A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规划范围共划分14个详规编制单元，均为城镇单元，具体划分如下：</w:t>
      </w:r>
    </w:p>
    <w:p w14:paraId="5931FD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653130000000001：工业5区，位于县城西北，为印染园区，以工业为主导功能，面积187.74公顷。</w:t>
      </w:r>
    </w:p>
    <w:p w14:paraId="373635A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653130000000002：工业1区，工业发展单元，北至南疆铁路，西至兴盛路，东至红海路，南至银花西路，以工业为主导功能，面积333.69公顷。</w:t>
      </w:r>
    </w:p>
    <w:p w14:paraId="4FA6CC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653130000000003：工业2区，工业发展单元，北至银花西路，西至兴盛路，东至红海路，南至体育路，以工业为主导功能，面积282.10公顷。</w:t>
      </w:r>
    </w:p>
    <w:p w14:paraId="41DA65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653130000000004：工业3区，工业发展单元，北至体育路，西至兴盛路，东至光明路，南至世纪大道，以工业为主导功能，面积269.73公顷。</w:t>
      </w:r>
    </w:p>
    <w:p w14:paraId="642580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653130000000005：工业4区，工业发展单元，北至南疆铁路，西至红海路，东至光明路，南至体育路，以工业为主导功能，面积368.14公顷。</w:t>
      </w:r>
    </w:p>
    <w:p w14:paraId="032C97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653130000000006</w:t>
      </w:r>
      <w:r>
        <w:rPr>
          <w:rFonts w:hint="eastAsia" w:ascii="Times New Roman" w:hAnsi="Times New Roman" w:cs="Times New Roman"/>
          <w:lang w:val="en-US" w:eastAsia="zh-CN"/>
        </w:rPr>
        <w:t>：</w:t>
      </w:r>
      <w:r>
        <w:rPr>
          <w:rFonts w:hint="default" w:ascii="Times New Roman" w:hAnsi="Times New Roman" w:cs="Times New Roman"/>
          <w:lang w:val="en-US" w:eastAsia="zh-CN"/>
        </w:rPr>
        <w:t>站前区，商贸物流发展单元，北至南疆铁路，西至光明路，东至火图公路，南至城北路，以商贸物流为主导功能，面积285.85公顷。</w:t>
      </w:r>
    </w:p>
    <w:p w14:paraId="699B5B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653130000000007：中央北区，商业服务单元，北至城北路，西至光明路，东至友谊路，南至世纪大道，以商业及公共服务为主导功能，面积517.98公顷。</w:t>
      </w:r>
    </w:p>
    <w:p w14:paraId="2272DD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653130000000008：滨河北区，生态休闲单元，北至世纪大道，西至红海路，东至经十七路，南至喀什葛尔河，以生态休闲为主导功能，面积182.34公顷。</w:t>
      </w:r>
    </w:p>
    <w:p w14:paraId="5D97A4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653130000000009：滨河南区，生态休闲单元，北至喀什葛尔河，西至经九路，东至经十六路，南至人民路，以生态休闲为主导功能，面积135.54公顷。</w:t>
      </w:r>
    </w:p>
    <w:p w14:paraId="4E1943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653130000000010：居住1区，居住生活单元，北至团结西路，东至光明路，南至城南路，以居住生活为主导功能，面积239.06公顷。</w:t>
      </w:r>
    </w:p>
    <w:p w14:paraId="5CFA89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653130000000011：中央南区，综合服务单元，北至军民，西至光明路，东至友谊路，南至城南路，以居住及公共服务为主导功能，面积256.91公顷。</w:t>
      </w:r>
    </w:p>
    <w:p w14:paraId="0ED99C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653130000000012：居住2区，居住生活单元，北至人民东路，西至友谊路，东至经十六路，南至城南路，以居住生活为主导功能，面积254.92公顷。</w:t>
      </w:r>
    </w:p>
    <w:p w14:paraId="019189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653130000000013：城南产业区，商贸产业单元，北至市场路，东至经十路，南至纬九路，以商贸与产业为主导功能，面积232.85公顷。</w:t>
      </w:r>
    </w:p>
    <w:p w14:paraId="2C1909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653130000000014：居住3区，居住生活单元，北至纬二路，西至友谊路，东至经十三路，南至纬八路，以居住生活为主导功能，面积246.12公顷。</w:t>
      </w:r>
    </w:p>
    <w:p w14:paraId="194691D2"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发展定位</w:t>
      </w:r>
    </w:p>
    <w:p w14:paraId="1803F0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规划确定巴楚县城市性质为：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环塔里木城镇带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重要节点，喀什东部区域经济中心。</w:t>
      </w:r>
    </w:p>
    <w:p w14:paraId="74694738"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发展规模</w:t>
      </w:r>
    </w:p>
    <w:p w14:paraId="63EDA0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至规划期末2035年，中心城区常住人口20-25万人，中心城区开发边界面积为37.93平方千米。</w:t>
      </w:r>
    </w:p>
    <w:p w14:paraId="7BC2827A"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40" w:leftChars="20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用地布局</w:t>
      </w:r>
    </w:p>
    <w:p w14:paraId="3F7D4C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本次规划范围面积为37.93平方公里。</w:t>
      </w:r>
    </w:p>
    <w:p w14:paraId="146C7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规划居住用地11.44平方千米，占中心城区内城镇开发边界面积比例为30.16%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规划公共管理与公共服务设施用地3.26平方千米，占中心城区内城镇开发边界面积比例为8.59%。规划商业服务业用地2.82平方千米，占中心城区内城镇开发边界面积比例为7.43%。规划交通运输用地5.38平方千米，占中心城区内城镇开发边界面积比例为14.18%。规划公用设施用地0.52平方千米，占中心城区内城镇开发边界面积比例为1.37%。规划绿地与开敞空间用地2.33平方千米，占中心城区内城镇开发边界面积比例为6.14%。规划工矿用地9.56平方千米，占中心城区内城镇开发边界面积比例为25.20%。规划仓储用地1.97平方千米，占中心城区内城镇开发边界面积比例为5.19%。规划特殊用地0.26平方千米，占中心城区内城镇开发边界面积比例为0.63%。</w:t>
      </w:r>
    </w:p>
    <w:p w14:paraId="065B2FED">
      <w:pPr>
        <w:pStyle w:val="3"/>
        <w:numPr>
          <w:ilvl w:val="0"/>
          <w:numId w:val="2"/>
        </w:numPr>
        <w:bidi w:val="0"/>
        <w:spacing w:before="0" w:after="0" w:line="240" w:lineRule="auto"/>
        <w:ind w:left="640" w:leftChars="20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综合交通规划</w:t>
      </w:r>
    </w:p>
    <w:p w14:paraId="566DC1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规划建立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一环，十二横，八纵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层次清晰的路网。规划路网延续原有格局，形成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十二横八纵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的主干路骨架。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一环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：沿兴盛路-G217环城路段-城北路-火图公路-友谊路-城南路-光明路南段构建城市外环路，连通至唐王城机场的快速路，增强与喀什、图木舒克、莎车方向联系，疏解过境交通压力，减少过境交通流对城市生活的干扰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十二横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：分别为火图公路、城北路、创业大道、体育路、世纪大道、军民路、人民东路、文化西路、团结西路-团结东路、教育大道、城南路、工业园纬一路。对外联通巴楚县其他乡镇，对内承担中心城区内各片区之间的交通联系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八纵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：兴盛路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西绕城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、锦绣路、红海路、光明路、迎宾路、友谊路、胜利路、玉泉路、东绕城。</w:t>
      </w:r>
    </w:p>
    <w:p w14:paraId="12B18C6B">
      <w:pPr>
        <w:pStyle w:val="3"/>
        <w:numPr>
          <w:ilvl w:val="0"/>
          <w:numId w:val="2"/>
        </w:numPr>
        <w:bidi w:val="0"/>
        <w:spacing w:before="0" w:after="0" w:line="240" w:lineRule="auto"/>
        <w:ind w:left="640" w:leftChars="20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公共服务设施规划</w:t>
      </w:r>
    </w:p>
    <w:p w14:paraId="76B6E2A3"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以《城市居住区规划设计标准（GB50180-2018）》《社区生活圈规划技术指南》（TD/T106-2021）为指导，匹配城镇等级规模结构，建设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县级—重点镇—一般乡镇—社区（村）级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四级公共服务中心体系，健全全龄友好的公共服务设施配套。保留建设现状良好的公共服务设施，优化布局教育、医疗卫生、文化、体育、社会福利、社区服务等各类公共设施，构建基层15分钟生活圈。</w:t>
      </w:r>
    </w:p>
    <w:p w14:paraId="3675CD88">
      <w:pPr>
        <w:numPr>
          <w:ilvl w:val="0"/>
          <w:numId w:val="2"/>
        </w:numPr>
        <w:ind w:left="640" w:leftChars="200" w:firstLine="0" w:firstLineChars="0"/>
        <w:rPr>
          <w:rFonts w:hint="default" w:ascii="Times New Roman" w:hAnsi="Times New Roman" w:eastAsia="方正楷体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lang w:val="en-US" w:eastAsia="zh-CN"/>
        </w:rPr>
        <w:t>绿地与开敞空间规划</w:t>
      </w:r>
    </w:p>
    <w:p w14:paraId="1A8031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打通城市生态廊道，沿喀什河形成公园集群，服务滨水休闲旅游；构建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一带一脉，多廊多节点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的绿地系统与开敞空间体系。</w:t>
      </w:r>
    </w:p>
    <w:p w14:paraId="1E18F3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“一带”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沿喀什噶尔河打造东西向的蓝绿交织的生态带，西接红海子水库，串联沿岸多节点公园；沿岸设置融合绿色生态与人文历史的休闲旅游场所，提供生态服务功能。</w:t>
      </w:r>
    </w:p>
    <w:p w14:paraId="54155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“一脉”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沿城市主干道光明路，构建城市南北向生态绿楔，作为巴楚县城主要的开敞空间轴线，是城市功能片区之间的生态绿化隔离带和缓冲区，串联公共核心节点。</w:t>
      </w:r>
    </w:p>
    <w:p w14:paraId="23EB5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“多廊”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沿城市道路，构建12条绿化通廊，串联各工业组团和生活组团。织廊成网，串联街头公园，提升绿地景观效果，配置休闲服务功能。</w:t>
      </w:r>
    </w:p>
    <w:p w14:paraId="5AA083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“多节点”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沿喀什噶尔河形成14个主要景观节点，分别为铁塔公园、迎宾公园、市民公园、文化公园、假山公园、巴尔楚克小镇公园、城东公园、城南公园、儿童公园、玉泉公园、胜利公园、泰和广场、森林生态园、体育广场。</w:t>
      </w:r>
    </w:p>
    <w:p w14:paraId="73FB7222">
      <w:pPr>
        <w:numPr>
          <w:ilvl w:val="0"/>
          <w:numId w:val="2"/>
        </w:numPr>
        <w:ind w:left="640" w:leftChars="200" w:firstLine="0" w:firstLineChars="0"/>
        <w:rPr>
          <w:rFonts w:hint="default" w:ascii="Times New Roman" w:hAnsi="Times New Roman" w:eastAsia="方正楷体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lang w:val="en-US" w:eastAsia="zh-CN"/>
        </w:rPr>
        <w:t>开发建设管控</w:t>
      </w:r>
    </w:p>
    <w:p w14:paraId="4DB685F5"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合理控制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土地开发强度，实施差异化开发建设五级控制，设置五个强度分区：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Ⅰ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级强度区：开发强度控制在1.0以下，高度控制在10米以下。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Ⅱ级强度区：开发强度控制在1.0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~2.0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，高度控制在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24米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以下。Ⅲ级强度区：开发强度控制在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2.0~2.5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，高度控制在24米以下。Ⅳ级强度区：开发强度控制在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2.5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~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.0，高度控制在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米以下。Ⅴ级强度区：开发强度控制在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3.0以上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，高度控制在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米以下。</w:t>
      </w:r>
    </w:p>
    <w:p w14:paraId="4D675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住宅用地低层容积率</w:t>
      </w:r>
      <w:r>
        <w:rPr>
          <w:rFonts w:hint="eastAsia" w:ascii="方正仿宋简体" w:hAnsi="方正仿宋简体" w:eastAsia="方正仿宋简体" w:cs="方正仿宋简体"/>
          <w:b w:val="0"/>
          <w:bCs w:val="0"/>
          <w:lang w:val="en-US" w:eastAsia="zh-CN"/>
        </w:rPr>
        <w:t>≤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1.1，多层容积率</w:t>
      </w:r>
      <w:r>
        <w:rPr>
          <w:rFonts w:hint="eastAsia" w:ascii="方正仿宋简体" w:hAnsi="方正仿宋简体" w:eastAsia="方正仿宋简体" w:cs="方正仿宋简体"/>
          <w:b w:val="0"/>
          <w:bCs w:val="0"/>
          <w:lang w:val="en-US" w:eastAsia="zh-CN"/>
        </w:rPr>
        <w:t>≤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1.2；中高层容积率</w:t>
      </w:r>
      <w:r>
        <w:rPr>
          <w:rFonts w:hint="eastAsia" w:ascii="方正仿宋简体" w:hAnsi="方正仿宋简体" w:eastAsia="方正仿宋简体" w:cs="方正仿宋简体"/>
          <w:b w:val="0"/>
          <w:bCs w:val="0"/>
          <w:lang w:val="en-US" w:eastAsia="zh-CN"/>
        </w:rPr>
        <w:t>≤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1.8；</w:t>
      </w:r>
    </w:p>
    <w:p w14:paraId="09FC6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公共设施用地中行政办公建筑容积率</w:t>
      </w:r>
      <w:r>
        <w:rPr>
          <w:rFonts w:hint="eastAsia" w:ascii="方正仿宋简体" w:hAnsi="方正仿宋简体" w:eastAsia="方正仿宋简体" w:cs="方正仿宋简体"/>
          <w:b w:val="0"/>
          <w:bCs w:val="0"/>
          <w:lang w:val="en-US" w:eastAsia="zh-CN"/>
        </w:rPr>
        <w:t>≤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2.2，商业金融建筑容积率</w:t>
      </w:r>
      <w:r>
        <w:rPr>
          <w:rFonts w:hint="eastAsia" w:ascii="方正仿宋简体" w:hAnsi="方正仿宋简体" w:eastAsia="方正仿宋简体" w:cs="方正仿宋简体"/>
          <w:b w:val="0"/>
          <w:bCs w:val="0"/>
          <w:lang w:val="en-US" w:eastAsia="zh-CN"/>
        </w:rPr>
        <w:t>≤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2.8，底商综合楼容积率</w:t>
      </w:r>
      <w:r>
        <w:rPr>
          <w:rFonts w:hint="eastAsia" w:ascii="方正仿宋简体" w:hAnsi="方正仿宋简体" w:eastAsia="方正仿宋简体" w:cs="方正仿宋简体"/>
          <w:b w:val="0"/>
          <w:bCs w:val="0"/>
          <w:lang w:val="en-US" w:eastAsia="zh-CN"/>
        </w:rPr>
        <w:t>≤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2.8；</w:t>
      </w:r>
    </w:p>
    <w:p w14:paraId="3D922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服务设施用地容积率在1.1~1.7；</w:t>
      </w:r>
    </w:p>
    <w:p w14:paraId="317B5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教育用地容积率</w:t>
      </w:r>
      <w:r>
        <w:rPr>
          <w:rFonts w:hint="eastAsia" w:ascii="方正仿宋简体" w:hAnsi="方正仿宋简体" w:eastAsia="方正仿宋简体" w:cs="方正仿宋简体"/>
          <w:b w:val="0"/>
          <w:bCs w:val="0"/>
          <w:lang w:val="en-US" w:eastAsia="zh-CN"/>
        </w:rPr>
        <w:t>≤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1.2；</w:t>
      </w:r>
    </w:p>
    <w:p w14:paraId="0333B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医疗卫生用地容积率</w:t>
      </w:r>
      <w:r>
        <w:rPr>
          <w:rFonts w:hint="eastAsia" w:ascii="方正仿宋简体" w:hAnsi="方正仿宋简体" w:eastAsia="方正仿宋简体" w:cs="方正仿宋简体"/>
          <w:b w:val="0"/>
          <w:bCs w:val="0"/>
          <w:lang w:val="en-US" w:eastAsia="zh-CN"/>
        </w:rPr>
        <w:t>≤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2.0；</w:t>
      </w:r>
    </w:p>
    <w:p w14:paraId="16168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工业容积率1.2~2。</w:t>
      </w:r>
    </w:p>
    <w:p w14:paraId="636AE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划定三类开发强度区进行管控。</w:t>
      </w:r>
    </w:p>
    <w:p w14:paraId="18D4D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高强度开发地区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（容积率2.0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~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4.0）。重点管控地标性商业服务业设施、研发办公用地、部分城镇住宅用地，提高土地集约利用效率。</w:t>
      </w:r>
    </w:p>
    <w:p w14:paraId="3A95B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中强度开发地区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（容积率1.0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~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2.0）。包括行政办公、文化体育、社会福利、高等教育、中小学、医疗卫生等公共管理与公共服务设施用地。</w:t>
      </w:r>
    </w:p>
    <w:p w14:paraId="3B8B6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低强度开发地区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（容积率1.0及以下）。主要以现状的特殊用地为主。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720160"/>
    <w:multiLevelType w:val="singleLevel"/>
    <w:tmpl w:val="3572016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F2A769"/>
    <w:multiLevelType w:val="singleLevel"/>
    <w:tmpl w:val="52F2A769"/>
    <w:lvl w:ilvl="0" w:tentative="0">
      <w:start w:val="1"/>
      <w:numFmt w:val="chineseCounting"/>
      <w:suff w:val="space"/>
      <w:lvlText w:val="（%1）"/>
      <w:lvlJc w:val="left"/>
      <w:pPr>
        <w:ind w:left="0" w:firstLine="420"/>
      </w:pPr>
      <w:rPr>
        <w:rFonts w:hint="eastAsia" w:ascii="方正楷体简体" w:hAnsi="方正楷体简体" w:eastAsia="方正楷体简体" w:cs="方正楷体简体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ZkN2Q3ZmRlOGU2ZGRjMjA0NTQ4YWU1OGVhNzIifQ=="/>
    <w:docVar w:name="KSO_WPS_MARK_KEY" w:val="587a2f50-3599-462e-a630-44d09dd9ba21"/>
  </w:docVars>
  <w:rsids>
    <w:rsidRoot w:val="00000000"/>
    <w:rsid w:val="001D7745"/>
    <w:rsid w:val="03912F41"/>
    <w:rsid w:val="053E0EA6"/>
    <w:rsid w:val="05483AD3"/>
    <w:rsid w:val="05AA653C"/>
    <w:rsid w:val="067A4160"/>
    <w:rsid w:val="073C31C4"/>
    <w:rsid w:val="09C3197A"/>
    <w:rsid w:val="0A0B50CF"/>
    <w:rsid w:val="0C230DF6"/>
    <w:rsid w:val="0D957AD2"/>
    <w:rsid w:val="0E7F3A1B"/>
    <w:rsid w:val="0F256C33"/>
    <w:rsid w:val="118C4D48"/>
    <w:rsid w:val="120D5E88"/>
    <w:rsid w:val="130C25E4"/>
    <w:rsid w:val="14816D3F"/>
    <w:rsid w:val="14EF3F6B"/>
    <w:rsid w:val="15D46CBD"/>
    <w:rsid w:val="168E10AB"/>
    <w:rsid w:val="173C0FBE"/>
    <w:rsid w:val="17E94CA2"/>
    <w:rsid w:val="17F13B56"/>
    <w:rsid w:val="17F17FFA"/>
    <w:rsid w:val="1AAB21F7"/>
    <w:rsid w:val="1CA87041"/>
    <w:rsid w:val="1DBC69B5"/>
    <w:rsid w:val="1DF3687A"/>
    <w:rsid w:val="1F446C62"/>
    <w:rsid w:val="1F7E6617"/>
    <w:rsid w:val="205A1B82"/>
    <w:rsid w:val="206F5F60"/>
    <w:rsid w:val="20F6042F"/>
    <w:rsid w:val="21F45A2F"/>
    <w:rsid w:val="22965A26"/>
    <w:rsid w:val="23952182"/>
    <w:rsid w:val="23CD5478"/>
    <w:rsid w:val="240B6932"/>
    <w:rsid w:val="243D4CEC"/>
    <w:rsid w:val="24D26ABE"/>
    <w:rsid w:val="250A44A9"/>
    <w:rsid w:val="25105FA4"/>
    <w:rsid w:val="25B85CB3"/>
    <w:rsid w:val="26912807"/>
    <w:rsid w:val="27853690"/>
    <w:rsid w:val="28BA7F95"/>
    <w:rsid w:val="2A07637E"/>
    <w:rsid w:val="2A844DE5"/>
    <w:rsid w:val="2CAB3E3D"/>
    <w:rsid w:val="2D411CA5"/>
    <w:rsid w:val="2E187486"/>
    <w:rsid w:val="2E28500C"/>
    <w:rsid w:val="2EEE2BF6"/>
    <w:rsid w:val="30294E29"/>
    <w:rsid w:val="31707A72"/>
    <w:rsid w:val="3260395B"/>
    <w:rsid w:val="32AC3044"/>
    <w:rsid w:val="33323549"/>
    <w:rsid w:val="33705E1F"/>
    <w:rsid w:val="37BE35FD"/>
    <w:rsid w:val="389F7801"/>
    <w:rsid w:val="3A563FC1"/>
    <w:rsid w:val="3A95066C"/>
    <w:rsid w:val="3C9963E7"/>
    <w:rsid w:val="3D954E00"/>
    <w:rsid w:val="40086D97"/>
    <w:rsid w:val="407C4056"/>
    <w:rsid w:val="41653EFB"/>
    <w:rsid w:val="43AF029E"/>
    <w:rsid w:val="440473D1"/>
    <w:rsid w:val="4421684F"/>
    <w:rsid w:val="446E0159"/>
    <w:rsid w:val="46184820"/>
    <w:rsid w:val="4731141F"/>
    <w:rsid w:val="47364696"/>
    <w:rsid w:val="481B05F8"/>
    <w:rsid w:val="4847319B"/>
    <w:rsid w:val="48645AFB"/>
    <w:rsid w:val="4A563B69"/>
    <w:rsid w:val="4AC40AD3"/>
    <w:rsid w:val="4B4734B2"/>
    <w:rsid w:val="4C4579F1"/>
    <w:rsid w:val="4C877CDD"/>
    <w:rsid w:val="4CCE3E8B"/>
    <w:rsid w:val="4CFB09F8"/>
    <w:rsid w:val="4EB3158A"/>
    <w:rsid w:val="4F1638C7"/>
    <w:rsid w:val="4F2D4518"/>
    <w:rsid w:val="507C1E50"/>
    <w:rsid w:val="50C86E43"/>
    <w:rsid w:val="523313A5"/>
    <w:rsid w:val="526D7CA2"/>
    <w:rsid w:val="5311062D"/>
    <w:rsid w:val="53F90B7F"/>
    <w:rsid w:val="55452810"/>
    <w:rsid w:val="58A65E8D"/>
    <w:rsid w:val="5A032C9A"/>
    <w:rsid w:val="5BBF6E43"/>
    <w:rsid w:val="5BEF797A"/>
    <w:rsid w:val="5D375134"/>
    <w:rsid w:val="5D573A29"/>
    <w:rsid w:val="5E045177"/>
    <w:rsid w:val="5E2002BE"/>
    <w:rsid w:val="5E296BFC"/>
    <w:rsid w:val="5F3131CD"/>
    <w:rsid w:val="5FE86CCD"/>
    <w:rsid w:val="60193217"/>
    <w:rsid w:val="60B92304"/>
    <w:rsid w:val="61CB32AE"/>
    <w:rsid w:val="6362356B"/>
    <w:rsid w:val="63E37DC4"/>
    <w:rsid w:val="67201D84"/>
    <w:rsid w:val="676A497C"/>
    <w:rsid w:val="67C33997"/>
    <w:rsid w:val="67F31671"/>
    <w:rsid w:val="68490412"/>
    <w:rsid w:val="6B5A40DF"/>
    <w:rsid w:val="6D9D5488"/>
    <w:rsid w:val="6DC04CD2"/>
    <w:rsid w:val="6F7A0CE0"/>
    <w:rsid w:val="6FEA46E4"/>
    <w:rsid w:val="70F058CE"/>
    <w:rsid w:val="72EC1BF4"/>
    <w:rsid w:val="735008A6"/>
    <w:rsid w:val="73506BDD"/>
    <w:rsid w:val="74277859"/>
    <w:rsid w:val="7634625D"/>
    <w:rsid w:val="770B695F"/>
    <w:rsid w:val="788567F8"/>
    <w:rsid w:val="795723FE"/>
    <w:rsid w:val="79DC2E94"/>
    <w:rsid w:val="7A2E0F60"/>
    <w:rsid w:val="7B0F54EB"/>
    <w:rsid w:val="7BA37D4A"/>
    <w:rsid w:val="7C1C7EBF"/>
    <w:rsid w:val="7CD75B94"/>
    <w:rsid w:val="7D641B1E"/>
    <w:rsid w:val="7D9A7D2D"/>
    <w:rsid w:val="7DF34F90"/>
    <w:rsid w:val="7E494870"/>
    <w:rsid w:val="7F55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方正黑体简体"/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楷体简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3012</Words>
  <Characters>3496</Characters>
  <Lines>0</Lines>
  <Paragraphs>0</Paragraphs>
  <TotalTime>1</TotalTime>
  <ScaleCrop>false</ScaleCrop>
  <LinksUpToDate>false</LinksUpToDate>
  <CharactersWithSpaces>3496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2023-01-09T03:05:00Z</dcterms:created>
  <dc:creator>Administrator</dc:creator>
  <cp:lastModifiedBy>Administrator</cp:lastModifiedBy>
  <cp:lastPrinted>2024-12-20T10:24:00Z</cp:lastPrinted>
  <dcterms:modified xsi:type="dcterms:W3CDTF">2024-12-23T13:50:22Z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DD680AE416324F77B7F98BE41A78D654</vt:lpwstr>
  </property>
</Properties>
</file>