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sz w:val="32"/>
          <w:szCs w:val="32"/>
          <w:lang w:eastAsia="zh-CN"/>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spacing w:line="240" w:lineRule="auto"/>
        <w:ind w:firstLine="0" w:firstLineChars="0"/>
        <w:jc w:val="center"/>
        <w:rPr>
          <w:rFonts w:hint="default" w:ascii="Times New Roman" w:hAnsi="Times New Roman" w:eastAsia="方正仿宋简体" w:cs="Times New Roman"/>
          <w:sz w:val="32"/>
          <w:szCs w:val="32"/>
        </w:rPr>
      </w:pPr>
    </w:p>
    <w:p>
      <w:pPr>
        <w:pStyle w:val="145"/>
        <w:rPr>
          <w:rFonts w:hint="default" w:ascii="Times New Roman" w:hAnsi="Times New Roman" w:cs="Times New Roman"/>
        </w:rPr>
      </w:pPr>
      <w:r>
        <w:rPr>
          <w:rFonts w:hint="default" w:ascii="Times New Roman" w:hAnsi="Times New Roman" w:cs="Times New Roman"/>
        </w:rPr>
        <w:t>巴楚县国土空间总体规划</w:t>
      </w:r>
    </w:p>
    <w:p>
      <w:pPr>
        <w:pStyle w:val="145"/>
        <w:rPr>
          <w:rFonts w:hint="default" w:ascii="Times New Roman" w:hAnsi="Times New Roman" w:cs="Times New Roman"/>
        </w:rPr>
      </w:pPr>
      <w:r>
        <w:rPr>
          <w:rFonts w:hint="default" w:ascii="Times New Roman" w:hAnsi="Times New Roman" w:cs="Times New Roman"/>
        </w:rPr>
        <w:t>（2021—2035年）</w:t>
      </w:r>
    </w:p>
    <w:p>
      <w:pPr>
        <w:spacing w:line="240" w:lineRule="auto"/>
        <w:ind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文  本</w:t>
      </w:r>
    </w:p>
    <w:p>
      <w:pPr>
        <w:spacing w:line="240" w:lineRule="auto"/>
        <w:ind w:firstLine="0" w:firstLineChars="0"/>
        <w:jc w:val="center"/>
        <w:rPr>
          <w:rFonts w:hint="default" w:ascii="Times New Roman" w:hAnsi="Times New Roman" w:eastAsia="方正仿宋简体" w:cs="Times New Roman"/>
          <w:sz w:val="32"/>
          <w:szCs w:val="32"/>
        </w:rPr>
      </w:pPr>
    </w:p>
    <w:p>
      <w:pPr>
        <w:spacing w:line="240" w:lineRule="auto"/>
        <w:ind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批后</w:t>
      </w:r>
      <w:r>
        <w:rPr>
          <w:rFonts w:hint="default" w:ascii="Times New Roman" w:hAnsi="Times New Roman" w:eastAsia="方正仿宋简体" w:cs="Times New Roman"/>
          <w:sz w:val="32"/>
          <w:szCs w:val="32"/>
        </w:rPr>
        <w:t>公示稿）</w:t>
      </w:r>
    </w:p>
    <w:p>
      <w:pPr>
        <w:spacing w:line="240" w:lineRule="auto"/>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spacing w:line="240" w:lineRule="auto"/>
        <w:ind w:firstLine="0" w:firstLineChars="0"/>
        <w:jc w:val="center"/>
        <w:rPr>
          <w:rFonts w:hint="default" w:ascii="Times New Roman" w:hAnsi="Times New Roman" w:eastAsia="方正仿宋简体" w:cs="Times New Roman"/>
          <w:sz w:val="32"/>
          <w:szCs w:val="32"/>
        </w:rPr>
      </w:pPr>
    </w:p>
    <w:p>
      <w:pPr>
        <w:spacing w:line="240" w:lineRule="auto"/>
        <w:ind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巴楚县人民政府</w:t>
      </w:r>
    </w:p>
    <w:p>
      <w:pPr>
        <w:spacing w:line="240" w:lineRule="auto"/>
        <w:ind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2025年3月</w:t>
      </w:r>
    </w:p>
    <w:p>
      <w:pPr>
        <w:ind w:firstLine="0" w:firstLineChars="0"/>
        <w:jc w:val="center"/>
        <w:rPr>
          <w:rFonts w:hint="default" w:ascii="Times New Roman" w:hAnsi="Times New Roman" w:eastAsia="方正仿宋简体" w:cs="Times New Roman"/>
          <w:sz w:val="32"/>
          <w:szCs w:val="32"/>
        </w:rPr>
      </w:pPr>
    </w:p>
    <w:p>
      <w:pPr>
        <w:ind w:firstLine="0" w:firstLineChars="0"/>
        <w:jc w:val="center"/>
        <w:rPr>
          <w:rFonts w:hint="default" w:ascii="Times New Roman" w:hAnsi="Times New Roman" w:eastAsia="方正仿宋简体" w:cs="Times New Roman"/>
          <w:sz w:val="32"/>
          <w:szCs w:val="32"/>
        </w:rPr>
      </w:pPr>
    </w:p>
    <w:p>
      <w:pPr>
        <w:pStyle w:val="34"/>
        <w:ind w:firstLine="643"/>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418" w:right="1701" w:bottom="1418" w:left="1701" w:header="0" w:footer="964" w:gutter="0"/>
          <w:paperSrc w:first="261" w:other="261"/>
          <w:cols w:space="720" w:num="1"/>
        </w:sectPr>
      </w:pPr>
    </w:p>
    <w:sdt>
      <w:sdtPr>
        <w:rPr>
          <w:rFonts w:hint="default" w:ascii="Times New Roman" w:hAnsi="Times New Roman" w:eastAsia="方正仿宋简体" w:cs="Times New Roman"/>
          <w:sz w:val="32"/>
          <w:szCs w:val="32"/>
          <w:lang w:val="zh-CN"/>
        </w:rPr>
        <w:id w:val="-1892259289"/>
        <w:docPartObj>
          <w:docPartGallery w:val="Table of Contents"/>
          <w:docPartUnique/>
        </w:docPartObj>
      </w:sdtPr>
      <w:sdtEndPr>
        <w:rPr>
          <w:rFonts w:hint="default" w:ascii="Times New Roman" w:hAnsi="Times New Roman" w:eastAsia="方正仿宋简体" w:cs="Times New Roman"/>
          <w:sz w:val="32"/>
          <w:szCs w:val="32"/>
          <w:lang w:val="zh-CN"/>
        </w:rPr>
      </w:sdtEndPr>
      <w:sdtContent>
        <w:p>
          <w:pPr>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  录</w:t>
          </w:r>
        </w:p>
        <w:p>
          <w:pPr>
            <w:pStyle w:val="17"/>
            <w:tabs>
              <w:tab w:val="right" w:leader="dot" w:pos="8488"/>
            </w:tabs>
            <w:ind w:firstLine="643"/>
            <w:rPr>
              <w:rFonts w:hint="default" w:ascii="Times New Roman" w:hAnsi="Times New Roman" w:cs="Times New Roman" w:eastAsiaTheme="minorEastAsia"/>
              <w:kern w:val="2"/>
              <w:sz w:val="21"/>
            </w:rPr>
          </w:pPr>
          <w:bookmarkStart w:id="0" w:name="_Toc133408242"/>
          <w:r>
            <w:rPr>
              <w:rFonts w:hint="default" w:ascii="Times New Roman" w:hAnsi="Times New Roman" w:cs="Times New Roman"/>
              <w:b/>
              <w:bCs/>
              <w:szCs w:val="32"/>
              <w:lang w:val="zh-CN"/>
            </w:rPr>
            <w:fldChar w:fldCharType="begin"/>
          </w:r>
          <w:r>
            <w:rPr>
              <w:rFonts w:hint="default" w:ascii="Times New Roman" w:hAnsi="Times New Roman" w:cs="Times New Roman"/>
              <w:b/>
              <w:bCs/>
              <w:szCs w:val="32"/>
              <w:lang w:val="zh-CN"/>
            </w:rPr>
            <w:instrText xml:space="preserve"> TOC \o "1-3" \h \z \u </w:instrText>
          </w:r>
          <w:r>
            <w:rPr>
              <w:rFonts w:hint="default" w:ascii="Times New Roman" w:hAnsi="Times New Roman" w:cs="Times New Roman"/>
              <w:b/>
              <w:bCs/>
              <w:szCs w:val="32"/>
              <w:lang w:val="zh-C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"_Toc192836766" </w:instrText>
          </w:r>
          <w:r>
            <w:rPr>
              <w:rFonts w:hint="default" w:ascii="Times New Roman" w:hAnsi="Times New Roman" w:cs="Times New Roman"/>
            </w:rPr>
            <w:fldChar w:fldCharType="separate"/>
          </w:r>
          <w:r>
            <w:rPr>
              <w:rStyle w:val="30"/>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"_Toc192836767" </w:instrText>
          </w:r>
          <w:r>
            <w:rPr>
              <w:rFonts w:hint="default" w:ascii="Times New Roman" w:hAnsi="Times New Roman" w:cs="Times New Roman"/>
            </w:rPr>
            <w:fldChar w:fldCharType="separate"/>
          </w:r>
          <w:r>
            <w:rPr>
              <w:rStyle w:val="30"/>
              <w:rFonts w:hint="default" w:ascii="Times New Roman" w:hAnsi="Times New Roman" w:cs="Times New Roman"/>
            </w:rPr>
            <w:t>第一章</w:t>
          </w:r>
          <w:r>
            <w:rPr>
              <w:rFonts w:hint="default" w:ascii="Times New Roman" w:hAnsi="Times New Roman" w:cs="Times New Roman" w:eastAsiaTheme="minorEastAsia"/>
              <w:kern w:val="2"/>
              <w:sz w:val="21"/>
            </w:rPr>
            <w:tab/>
          </w:r>
          <w:r>
            <w:rPr>
              <w:rStyle w:val="30"/>
              <w:rFonts w:hint="default" w:ascii="Times New Roman" w:hAnsi="Times New Roman" w:cs="Times New Roman"/>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_Toc192836767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"_Toc192836768" </w:instrText>
          </w:r>
          <w:r>
            <w:rPr>
              <w:rFonts w:hint="default" w:ascii="Times New Roman" w:hAnsi="Times New Roman" w:cs="Times New Roman"/>
            </w:rPr>
            <w:fldChar w:fldCharType="separate"/>
          </w:r>
          <w:r>
            <w:rPr>
              <w:rStyle w:val="30"/>
              <w:rFonts w:hint="default" w:ascii="Times New Roman" w:hAnsi="Times New Roman" w:cs="Times New Roman"/>
            </w:rPr>
            <w:t>第二章</w:t>
          </w:r>
          <w:r>
            <w:rPr>
              <w:rFonts w:hint="default" w:ascii="Times New Roman" w:hAnsi="Times New Roman" w:cs="Times New Roman" w:eastAsiaTheme="minorEastAsia"/>
              <w:kern w:val="2"/>
              <w:sz w:val="21"/>
            </w:rPr>
            <w:tab/>
          </w:r>
          <w:r>
            <w:rPr>
              <w:rStyle w:val="30"/>
              <w:rFonts w:hint="default" w:ascii="Times New Roman" w:hAnsi="Times New Roman" w:cs="Times New Roman"/>
            </w:rPr>
            <w:t>规划基础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_Toc192836768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"_Toc192836769" </w:instrText>
          </w:r>
          <w:r>
            <w:rPr>
              <w:rFonts w:hint="default" w:ascii="Times New Roman" w:hAnsi="Times New Roman" w:cs="Times New Roman"/>
            </w:rPr>
            <w:fldChar w:fldCharType="separate"/>
          </w:r>
          <w:r>
            <w:rPr>
              <w:rStyle w:val="30"/>
              <w:rFonts w:hint="default" w:ascii="Times New Roman" w:hAnsi="Times New Roman" w:cs="Times New Roman"/>
            </w:rPr>
            <w:t>第三章</w:t>
          </w:r>
          <w:r>
            <w:rPr>
              <w:rFonts w:hint="default" w:ascii="Times New Roman" w:hAnsi="Times New Roman" w:cs="Times New Roman" w:eastAsiaTheme="minorEastAsia"/>
              <w:kern w:val="2"/>
              <w:sz w:val="21"/>
            </w:rPr>
            <w:tab/>
          </w:r>
          <w:r>
            <w:rPr>
              <w:rStyle w:val="30"/>
              <w:rFonts w:hint="default" w:ascii="Times New Roman" w:hAnsi="Times New Roman" w:cs="Times New Roman"/>
            </w:rPr>
            <w:t>目标定位与空间战略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_Toc192836769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"_Toc192836770" </w:instrText>
          </w:r>
          <w:r>
            <w:rPr>
              <w:rFonts w:hint="default" w:ascii="Times New Roman" w:hAnsi="Times New Roman" w:cs="Times New Roman"/>
            </w:rPr>
            <w:fldChar w:fldCharType="separate"/>
          </w:r>
          <w:r>
            <w:rPr>
              <w:rStyle w:val="30"/>
              <w:rFonts w:hint="default" w:ascii="Times New Roman" w:hAnsi="Times New Roman" w:cs="Times New Roman"/>
            </w:rPr>
            <w:t>第四章</w:t>
          </w:r>
          <w:r>
            <w:rPr>
              <w:rFonts w:hint="default" w:ascii="Times New Roman" w:hAnsi="Times New Roman" w:cs="Times New Roman" w:eastAsiaTheme="minorEastAsia"/>
              <w:kern w:val="2"/>
              <w:sz w:val="21"/>
            </w:rPr>
            <w:tab/>
          </w:r>
          <w:r>
            <w:rPr>
              <w:rStyle w:val="30"/>
              <w:rFonts w:hint="default" w:ascii="Times New Roman" w:hAnsi="Times New Roman" w:cs="Times New Roman"/>
            </w:rPr>
            <w:t>“三区三线”，开发保护新格局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"_Toc192836771"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统筹三条控制线划定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"_Toc192836772"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深化细化主体功能区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"_Toc192836773"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国土空间开发保护总体格局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"_Toc192836774" </w:instrText>
          </w:r>
          <w:r>
            <w:rPr>
              <w:rFonts w:hint="default" w:ascii="Times New Roman" w:hAnsi="Times New Roman" w:cs="Times New Roman"/>
            </w:rPr>
            <w:fldChar w:fldCharType="separate"/>
          </w:r>
          <w:r>
            <w:rPr>
              <w:rStyle w:val="30"/>
              <w:rFonts w:hint="default" w:ascii="Times New Roman" w:hAnsi="Times New Roman" w:cs="Times New Roman"/>
            </w:rPr>
            <w:t>第四节</w:t>
          </w:r>
          <w:r>
            <w:rPr>
              <w:rFonts w:hint="default" w:ascii="Times New Roman" w:hAnsi="Times New Roman" w:cs="Times New Roman" w:eastAsiaTheme="minorEastAsia"/>
              <w:kern w:val="2"/>
              <w:sz w:val="21"/>
            </w:rPr>
            <w:tab/>
          </w:r>
          <w:r>
            <w:rPr>
              <w:rStyle w:val="30"/>
              <w:rFonts w:hint="default" w:ascii="Times New Roman" w:hAnsi="Times New Roman" w:cs="Times New Roman"/>
            </w:rPr>
            <w:t>规划分区和用途结构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"_Toc192836775" </w:instrText>
          </w:r>
          <w:r>
            <w:rPr>
              <w:rFonts w:hint="default" w:ascii="Times New Roman" w:hAnsi="Times New Roman" w:cs="Times New Roman"/>
            </w:rPr>
            <w:fldChar w:fldCharType="separate"/>
          </w:r>
          <w:r>
            <w:rPr>
              <w:rStyle w:val="30"/>
              <w:rFonts w:hint="default" w:ascii="Times New Roman" w:hAnsi="Times New Roman" w:cs="Times New Roman"/>
            </w:rPr>
            <w:t>第五章</w:t>
          </w:r>
          <w:r>
            <w:rPr>
              <w:rFonts w:hint="default" w:ascii="Times New Roman" w:hAnsi="Times New Roman" w:cs="Times New Roman" w:eastAsiaTheme="minorEastAsia"/>
              <w:kern w:val="2"/>
              <w:sz w:val="21"/>
            </w:rPr>
            <w:tab/>
          </w:r>
          <w:r>
            <w:rPr>
              <w:rStyle w:val="30"/>
              <w:rFonts w:hint="default" w:ascii="Times New Roman" w:hAnsi="Times New Roman" w:cs="Times New Roman"/>
            </w:rPr>
            <w:t>都市农业空间，乡村振兴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"_Toc192836776"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农牧空间格局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"_Toc192836777"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耕地保护与利用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"_Toc192836778"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分区分类推进乡村振兴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_Toc192836778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"_Toc192836779" </w:instrText>
          </w:r>
          <w:r>
            <w:rPr>
              <w:rFonts w:hint="default" w:ascii="Times New Roman" w:hAnsi="Times New Roman" w:cs="Times New Roman"/>
            </w:rPr>
            <w:fldChar w:fldCharType="separate"/>
          </w:r>
          <w:r>
            <w:rPr>
              <w:rStyle w:val="30"/>
              <w:rFonts w:hint="default" w:ascii="Times New Roman" w:hAnsi="Times New Roman" w:cs="Times New Roman"/>
            </w:rPr>
            <w:t>第四节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农村土地综合整治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_Toc192836779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"_Toc192836780" </w:instrText>
          </w:r>
          <w:r>
            <w:rPr>
              <w:rFonts w:hint="default" w:ascii="Times New Roman" w:hAnsi="Times New Roman" w:cs="Times New Roman"/>
            </w:rPr>
            <w:fldChar w:fldCharType="separate"/>
          </w:r>
          <w:r>
            <w:rPr>
              <w:rStyle w:val="30"/>
              <w:rFonts w:hint="default" w:ascii="Times New Roman" w:hAnsi="Times New Roman" w:cs="Times New Roman"/>
            </w:rPr>
            <w:t>第六章</w:t>
          </w:r>
          <w:r>
            <w:rPr>
              <w:rFonts w:hint="default" w:ascii="Times New Roman" w:hAnsi="Times New Roman" w:cs="Times New Roman" w:eastAsiaTheme="minorEastAsia"/>
              <w:kern w:val="2"/>
              <w:sz w:val="21"/>
            </w:rPr>
            <w:tab/>
          </w:r>
          <w:r>
            <w:rPr>
              <w:rStyle w:val="30"/>
              <w:rFonts w:hint="default" w:ascii="Times New Roman" w:hAnsi="Times New Roman" w:cs="Times New Roman"/>
            </w:rPr>
            <w:t>生态空间，绿色低碳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"_Toc192836781"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绿洲生态保护空间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"_Toc192836782"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建立自然保护地体系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_Toc192836782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"_Toc192836783"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水资源利用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_Toc192836783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"_Toc192836784" </w:instrText>
          </w:r>
          <w:r>
            <w:rPr>
              <w:rFonts w:hint="default" w:ascii="Times New Roman" w:hAnsi="Times New Roman" w:cs="Times New Roman"/>
            </w:rPr>
            <w:fldChar w:fldCharType="separate"/>
          </w:r>
          <w:r>
            <w:rPr>
              <w:rStyle w:val="30"/>
              <w:rFonts w:hint="default" w:ascii="Times New Roman" w:hAnsi="Times New Roman" w:cs="Times New Roman"/>
            </w:rPr>
            <w:t>第四节</w:t>
          </w:r>
          <w:r>
            <w:rPr>
              <w:rFonts w:hint="default" w:ascii="Times New Roman" w:hAnsi="Times New Roman" w:cs="Times New Roman" w:eastAsiaTheme="minorEastAsia"/>
              <w:kern w:val="2"/>
              <w:sz w:val="21"/>
            </w:rPr>
            <w:tab/>
          </w:r>
          <w:r>
            <w:rPr>
              <w:rStyle w:val="30"/>
              <w:rFonts w:hint="default" w:ascii="Times New Roman" w:hAnsi="Times New Roman" w:cs="Times New Roman"/>
            </w:rPr>
            <w:t>统筹自然资源保护与利用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_Toc192836784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"_Toc192836785" </w:instrText>
          </w:r>
          <w:r>
            <w:rPr>
              <w:rFonts w:hint="default" w:ascii="Times New Roman" w:hAnsi="Times New Roman" w:cs="Times New Roman"/>
            </w:rPr>
            <w:fldChar w:fldCharType="separate"/>
          </w:r>
          <w:r>
            <w:rPr>
              <w:rStyle w:val="30"/>
              <w:rFonts w:hint="default" w:ascii="Times New Roman" w:hAnsi="Times New Roman" w:cs="Times New Roman"/>
            </w:rPr>
            <w:t>第五节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开展山水林田湖草沙冰系统保护与修复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"_Toc192836786" </w:instrText>
          </w:r>
          <w:r>
            <w:rPr>
              <w:rFonts w:hint="default" w:ascii="Times New Roman" w:hAnsi="Times New Roman" w:cs="Times New Roman"/>
            </w:rPr>
            <w:fldChar w:fldCharType="separate"/>
          </w:r>
          <w:r>
            <w:rPr>
              <w:rStyle w:val="30"/>
              <w:rFonts w:hint="default" w:ascii="Times New Roman" w:hAnsi="Times New Roman" w:cs="Times New Roman"/>
            </w:rPr>
            <w:t>第六节</w:t>
          </w:r>
          <w:r>
            <w:rPr>
              <w:rFonts w:hint="default" w:ascii="Times New Roman" w:hAnsi="Times New Roman" w:cs="Times New Roman" w:eastAsiaTheme="minorEastAsia"/>
              <w:kern w:val="2"/>
              <w:sz w:val="21"/>
            </w:rPr>
            <w:tab/>
          </w:r>
          <w:r>
            <w:rPr>
              <w:rStyle w:val="30"/>
              <w:rFonts w:hint="default" w:ascii="Times New Roman" w:hAnsi="Times New Roman" w:cs="Times New Roman"/>
            </w:rPr>
            <w:t>推进碳达峰、碳中和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_Toc192836786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"_Toc192836787" </w:instrText>
          </w:r>
          <w:r>
            <w:rPr>
              <w:rFonts w:hint="default" w:ascii="Times New Roman" w:hAnsi="Times New Roman" w:cs="Times New Roman"/>
            </w:rPr>
            <w:fldChar w:fldCharType="separate"/>
          </w:r>
          <w:r>
            <w:rPr>
              <w:rStyle w:val="30"/>
              <w:rFonts w:hint="default" w:ascii="Times New Roman" w:hAnsi="Times New Roman" w:cs="Times New Roman"/>
            </w:rPr>
            <w:t>第七章</w:t>
          </w:r>
          <w:r>
            <w:rPr>
              <w:rFonts w:hint="default" w:ascii="Times New Roman" w:hAnsi="Times New Roman" w:cs="Times New Roman" w:eastAsiaTheme="minorEastAsia"/>
              <w:kern w:val="2"/>
              <w:sz w:val="21"/>
            </w:rPr>
            <w:tab/>
          </w:r>
          <w:r>
            <w:rPr>
              <w:rStyle w:val="30"/>
              <w:rFonts w:hint="default" w:ascii="Times New Roman" w:hAnsi="Times New Roman" w:cs="Times New Roman"/>
            </w:rPr>
            <w:t>城镇布局，集约高效发展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_Toc192836787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"_Toc192836788"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城镇发展空间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_Toc192836788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"_Toc192836789"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现代化产业体系布局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_Toc192836789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"_Toc192836790"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城乡公共服务体系布局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"_Toc192836791" </w:instrText>
          </w:r>
          <w:r>
            <w:rPr>
              <w:rFonts w:hint="default" w:ascii="Times New Roman" w:hAnsi="Times New Roman" w:cs="Times New Roman"/>
            </w:rPr>
            <w:fldChar w:fldCharType="separate"/>
          </w:r>
          <w:r>
            <w:rPr>
              <w:rStyle w:val="30"/>
              <w:rFonts w:hint="default" w:ascii="Times New Roman" w:hAnsi="Times New Roman" w:cs="Times New Roman"/>
            </w:rPr>
            <w:t>第八章</w:t>
          </w:r>
          <w:r>
            <w:rPr>
              <w:rFonts w:hint="default" w:ascii="Times New Roman" w:hAnsi="Times New Roman" w:cs="Times New Roman" w:eastAsiaTheme="minorEastAsia"/>
              <w:kern w:val="2"/>
              <w:sz w:val="21"/>
            </w:rPr>
            <w:tab/>
          </w:r>
          <w:r>
            <w:rPr>
              <w:rStyle w:val="30"/>
              <w:rFonts w:hint="default" w:ascii="Times New Roman" w:hAnsi="Times New Roman" w:cs="Times New Roman"/>
            </w:rPr>
            <w:t>文化润疆，城市风貌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_Toc192836791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"_Toc192836792"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历史文化保护和传承体系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_Toc192836792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"_Toc192836793"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城乡风貌特色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_Toc192836793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"_Toc192836794"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全域魅力空间网络构建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_Toc192836794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"_Toc192836795" </w:instrText>
          </w:r>
          <w:r>
            <w:rPr>
              <w:rFonts w:hint="default" w:ascii="Times New Roman" w:hAnsi="Times New Roman" w:cs="Times New Roman"/>
            </w:rPr>
            <w:fldChar w:fldCharType="separate"/>
          </w:r>
          <w:r>
            <w:rPr>
              <w:rStyle w:val="30"/>
              <w:rFonts w:hint="default" w:ascii="Times New Roman" w:hAnsi="Times New Roman" w:cs="Times New Roman"/>
            </w:rPr>
            <w:t>第九章</w:t>
          </w:r>
          <w:r>
            <w:rPr>
              <w:rFonts w:hint="default" w:ascii="Times New Roman" w:hAnsi="Times New Roman" w:cs="Times New Roman" w:eastAsiaTheme="minorEastAsia"/>
              <w:kern w:val="2"/>
              <w:sz w:val="21"/>
            </w:rPr>
            <w:tab/>
          </w:r>
          <w:r>
            <w:rPr>
              <w:rStyle w:val="30"/>
              <w:rFonts w:hint="default" w:ascii="Times New Roman" w:hAnsi="Times New Roman" w:cs="Times New Roman"/>
            </w:rPr>
            <w:t>增强支撑保障能力和安全韧性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_Toc192836795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"_Toc192836796"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综合交通体系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_Toc192836796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"_Toc192836797"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市政基础设施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_Toc192836797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"_Toc192836798"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防灾减灾体系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_Toc192836798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"_Toc192836799" </w:instrText>
          </w:r>
          <w:r>
            <w:rPr>
              <w:rFonts w:hint="default" w:ascii="Times New Roman" w:hAnsi="Times New Roman" w:cs="Times New Roman"/>
            </w:rPr>
            <w:fldChar w:fldCharType="separate"/>
          </w:r>
          <w:r>
            <w:rPr>
              <w:rStyle w:val="30"/>
              <w:rFonts w:hint="default" w:ascii="Times New Roman" w:hAnsi="Times New Roman" w:cs="Times New Roman"/>
            </w:rPr>
            <w:t>第十章</w:t>
          </w:r>
          <w:r>
            <w:rPr>
              <w:rFonts w:hint="default" w:ascii="Times New Roman" w:hAnsi="Times New Roman" w:cs="Times New Roman" w:eastAsiaTheme="minorEastAsia"/>
              <w:kern w:val="2"/>
              <w:sz w:val="21"/>
            </w:rPr>
            <w:tab/>
          </w:r>
          <w:r>
            <w:rPr>
              <w:rStyle w:val="30"/>
              <w:rFonts w:hint="default" w:ascii="Times New Roman" w:hAnsi="Times New Roman" w:cs="Times New Roman"/>
            </w:rPr>
            <w:t>中心城区规划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_Toc192836799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"_Toc192836800"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城区空间结构与布局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_Toc192836800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"_Toc192836801"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居住空间布局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_Toc192836801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"_Toc192836802"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构建蓝绿空间体系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_Toc192836802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"_Toc192836803" </w:instrText>
          </w:r>
          <w:r>
            <w:rPr>
              <w:rFonts w:hint="default" w:ascii="Times New Roman" w:hAnsi="Times New Roman" w:cs="Times New Roman"/>
            </w:rPr>
            <w:fldChar w:fldCharType="separate"/>
          </w:r>
          <w:r>
            <w:rPr>
              <w:rStyle w:val="30"/>
              <w:rFonts w:hint="default" w:ascii="Times New Roman" w:hAnsi="Times New Roman" w:cs="Times New Roman"/>
            </w:rPr>
            <w:t>第四节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完善综合交通体系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_Toc192836803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"_Toc192836804" </w:instrText>
          </w:r>
          <w:r>
            <w:rPr>
              <w:rFonts w:hint="default" w:ascii="Times New Roman" w:hAnsi="Times New Roman" w:cs="Times New Roman"/>
            </w:rPr>
            <w:fldChar w:fldCharType="separate"/>
          </w:r>
          <w:r>
            <w:rPr>
              <w:rStyle w:val="30"/>
              <w:rFonts w:hint="default" w:ascii="Times New Roman" w:hAnsi="Times New Roman" w:cs="Times New Roman"/>
            </w:rPr>
            <w:t>第五节</w:t>
          </w:r>
          <w:r>
            <w:rPr>
              <w:rFonts w:hint="default" w:ascii="Times New Roman" w:hAnsi="Times New Roman" w:cs="Times New Roman" w:eastAsiaTheme="minorEastAsia"/>
              <w:kern w:val="2"/>
              <w:sz w:val="21"/>
            </w:rPr>
            <w:tab/>
          </w:r>
          <w:r>
            <w:rPr>
              <w:rStyle w:val="30"/>
              <w:rFonts w:hint="default" w:ascii="Times New Roman" w:hAnsi="Times New Roman" w:cs="Times New Roman"/>
            </w:rPr>
            <w:t>中心城区地下空间开发利用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_Toc192836804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"_Toc192836805" </w:instrText>
          </w:r>
          <w:r>
            <w:rPr>
              <w:rFonts w:hint="default" w:ascii="Times New Roman" w:hAnsi="Times New Roman" w:cs="Times New Roman"/>
            </w:rPr>
            <w:fldChar w:fldCharType="separate"/>
          </w:r>
          <w:r>
            <w:rPr>
              <w:rStyle w:val="30"/>
              <w:rFonts w:hint="default" w:ascii="Times New Roman" w:hAnsi="Times New Roman" w:cs="Times New Roman"/>
            </w:rPr>
            <w:t>第六节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城市控制线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_Toc192836805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52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"_Toc192836806" </w:instrText>
          </w:r>
          <w:r>
            <w:rPr>
              <w:rFonts w:hint="default" w:ascii="Times New Roman" w:hAnsi="Times New Roman" w:cs="Times New Roman"/>
            </w:rPr>
            <w:fldChar w:fldCharType="separate"/>
          </w:r>
          <w:r>
            <w:rPr>
              <w:rStyle w:val="30"/>
              <w:rFonts w:hint="default" w:ascii="Times New Roman" w:hAnsi="Times New Roman" w:cs="Times New Roman"/>
            </w:rPr>
            <w:t>第十一章</w:t>
          </w:r>
          <w:r>
            <w:rPr>
              <w:rFonts w:hint="default" w:ascii="Times New Roman" w:hAnsi="Times New Roman" w:cs="Times New Roman" w:eastAsiaTheme="minorEastAsia"/>
              <w:kern w:val="2"/>
              <w:sz w:val="21"/>
            </w:rPr>
            <w:tab/>
          </w:r>
          <w:r>
            <w:rPr>
              <w:rStyle w:val="30"/>
              <w:rFonts w:hint="default" w:ascii="Times New Roman" w:hAnsi="Times New Roman" w:cs="Times New Roman"/>
            </w:rPr>
            <w:t>区域协调，兵地融合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_Toc192836806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"_Toc192836807"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区域协同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_Toc192836807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"_Toc192836808"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巴图兵地融合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_Toc192836808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left" w:pos="252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"_Toc192836809" </w:instrText>
          </w:r>
          <w:r>
            <w:rPr>
              <w:rFonts w:hint="default" w:ascii="Times New Roman" w:hAnsi="Times New Roman" w:cs="Times New Roman"/>
            </w:rPr>
            <w:fldChar w:fldCharType="separate"/>
          </w:r>
          <w:r>
            <w:rPr>
              <w:rStyle w:val="30"/>
              <w:rFonts w:hint="default" w:ascii="Times New Roman" w:hAnsi="Times New Roman" w:cs="Times New Roman"/>
            </w:rPr>
            <w:t>第十二章</w:t>
          </w:r>
          <w:r>
            <w:rPr>
              <w:rFonts w:hint="default" w:ascii="Times New Roman" w:hAnsi="Times New Roman" w:cs="Times New Roman" w:eastAsiaTheme="minorEastAsia"/>
              <w:kern w:val="2"/>
              <w:sz w:val="21"/>
            </w:rPr>
            <w:tab/>
          </w:r>
          <w:r>
            <w:rPr>
              <w:rStyle w:val="30"/>
              <w:rFonts w:hint="default" w:ascii="Times New Roman" w:hAnsi="Times New Roman" w:cs="Times New Roman"/>
            </w:rPr>
            <w:t>实施保障，治理体系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_Toc192836809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"_Toc192836810" </w:instrText>
          </w:r>
          <w:r>
            <w:rPr>
              <w:rFonts w:hint="default" w:ascii="Times New Roman" w:hAnsi="Times New Roman" w:cs="Times New Roman"/>
            </w:rPr>
            <w:fldChar w:fldCharType="separate"/>
          </w:r>
          <w:r>
            <w:rPr>
              <w:rStyle w:val="30"/>
              <w:rFonts w:hint="default" w:ascii="Times New Roman" w:hAnsi="Times New Roman" w:cs="Times New Roman"/>
            </w:rPr>
            <w:t>第一节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加强党的领导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_Toc192836810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"_Toc192836811" </w:instrText>
          </w:r>
          <w:r>
            <w:rPr>
              <w:rFonts w:hint="default" w:ascii="Times New Roman" w:hAnsi="Times New Roman" w:cs="Times New Roman"/>
            </w:rPr>
            <w:fldChar w:fldCharType="separate"/>
          </w:r>
          <w:r>
            <w:rPr>
              <w:rStyle w:val="30"/>
              <w:rFonts w:hint="default" w:ascii="Times New Roman" w:hAnsi="Times New Roman" w:cs="Times New Roman"/>
            </w:rPr>
            <w:t>第二节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完善法规政策体系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_Toc192836811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"_Toc192836812" </w:instrText>
          </w:r>
          <w:r>
            <w:rPr>
              <w:rFonts w:hint="default" w:ascii="Times New Roman" w:hAnsi="Times New Roman" w:cs="Times New Roman"/>
            </w:rPr>
            <w:fldChar w:fldCharType="separate"/>
          </w:r>
          <w:r>
            <w:rPr>
              <w:rStyle w:val="30"/>
              <w:rFonts w:hint="default" w:ascii="Times New Roman" w:hAnsi="Times New Roman" w:cs="Times New Roman"/>
            </w:rPr>
            <w:t>第三节</w:t>
          </w:r>
          <w:r>
            <w:rPr>
              <w:rFonts w:hint="default" w:ascii="Times New Roman" w:hAnsi="Times New Roman" w:cs="Times New Roman" w:eastAsiaTheme="minorEastAsia"/>
              <w:kern w:val="2"/>
              <w:sz w:val="21"/>
            </w:rPr>
            <w:tab/>
          </w:r>
          <w:r>
            <w:rPr>
              <w:rStyle w:val="30"/>
              <w:rFonts w:hint="default" w:ascii="Times New Roman" w:hAnsi="Times New Roman" w:cs="Times New Roman"/>
            </w:rPr>
            <w:t>规划传导与管控体系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_Toc192836812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2100"/>
              <w:tab w:val="right" w:leader="dot" w:pos="8488"/>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"_Toc192836813" </w:instrText>
          </w:r>
          <w:r>
            <w:rPr>
              <w:rFonts w:hint="default" w:ascii="Times New Roman" w:hAnsi="Times New Roman" w:cs="Times New Roman"/>
            </w:rPr>
            <w:fldChar w:fldCharType="separate"/>
          </w:r>
          <w:r>
            <w:rPr>
              <w:rStyle w:val="30"/>
              <w:rFonts w:hint="default" w:ascii="Times New Roman" w:hAnsi="Times New Roman" w:cs="Times New Roman"/>
            </w:rPr>
            <w:t>第四节</w:t>
          </w:r>
          <w:r>
            <w:rPr>
              <w:rFonts w:hint="default" w:ascii="Times New Roman" w:hAnsi="Times New Roman" w:cs="Times New Roman" w:eastAsiaTheme="minorEastAsia"/>
              <w:kern w:val="2"/>
              <w:sz w:val="21"/>
            </w:rPr>
            <w:tab/>
          </w:r>
          <w:r>
            <w:rPr>
              <w:rStyle w:val="30"/>
              <w:rFonts w:hint="default" w:ascii="Times New Roman" w:hAnsi="Times New Roman" w:cs="Times New Roman"/>
            </w:rPr>
            <w:t>强化监督管理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_Toc192836813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eastAsia="方正仿宋简体" w:cs="Times New Roman"/>
              <w:sz w:val="32"/>
              <w:szCs w:val="32"/>
              <w:lang w:val="zh-CN"/>
            </w:rPr>
            <w:sectPr>
              <w:headerReference r:id="rId11" w:type="first"/>
              <w:headerReference r:id="rId9" w:type="default"/>
              <w:footerReference r:id="rId12" w:type="default"/>
              <w:headerReference r:id="rId10" w:type="even"/>
              <w:pgSz w:w="11900" w:h="16840"/>
              <w:pgMar w:top="1418" w:right="1701" w:bottom="1418" w:left="1701" w:header="0" w:footer="964" w:gutter="0"/>
              <w:paperSrc w:first="261" w:other="261"/>
              <w:pgNumType w:fmt="upperRoman" w:start="1"/>
              <w:cols w:space="720" w:num="1"/>
            </w:sectPr>
          </w:pPr>
          <w:r>
            <w:rPr>
              <w:rFonts w:hint="default" w:ascii="Times New Roman" w:hAnsi="Times New Roman" w:cs="Times New Roman"/>
              <w:lang w:val="zh-CN"/>
            </w:rPr>
            <w:fldChar w:fldCharType="end"/>
          </w:r>
        </w:p>
      </w:sdtContent>
    </w:sdt>
    <w:p>
      <w:pPr>
        <w:pStyle w:val="2"/>
        <w:numPr>
          <w:ilvl w:val="0"/>
          <w:numId w:val="0"/>
        </w:numPr>
        <w:ind w:left="284"/>
        <w:rPr>
          <w:rFonts w:hint="default" w:ascii="Times New Roman" w:hAnsi="Times New Roman" w:cs="Times New Roman"/>
        </w:rPr>
      </w:pPr>
      <w:bookmarkStart w:id="1" w:name="_Toc192836766"/>
      <w:r>
        <w:rPr>
          <w:rFonts w:hint="default" w:ascii="Times New Roman" w:hAnsi="Times New Roman" w:cs="Times New Roman"/>
        </w:rPr>
        <w:t>前  言</w:t>
      </w:r>
      <w:bookmarkEnd w:id="1"/>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巴楚县位于新疆维吾尔自治区西南部，地处天山南麓、塔里木盆地西北缘，是喀什地区的东大门，也是</w:t>
      </w:r>
      <w:bookmarkStart w:id="2" w:name="OLE_LINK6"/>
      <w:bookmarkStart w:id="3" w:name="OLE_LINK5"/>
      <w:r>
        <w:rPr>
          <w:rFonts w:hint="default" w:ascii="Times New Roman" w:hAnsi="Times New Roman" w:eastAsia="方正仿宋简体" w:cs="Times New Roman"/>
          <w:sz w:val="32"/>
          <w:szCs w:val="32"/>
        </w:rPr>
        <w:t>古丝绸之路的重要驿站</w:t>
      </w:r>
      <w:bookmarkEnd w:id="2"/>
      <w:bookmarkEnd w:id="3"/>
      <w:r>
        <w:rPr>
          <w:rFonts w:hint="default" w:ascii="Times New Roman" w:hAnsi="Times New Roman" w:eastAsia="方正仿宋简体" w:cs="Times New Roman"/>
          <w:sz w:val="32"/>
          <w:szCs w:val="32"/>
        </w:rPr>
        <w:t>。近年来，巴楚县积极融入喀什地区建设“丝绸之路经济带核心区重要支点、南疆城市群区域中心、世界级文化旅游目的地”的总体定位，努力在支撑喀什地区全面建设具有国际影响力的“五大中心”中发挥积极作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全面贯彻落实党的二十大和二十届二中、三中全会精神，深入贯彻习近平总书记视察新疆重要讲话重要指示精神，完整准确全面贯彻新时代党的治疆方略，聚焦社会稳定和长治久安总目标，巴楚县人民政府组织编制《巴楚县国土空间总体规划（2021-2035）》，整体谋划面向2035年中长期发展的空间战略蓝图，努力探索提升西北地区中小城市国土空间治理能力的新路径，为编制乡镇级国土空间总体规划/详细规划/相关专项规划、开展各类开发保护建设活动、实施全域国土空间治理和国土空间分区用途管制提供基本依据。我县</w:t>
      </w:r>
      <w:r>
        <w:rPr>
          <w:rFonts w:hint="default" w:ascii="Times New Roman" w:hAnsi="Times New Roman" w:eastAsia="方正仿宋简体" w:cs="Times New Roman"/>
          <w:sz w:val="32"/>
          <w:szCs w:val="32"/>
          <w:lang w:val="en-US" w:eastAsia="zh-CN"/>
        </w:rPr>
        <w:t>已</w:t>
      </w:r>
      <w:r>
        <w:rPr>
          <w:rFonts w:hint="default" w:ascii="Times New Roman" w:hAnsi="Times New Roman" w:eastAsia="方正仿宋简体" w:cs="Times New Roman"/>
          <w:sz w:val="32"/>
          <w:szCs w:val="32"/>
        </w:rPr>
        <w:t>编制完成《</w:t>
      </w:r>
      <w:r>
        <w:rPr>
          <w:rFonts w:hint="default" w:ascii="Times New Roman" w:hAnsi="Times New Roman" w:eastAsia="方正仿宋简体" w:cs="Times New Roman"/>
          <w:sz w:val="32"/>
          <w:szCs w:val="32"/>
          <w:lang w:val="en-US" w:eastAsia="zh-CN"/>
        </w:rPr>
        <w:t>巴楚县</w:t>
      </w:r>
      <w:r>
        <w:rPr>
          <w:rFonts w:hint="default" w:ascii="Times New Roman" w:hAnsi="Times New Roman" w:eastAsia="方正仿宋简体" w:cs="Times New Roman"/>
          <w:sz w:val="32"/>
          <w:szCs w:val="32"/>
        </w:rPr>
        <w:t>国土空间总体规划（2021-2035年）》，于2024年6月29日获喀什地区行政公署批复（喀署复〔2024〕</w:t>
      </w:r>
      <w:r>
        <w:rPr>
          <w:rFonts w:hint="default" w:ascii="Times New Roman" w:hAnsi="Times New Roman" w:eastAsia="方正仿宋简体" w:cs="Times New Roman"/>
          <w:sz w:val="32"/>
          <w:szCs w:val="32"/>
          <w:lang w:val="en-US" w:eastAsia="zh-CN"/>
        </w:rPr>
        <w:t>42</w:t>
      </w:r>
      <w:r>
        <w:rPr>
          <w:rFonts w:hint="default" w:ascii="Times New Roman" w:hAnsi="Times New Roman" w:eastAsia="方正仿宋简体" w:cs="Times New Roman"/>
          <w:sz w:val="32"/>
          <w:szCs w:val="32"/>
        </w:rPr>
        <w:t>号），现予以公告。</w:t>
      </w:r>
    </w:p>
    <w:p>
      <w:pPr>
        <w:rPr>
          <w:rFonts w:hint="default" w:ascii="Times New Roman" w:hAnsi="Times New Roman" w:eastAsia="方正仿宋简体" w:cs="Times New Roman"/>
          <w:sz w:val="32"/>
          <w:szCs w:val="32"/>
        </w:rPr>
      </w:pPr>
    </w:p>
    <w:p>
      <w:pPr>
        <w:ind w:left="640" w:firstLine="0" w:firstLineChars="0"/>
        <w:rPr>
          <w:rFonts w:hint="default" w:ascii="Times New Roman" w:hAnsi="Times New Roman" w:eastAsia="方正仿宋简体" w:cs="Times New Roman"/>
          <w:sz w:val="32"/>
          <w:szCs w:val="32"/>
        </w:rPr>
        <w:sectPr>
          <w:headerReference r:id="rId15" w:type="first"/>
          <w:headerReference r:id="rId13" w:type="default"/>
          <w:footerReference r:id="rId16" w:type="default"/>
          <w:headerReference r:id="rId14" w:type="even"/>
          <w:type w:val="continuous"/>
          <w:pgSz w:w="11906" w:h="16838"/>
          <w:pgMar w:top="1440" w:right="1797" w:bottom="1440" w:left="1797" w:header="851" w:footer="992" w:gutter="0"/>
          <w:pgNumType w:start="1"/>
          <w:cols w:space="720" w:num="1"/>
          <w:docGrid w:type="lines" w:linePitch="312" w:charSpace="0"/>
        </w:sectPr>
      </w:pPr>
    </w:p>
    <w:p>
      <w:pPr>
        <w:pStyle w:val="2"/>
        <w:numPr>
          <w:ilvl w:val="0"/>
          <w:numId w:val="6"/>
        </w:numPr>
        <w:rPr>
          <w:rFonts w:hint="default" w:ascii="Times New Roman" w:hAnsi="Times New Roman" w:cs="Times New Roman"/>
        </w:rPr>
      </w:pPr>
      <w:r>
        <w:rPr>
          <w:rFonts w:hint="default" w:ascii="Times New Roman" w:hAnsi="Times New Roman" w:cs="Times New Roman"/>
        </w:rPr>
        <w:t xml:space="preserve"> </w:t>
      </w:r>
      <w:bookmarkStart w:id="4" w:name="_Toc192836767"/>
      <w:r>
        <w:rPr>
          <w:rFonts w:hint="default" w:ascii="Times New Roman" w:hAnsi="Times New Roman" w:cs="Times New Roman"/>
        </w:rPr>
        <w:t>总则</w:t>
      </w:r>
      <w:bookmarkEnd w:id="0"/>
      <w:bookmarkEnd w:id="4"/>
    </w:p>
    <w:p>
      <w:pPr>
        <w:pStyle w:val="45"/>
        <w:spacing w:before="156" w:after="156"/>
        <w:ind w:left="0" w:firstLine="709"/>
        <w:rPr>
          <w:rFonts w:hint="default" w:ascii="Times New Roman" w:hAnsi="Times New Roman" w:eastAsia="方正楷体简体" w:cs="Times New Roman"/>
          <w:b/>
          <w:bCs/>
        </w:rPr>
      </w:pPr>
      <w:r>
        <w:rPr>
          <w:rFonts w:hint="default" w:ascii="Times New Roman" w:hAnsi="Times New Roman" w:eastAsia="方正楷体简体" w:cs="Times New Roman"/>
          <w:b/>
          <w:bCs/>
        </w:rPr>
        <w:t>编制目的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为认真贯彻落实《中共中央 国务院关于建立国土空间规划体系并监督实施的若干意见》（中</w:t>
      </w:r>
      <w:r>
        <w:rPr>
          <w:rFonts w:hint="default" w:ascii="Times New Roman" w:hAnsi="Times New Roman" w:eastAsia="方正仿宋简体" w:cs="Times New Roman"/>
          <w:sz w:val="32"/>
          <w:szCs w:val="32"/>
          <w:lang w:val="en-US" w:eastAsia="zh-CN"/>
        </w:rPr>
        <w:t>发</w:t>
      </w:r>
      <w:r>
        <w:rPr>
          <w:rFonts w:hint="default" w:ascii="Times New Roman" w:hAnsi="Times New Roman" w:eastAsia="方正仿宋简体" w:cs="Times New Roman"/>
          <w:sz w:val="32"/>
          <w:szCs w:val="32"/>
        </w:rPr>
        <w:t>〔2019〕18号）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《自然资源部关于全面开展国土空间规划工作的通知》（自然资发〔2019〕87号）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疆全面开展国土空间规划编制工作方案》（新政办发〔2019〕92号）等文件精神，落实《新疆维吾尔自治区国土空间规划（2021-2035年）》《喀什地区国土空间总体规划（2021-2035年）》相关要求，紧密结合巴楚县的地方特点，在一定时期内对巴楚县行政辖区范围内的国土空间开发、保护、利用、修复做出总体安排和综合部署，特编制《巴楚县国土空间总体规划（2021-2035年）》（以下简称《规划》）。</w:t>
      </w:r>
    </w:p>
    <w:p>
      <w:pPr>
        <w:pStyle w:val="45"/>
        <w:spacing w:before="156" w:after="156"/>
        <w:ind w:left="0" w:firstLine="709"/>
        <w:rPr>
          <w:rFonts w:hint="default" w:ascii="Times New Roman" w:hAnsi="Times New Roman" w:eastAsia="方正楷体简体" w:cs="Times New Roman"/>
          <w:b/>
          <w:bCs/>
        </w:rPr>
      </w:pPr>
      <w:r>
        <w:rPr>
          <w:rFonts w:hint="default" w:ascii="Times New Roman" w:hAnsi="Times New Roman" w:eastAsia="方正楷体简体" w:cs="Times New Roman"/>
          <w:b/>
          <w:bCs/>
        </w:rPr>
        <w:t>指导思想</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举习近平新时代中国特色社会主义思想伟大旗帜，深入贯彻党的二十大和二十届二中、三中全会精神，深入贯彻落实第三次中央新疆工作座谈会精神特别是习近平总书记重要讲话精神，坚定不移贯彻落实新时代党的治疆方略和对</w:t>
      </w:r>
      <w:r>
        <w:rPr>
          <w:rFonts w:hint="eastAsia" w:ascii="Times New Roman" w:hAnsi="Times New Roman" w:eastAsia="方正仿宋简体" w:cs="Times New Roman"/>
          <w:sz w:val="32"/>
          <w:szCs w:val="32"/>
          <w:lang w:val="en-US" w:eastAsia="zh-CN"/>
        </w:rPr>
        <w:t>新疆</w:t>
      </w:r>
      <w:r>
        <w:rPr>
          <w:rFonts w:hint="default" w:ascii="Times New Roman" w:hAnsi="Times New Roman" w:eastAsia="方正仿宋简体" w:cs="Times New Roman"/>
          <w:sz w:val="32"/>
          <w:szCs w:val="32"/>
        </w:rPr>
        <w:t>生产建设兵团的定位要求，紧紧围绕新疆社会稳定和长治久安总目标，聚焦履行兵团职责使命，切实增强巴楚县的战略依托实力和节点城镇的战略支撑能力。</w:t>
      </w:r>
    </w:p>
    <w:p>
      <w:pPr>
        <w:pStyle w:val="45"/>
        <w:spacing w:before="156" w:after="156"/>
        <w:ind w:left="0" w:firstLine="709"/>
        <w:rPr>
          <w:rFonts w:hint="default" w:ascii="Times New Roman" w:hAnsi="Times New Roman" w:eastAsia="方正楷体简体" w:cs="Times New Roman"/>
          <w:b/>
          <w:bCs/>
        </w:rPr>
      </w:pPr>
      <w:r>
        <w:rPr>
          <w:rFonts w:hint="default" w:ascii="Times New Roman" w:hAnsi="Times New Roman" w:eastAsia="方正楷体简体" w:cs="Times New Roman"/>
          <w:b/>
          <w:bCs/>
        </w:rPr>
        <w:t>规划依据</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《中华人民共和国土地管理法》（2020年1月1日）</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《中华人民共和国城乡规划法》（2019年修订）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《中华人民共和国环境保护法》（2014年修订）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《中华人民共和国森林法》（2019年修订）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《中华人民共和国草原法》（2021年修订）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《中华人民共和国水法》（2016年修订）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《中华人民共和国水土保持法》（2010年修订）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《中华人民共和国土壤污染防治法》（2013年修正）</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《中华人民共和国自然保护区条例》（2017年修订）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《中华人民共和国矿产资源法》（2009年修订）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《中华人民共和国文物保护法》（2017年修订）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《中华人民共和国土地管理法实施条例》（2021年修订）</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《中华人民共和国人民防空法》（2009年修正）</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w:t>
      </w:r>
      <w:r>
        <w:rPr>
          <w:rFonts w:hint="eastAsia" w:ascii="Times New Roman" w:hAnsi="Times New Roman" w:cs="Times New Roman"/>
          <w:lang w:eastAsia="zh-CN"/>
        </w:rPr>
        <w:t>人</w:t>
      </w:r>
      <w:r>
        <w:rPr>
          <w:rFonts w:hint="default" w:ascii="Times New Roman" w:hAnsi="Times New Roman" w:cs="Times New Roman"/>
        </w:rPr>
        <w:t>民共和国防洪法》（2016修正）</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《基本农田保护条例》（2011年修正）</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《中华人民共和国湿地保护法》（2021年施行）</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《全国国土空间规划纲要（2021—2035年）》</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《关于新疆生产建设兵团深化改革的若干意见》</w:t>
      </w:r>
      <w:r>
        <w:rPr>
          <w:rFonts w:hint="eastAsia" w:ascii="Times New Roman" w:hAnsi="Times New Roman" w:cs="Times New Roman"/>
          <w:lang w:eastAsia="zh-CN"/>
        </w:rPr>
        <w:t>（</w:t>
      </w:r>
      <w:r>
        <w:rPr>
          <w:rFonts w:hint="default" w:ascii="Times New Roman" w:hAnsi="Times New Roman" w:cs="Times New Roman"/>
        </w:rPr>
        <w:t>中发〔2017〕3号</w:t>
      </w:r>
      <w:r>
        <w:rPr>
          <w:rFonts w:hint="eastAsia" w:ascii="Times New Roman" w:hAnsi="Times New Roman" w:cs="Times New Roman"/>
          <w:lang w:eastAsia="zh-CN"/>
        </w:rPr>
        <w:t>）</w:t>
      </w:r>
    </w:p>
    <w:p>
      <w:pPr>
        <w:pStyle w:val="46"/>
        <w:numPr>
          <w:ilvl w:val="1"/>
          <w:numId w:val="7"/>
        </w:numPr>
        <w:ind w:left="-1" w:leftChars="0" w:firstLineChars="0"/>
        <w:rPr>
          <w:rFonts w:hint="default" w:ascii="Times New Roman" w:hAnsi="Times New Roman" w:cs="Times New Roman"/>
        </w:rPr>
      </w:pPr>
      <w:bookmarkStart w:id="57" w:name="_GoBack"/>
      <w:bookmarkEnd w:id="57"/>
      <w:r>
        <w:rPr>
          <w:rFonts w:hint="default" w:ascii="Times New Roman" w:hAnsi="Times New Roman" w:cs="Times New Roman"/>
        </w:rPr>
        <w:t>《中共中央 国务院关于建立国土空间规划体系并监督实施的若干意见》</w:t>
      </w:r>
      <w:r>
        <w:rPr>
          <w:rFonts w:hint="eastAsia" w:ascii="Times New Roman" w:hAnsi="Times New Roman" w:cs="Times New Roman"/>
          <w:lang w:eastAsia="zh-CN"/>
        </w:rPr>
        <w:t>（</w:t>
      </w:r>
      <w:r>
        <w:rPr>
          <w:rFonts w:hint="default" w:ascii="Times New Roman" w:hAnsi="Times New Roman" w:cs="Times New Roman"/>
        </w:rPr>
        <w:t>中发〔2019〕18号</w:t>
      </w:r>
      <w:r>
        <w:rPr>
          <w:rFonts w:hint="eastAsia" w:ascii="Times New Roman" w:hAnsi="Times New Roman" w:cs="Times New Roman"/>
          <w:lang w:eastAsia="zh-CN"/>
        </w:rPr>
        <w:t>）</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《国土空间调查、规划、用途管制用地用海分类指南（试行）》</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《新疆维吾尔自治区国土空间规划</w:t>
      </w:r>
      <w:r>
        <w:rPr>
          <w:rFonts w:hint="eastAsia" w:ascii="Times New Roman" w:hAnsi="Times New Roman" w:cs="Times New Roman"/>
          <w:lang w:eastAsia="zh-CN"/>
        </w:rPr>
        <w:t>（</w:t>
      </w:r>
      <w:r>
        <w:rPr>
          <w:rFonts w:hint="default" w:ascii="Times New Roman" w:hAnsi="Times New Roman" w:cs="Times New Roman"/>
        </w:rPr>
        <w:t>2021-2035年</w:t>
      </w:r>
      <w:r>
        <w:rPr>
          <w:rFonts w:hint="eastAsia" w:ascii="Times New Roman" w:hAnsi="Times New Roman" w:cs="Times New Roman"/>
          <w:lang w:eastAsia="zh-CN"/>
        </w:rPr>
        <w:t>）</w:t>
      </w:r>
      <w:r>
        <w:rPr>
          <w:rFonts w:hint="default" w:ascii="Times New Roman" w:hAnsi="Times New Roman" w:cs="Times New Roman"/>
        </w:rPr>
        <w:t>》</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《喀什地区国土空间总体规划（2021-2035）》</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《巴楚县国民经济和社会发展第十四个五年规划纲要》</w:t>
      </w:r>
    </w:p>
    <w:p>
      <w:pPr>
        <w:pStyle w:val="46"/>
        <w:numPr>
          <w:ilvl w:val="1"/>
          <w:numId w:val="7"/>
        </w:numPr>
        <w:ind w:left="-1" w:leftChars="0" w:firstLineChars="0"/>
        <w:rPr>
          <w:rFonts w:hint="default" w:ascii="Times New Roman" w:hAnsi="Times New Roman" w:cs="Times New Roman"/>
        </w:rPr>
      </w:pPr>
      <w:r>
        <w:rPr>
          <w:rFonts w:hint="default" w:ascii="Times New Roman" w:hAnsi="Times New Roman" w:cs="Times New Roman"/>
        </w:rPr>
        <w:t>国家、新疆维吾尔自治区、喀什地区、巴楚县其他相关法律法规、标准规范与政策文件等。</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规划范围和期限</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规划范围包括县域和中心城区两个层次。规划基期为2020年，规划期限为2021年至2035年，近期至2025年，远景展望至2050年。</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规划实施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《规划》自批准之日起生效执行，由巴楚县人民政府组织实施，由巴楚县自然资源和规划行政主管部门负责统筹工作，各相关部门具体解释职能范围内的规划内容。</w:t>
      </w:r>
      <w:r>
        <w:rPr>
          <w:rFonts w:hint="default" w:ascii="Times New Roman" w:hAnsi="Times New Roman" w:eastAsia="方正仿宋简体" w:cs="Times New Roman"/>
          <w:sz w:val="32"/>
          <w:szCs w:val="32"/>
        </w:rPr>
        <w:br w:type="page"/>
      </w:r>
    </w:p>
    <w:p>
      <w:pPr>
        <w:pStyle w:val="2"/>
        <w:numPr>
          <w:ilvl w:val="0"/>
          <w:numId w:val="6"/>
        </w:numPr>
        <w:rPr>
          <w:rFonts w:hint="default" w:ascii="Times New Roman" w:hAnsi="Times New Roman" w:cs="Times New Roman"/>
        </w:rPr>
      </w:pPr>
      <w:r>
        <w:rPr>
          <w:rFonts w:hint="default" w:ascii="Times New Roman" w:hAnsi="Times New Roman" w:cs="Times New Roman"/>
        </w:rPr>
        <w:t xml:space="preserve"> </w:t>
      </w:r>
      <w:bookmarkStart w:id="5" w:name="_Toc192836768"/>
      <w:r>
        <w:rPr>
          <w:rFonts w:hint="default" w:ascii="Times New Roman" w:hAnsi="Times New Roman" w:cs="Times New Roman"/>
        </w:rPr>
        <w:t>规划基础</w:t>
      </w:r>
      <w:bookmarkEnd w:id="5"/>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国土空间特征</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两山之间，两河流经；沙漠西缘，生态脆弱。</w:t>
      </w:r>
      <w:r>
        <w:rPr>
          <w:rFonts w:hint="default" w:ascii="Times New Roman" w:hAnsi="Times New Roman" w:eastAsia="方正仿宋简体" w:cs="Times New Roman"/>
          <w:sz w:val="32"/>
          <w:szCs w:val="32"/>
        </w:rPr>
        <w:t>巴楚县域的自然地理格局自西北向东南分别为山地系统、绿洲系统和荒漠系统，三种系统相互作用形成了干旱区典型的山地—绿洲—荒漠生态系统。</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水资源短缺，荒漠化风险突出。</w:t>
      </w:r>
      <w:r>
        <w:rPr>
          <w:rFonts w:hint="default" w:ascii="Times New Roman" w:hAnsi="Times New Roman" w:eastAsia="方正仿宋简体" w:cs="Times New Roman"/>
          <w:sz w:val="32"/>
          <w:szCs w:val="32"/>
        </w:rPr>
        <w:t>巴楚县地处天山与昆仑山形成的塔里木盆地，地形封闭，水汽难以进入。流经巴楚的两大河流水系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叶尔羌河与喀什噶尔河分别发源于喀喇昆仑山与帕米尔高原，水源来自于高山融雪，水源总量不稳定，水量季节性显著，且巴楚地处两条河流下游，来水受上游用水量的增加和蒸发、下渗等影响较大。</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地理咽喉，交通枢纽。</w:t>
      </w:r>
      <w:r>
        <w:rPr>
          <w:rFonts w:hint="default" w:ascii="Times New Roman" w:hAnsi="Times New Roman" w:eastAsia="方正仿宋简体" w:cs="Times New Roman"/>
          <w:sz w:val="32"/>
          <w:szCs w:val="32"/>
        </w:rPr>
        <w:t>巴楚县地处戈壁与沙漠交夹的两河绿洲交汇之地，历来是南疆与北疆联络的重要交通节点，在历史上一直是作为喀什地区的东部门户和重要驿站。</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历史悠久，文化资源丰富。</w:t>
      </w:r>
      <w:r>
        <w:rPr>
          <w:rFonts w:hint="default" w:ascii="Times New Roman" w:hAnsi="Times New Roman" w:eastAsia="方正仿宋简体" w:cs="Times New Roman"/>
          <w:sz w:val="32"/>
          <w:szCs w:val="32"/>
        </w:rPr>
        <w:t>巴楚县曾是古丝绸之路的重要驿站，南北疆文化在此交融，是内地经喀什进入中亚、南亚的重要通道。境内自然景观、人文景观和民俗风情特色突出，有唐王城等历史文化遗迹，有金色胡杨、大漠风光、平原湖泊等自然景观，还有独具一格的刀郎歌舞、风情浓郁的地方风俗等地域风情。</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重大问题识别</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粗放的水资源利用与干旱生态本底不匹配。</w:t>
      </w:r>
      <w:r>
        <w:rPr>
          <w:rFonts w:hint="default" w:ascii="Times New Roman" w:hAnsi="Times New Roman" w:eastAsia="方正仿宋简体" w:cs="Times New Roman"/>
          <w:sz w:val="32"/>
          <w:szCs w:val="32"/>
        </w:rPr>
        <w:t>巴楚属于暖温带大陆性干旱气候，具有典型的干旱本底特征，降水稀少，湿度小，蒸发强，结构性、季节性缺水突出。水资源时空分布不均，用水结构不均衡。</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盐碱化耕地占比高，耕地质量亟待提升。</w:t>
      </w:r>
      <w:r>
        <w:rPr>
          <w:rFonts w:hint="default" w:ascii="Times New Roman" w:hAnsi="Times New Roman" w:eastAsia="方正仿宋简体" w:cs="Times New Roman"/>
          <w:sz w:val="32"/>
          <w:szCs w:val="32"/>
        </w:rPr>
        <w:t>特殊的自然地理情况导致巴楚县耕地盐碱化程度较高，盐碱化耕地占全县耕地的比重较高，耕地质量不高。</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建设用地无序扩张，产业用地集约利用效率低。</w:t>
      </w:r>
      <w:r>
        <w:rPr>
          <w:rFonts w:hint="default" w:ascii="Times New Roman" w:hAnsi="Times New Roman" w:eastAsia="方正仿宋简体" w:cs="Times New Roman"/>
          <w:sz w:val="32"/>
          <w:szCs w:val="32"/>
        </w:rPr>
        <w:t>巴楚县建设用地扩张速度较快，人均城镇建设用地面积一直高于国标；村庄用地占比大；城镇用地结构不尽合理，用地粗放，工业用地绩效不佳。</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城市宜居品质存在短板。</w:t>
      </w:r>
      <w:r>
        <w:rPr>
          <w:rFonts w:hint="default" w:ascii="Times New Roman" w:hAnsi="Times New Roman" w:eastAsia="方正仿宋简体" w:cs="Times New Roman"/>
          <w:sz w:val="32"/>
          <w:szCs w:val="32"/>
        </w:rPr>
        <w:t>巴楚县中心城区绿地与公共活动空间不足，未成体系，绿地与开敞空间用地占城镇用地比例低，且主要分布在喀什噶尔河两岸，城市内部相对缺少，绿地和开敞空间未能形成系统，基础服务设施指标也有较大的不足。</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风险挑战</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水资源短缺挑战。</w:t>
      </w:r>
      <w:r>
        <w:rPr>
          <w:rFonts w:hint="default" w:ascii="Times New Roman" w:hAnsi="Times New Roman" w:eastAsia="方正仿宋简体" w:cs="Times New Roman"/>
          <w:sz w:val="32"/>
          <w:szCs w:val="32"/>
        </w:rPr>
        <w:t>粗放的水资源利用与土地资源不相协调，巴楚县农业用水占比较高，工业、生活和生态用水占比较低，用水结构不均衡。并且特殊的自然地理情况导致耕地盐渍化严重，盐碱化耕地占比高。</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地震潜在风险大。</w:t>
      </w:r>
      <w:r>
        <w:rPr>
          <w:rFonts w:hint="default" w:ascii="Times New Roman" w:hAnsi="Times New Roman" w:eastAsia="方正仿宋简体" w:cs="Times New Roman"/>
          <w:sz w:val="32"/>
          <w:szCs w:val="32"/>
        </w:rPr>
        <w:t>巴楚县地处印度板块与欧亚板块喜马拉雅碰撞带北部，涉及西昆仑-帕米尔地震亚区和南天山地震带。其中，西昆仑一帕米尔地震亚区是新疆境内地震活动强度最高、频度最大的地震带之一，地震是巴楚县主要自然灾害之一。</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工业园区用地粗放，地均绩效不高。</w:t>
      </w:r>
      <w:r>
        <w:rPr>
          <w:rFonts w:hint="default" w:ascii="Times New Roman" w:hAnsi="Times New Roman" w:eastAsia="方正仿宋简体" w:cs="Times New Roman"/>
          <w:sz w:val="32"/>
          <w:szCs w:val="32"/>
        </w:rPr>
        <w:t>巴楚县工业基础比较薄弱，工业支柱产业主要为农副食品加工业、棉纺业及建材业。巴楚县工业用地布局相对比较集中，企业占地面积较大，开发建设强度较低，工业用地地均绩效较低。</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三产传统优势减弱，门户价值未能体现。</w:t>
      </w:r>
      <w:r>
        <w:rPr>
          <w:rFonts w:hint="default" w:ascii="Times New Roman" w:hAnsi="Times New Roman" w:eastAsia="方正仿宋简体" w:cs="Times New Roman"/>
          <w:sz w:val="32"/>
          <w:szCs w:val="32"/>
        </w:rPr>
        <w:t>巴楚县交通、地缘优势明显，是新疆</w:t>
      </w:r>
      <w:r>
        <w:rPr>
          <w:rFonts w:hint="eastAsia" w:ascii="Times New Roman" w:hAnsi="Times New Roman" w:eastAsia="方正仿宋简体" w:cs="Times New Roman"/>
          <w:sz w:val="32"/>
          <w:szCs w:val="32"/>
          <w:lang w:val="en-US" w:eastAsia="zh-CN"/>
        </w:rPr>
        <w:t>维吾尔</w:t>
      </w:r>
      <w:r>
        <w:rPr>
          <w:rFonts w:hint="default" w:ascii="Times New Roman" w:hAnsi="Times New Roman" w:eastAsia="方正仿宋简体" w:cs="Times New Roman"/>
          <w:sz w:val="32"/>
          <w:szCs w:val="32"/>
        </w:rPr>
        <w:t>自治区重要的棉花交易中心，物流业也具有一定基础。虽然近年高速公路建设发展较快，但公路运输和铁路运输还未能实现联动，由于巴楚县未建机场，还未能实现“铁公机”的物流联动。综合以上因素，巴楚县作为喀什地区的东门户的区位价值未能充分体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pStyle w:val="2"/>
        <w:rPr>
          <w:rFonts w:hint="default" w:ascii="Times New Roman" w:hAnsi="Times New Roman" w:cs="Times New Roman"/>
        </w:rPr>
      </w:pPr>
      <w:r>
        <w:rPr>
          <w:rFonts w:hint="default" w:ascii="Times New Roman" w:hAnsi="Times New Roman" w:cs="Times New Roman"/>
        </w:rPr>
        <w:t xml:space="preserve"> </w:t>
      </w:r>
      <w:bookmarkStart w:id="6" w:name="_Toc192836769"/>
      <w:r>
        <w:rPr>
          <w:rFonts w:hint="default" w:ascii="Times New Roman" w:hAnsi="Times New Roman" w:cs="Times New Roman"/>
        </w:rPr>
        <w:t>目标定位与空间战略</w:t>
      </w:r>
      <w:bookmarkEnd w:id="6"/>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城市性质和城市职能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“环塔里木城镇带”重要节点，喀什东部区域经济中心。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莎车-图木舒克城镇群的重要节点，兵地融合支点；以棉花和纺织服装、新能源、特色畜产品及农产品深加工、绿色矿业、商贸物流、生态文化旅游等产业为重点的现代化产业基地，与图木舒克市共建兵地融合发展试验区示范区；喀什地区重要的物流枢纽，面向北疆和内地的货物集拼集运中心；巴尔楚克丝路文化之城，以绿洲生态为特色的叶尔羌河流域重要的生态旅游目的地。</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发展目标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至2025年，建成喀什东部地区以工业、商贸物流为主导的产业聚集地，初步建成人文旅游目的地和旅游服务集聚区。现代农业体系初步形成，城乡一体化水平稳步前进，城镇化水平进一步提高；保障县域国土安全和深化对外开放，全县生态文明水平进一步提高，巴楚县开放型经济发展水平全面提升，成功构建具有明显竞争优势的物流网络信息平台；引领喀什东部区域发展等核心功能迈上新台阶，面向喀什东部区域提供高品质公共服务，基本建成</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丝路滨水城</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南疆古驿站</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喀什东大门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兵地新示范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至2035年，全面建成喀什东部区域经济中心，科技创新特色产业引领发展，南疆文化旅游影响力显著提升；基本公共服务、基础设施、人民生活达到全疆地区水平，共同富裕和民族团结走在全国前列；城市治理体系和治理能力现代化基本实现；南疆兵地融合发展的生态示范区全面建成。</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展望2050年，国土空间格局全面优化，形成绿色永续的生态空间、稳定优质的农业空间、集约融合的城镇空间和特色多元的魅力空间，建成丝绸之路经济带的重要节点城市、双河汇集的生态绿洲，产业繁荣的宜居之地，以中国式现代化全面推进各项事业的发展。</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国土空间开发保护战略</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坚持创新驱动，引领巴楚高质量发展。</w:t>
      </w:r>
      <w:r>
        <w:rPr>
          <w:rFonts w:hint="default" w:ascii="Times New Roman" w:hAnsi="Times New Roman" w:eastAsia="方正仿宋简体" w:cs="Times New Roman"/>
          <w:sz w:val="32"/>
          <w:szCs w:val="32"/>
        </w:rPr>
        <w:t>坚持以开放创新作为发展主动力，深入实施创新驱动发展战略，建立产业综合服务体系，加强科技创新载体建设，加快发展产业转型升级的支撑平台，大力发展二产5大支柱产业，培育三产3大产业形成新的发展极，为巴楚经济社会发展提供强大动力。</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坚持共建共享，实现人民高品质生活</w:t>
      </w:r>
      <w:r>
        <w:rPr>
          <w:rFonts w:hint="default" w:ascii="Times New Roman" w:hAnsi="Times New Roman" w:eastAsia="方正仿宋简体" w:cs="Times New Roman"/>
          <w:sz w:val="32"/>
          <w:szCs w:val="32"/>
        </w:rPr>
        <w:t>。践行“以人民为中心”的发展理念，坚持把增进民生福祉作为发展的根本目的，加大城市服务设施和品质空间的覆盖范围，健全城乡服务体系和城市15分钟社区生活圈的建设，逐步实现社会民生更高质量、更有效率、更加公平、更可持续的发展。</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坚持绿色发展，强化沙漠治理和修复。</w:t>
      </w:r>
      <w:r>
        <w:rPr>
          <w:rFonts w:hint="default" w:ascii="Times New Roman" w:hAnsi="Times New Roman" w:eastAsia="方正仿宋简体" w:cs="Times New Roman"/>
          <w:sz w:val="32"/>
          <w:szCs w:val="32"/>
        </w:rPr>
        <w:t>实施防沙治沙、退耕还林、退牧还草、生态防护林建设等重大生态工程，提升水利设施的效率效能，努力探索生态优先与绿色发展有机统一、良性互动的新模式重构生态安全格局。</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坚持特色发展，展示地域文化旅游魅力。</w:t>
      </w:r>
      <w:r>
        <w:rPr>
          <w:rFonts w:hint="default" w:ascii="Times New Roman" w:hAnsi="Times New Roman" w:eastAsia="方正仿宋简体" w:cs="Times New Roman"/>
          <w:sz w:val="32"/>
          <w:szCs w:val="32"/>
        </w:rPr>
        <w:t>创新旅游发展机制，优化旅游产业发展布局，强化宣传营销，抓好巴楚胡杨林国家森林公园、唐王城等重点景点建设，稳步推进乡村旅游发展，力争将巴楚县打造成为全域型旅游目的地、生态旅游示范区和自驾游基地。</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坚持枢纽提升，加强物流商贸体系建设。</w:t>
      </w:r>
      <w:r>
        <w:rPr>
          <w:rFonts w:hint="default" w:ascii="Times New Roman" w:hAnsi="Times New Roman" w:eastAsia="方正仿宋简体" w:cs="Times New Roman"/>
          <w:sz w:val="32"/>
          <w:szCs w:val="32"/>
        </w:rPr>
        <w:t>围绕现代物流，完善交通支撑，建设智慧物流，推进建设商贸服务、文化旅游等优势产业，构建区域服务节点，加快构建政府搭台、科技引领、联盟助力、企业唱戏的协同发展机制，有效扩大服务供给和释放需求潜力，打造区域现代服务业发展新高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pStyle w:val="2"/>
        <w:rPr>
          <w:rFonts w:hint="default" w:ascii="Times New Roman" w:hAnsi="Times New Roman" w:cs="Times New Roman"/>
        </w:rPr>
        <w:sectPr>
          <w:pgSz w:w="11906" w:h="16838"/>
          <w:pgMar w:top="1440" w:right="1797" w:bottom="1440" w:left="1797" w:header="851" w:footer="992" w:gutter="0"/>
          <w:pgNumType w:start="1"/>
          <w:cols w:space="720" w:num="1"/>
          <w:docGrid w:type="lines" w:linePitch="312" w:charSpace="0"/>
        </w:sectPr>
      </w:pPr>
    </w:p>
    <w:p>
      <w:pPr>
        <w:pStyle w:val="2"/>
        <w:rPr>
          <w:rFonts w:hint="default" w:ascii="Times New Roman" w:hAnsi="Times New Roman" w:cs="Times New Roman"/>
        </w:rPr>
      </w:pPr>
      <w:r>
        <w:rPr>
          <w:rFonts w:hint="default" w:ascii="Times New Roman" w:hAnsi="Times New Roman" w:cs="Times New Roman"/>
        </w:rPr>
        <w:t xml:space="preserve"> </w:t>
      </w:r>
      <w:bookmarkStart w:id="7" w:name="_Toc192836770"/>
      <w:r>
        <w:rPr>
          <w:rFonts w:hint="default" w:ascii="Times New Roman" w:hAnsi="Times New Roman" w:cs="Times New Roman"/>
        </w:rPr>
        <w:t>“三区三线”，开发保护新格局</w:t>
      </w:r>
      <w:bookmarkEnd w:id="7"/>
    </w:p>
    <w:p>
      <w:pPr>
        <w:pStyle w:val="48"/>
        <w:numPr>
          <w:ilvl w:val="1"/>
          <w:numId w:val="8"/>
        </w:numPr>
        <w:rPr>
          <w:rFonts w:hint="default" w:ascii="Times New Roman" w:hAnsi="Times New Roman" w:eastAsia="方正黑体简体" w:cs="Times New Roman"/>
        </w:rPr>
      </w:pPr>
      <w:bookmarkStart w:id="8" w:name="_Toc192836771"/>
      <w:r>
        <w:rPr>
          <w:rFonts w:hint="default" w:ascii="Times New Roman" w:hAnsi="Times New Roman" w:eastAsia="方正黑体简体" w:cs="Times New Roman"/>
        </w:rPr>
        <w:t>统筹三条控制线划定</w:t>
      </w:r>
      <w:bookmarkEnd w:id="8"/>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面向粮食安全的耕地和永久基本农田保护红线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按照符合法律和政策规定的现状耕地应划尽划、应保尽保原则，优先确定耕地保护目标，将可以长期稳定利用耕地和已建成高标准农田优先划入永久基本农田实行特殊保护。</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面向生态安全的生态保护红线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将整合优化后的自然保护地，生态功能极重要、生态极脆弱，以及其他具有潜在重要生态价值的区域划入生态保护红线。</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面向高质量发展的城镇开发边界</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在优先划定耕地和永久基本农田保护红线、生态保护红线的基础上，避让地质灾害极高风险区和高风险区等不适宜城镇建设区域，结合人口变化趋势和存量建设用地状况，引导形成集约紧凑的城镇空间格局。</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9" w:name="_Toc192836772"/>
      <w:r>
        <w:rPr>
          <w:rFonts w:hint="default" w:ascii="Times New Roman" w:hAnsi="Times New Roman" w:eastAsia="方正黑体简体" w:cs="Times New Roman"/>
        </w:rPr>
        <w:t>深化细化主体功能区</w:t>
      </w:r>
      <w:bookmarkEnd w:id="9"/>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明确县级主体功能分区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落实自治区级国土空间规划传导，明确巴楚县级主体功能区及叠加功能类型。</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细化乡级主体功能定位</w:t>
      </w:r>
    </w:p>
    <w:p>
      <w:pPr>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深化乡镇主体功能定位。</w:t>
      </w:r>
      <w:r>
        <w:rPr>
          <w:rFonts w:hint="default" w:ascii="Times New Roman" w:hAnsi="Times New Roman" w:eastAsia="方正仿宋简体" w:cs="Times New Roman"/>
          <w:sz w:val="32"/>
          <w:szCs w:val="32"/>
        </w:rPr>
        <w:t>落实《喀什地区国土空间总体规划（2021-2035年）》规划要求，基于本底资源条件、人口经济分布和城镇化特征和实际建设情况，以乡镇为单元细化主体功能定位，统筹划定农产品主产区、重点生态功能区和城市化地区。</w:t>
      </w:r>
    </w:p>
    <w:p>
      <w:pPr>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细化乡级行政区叠加功能类型。</w:t>
      </w:r>
      <w:r>
        <w:rPr>
          <w:rFonts w:hint="default" w:ascii="Times New Roman" w:hAnsi="Times New Roman" w:eastAsia="方正仿宋简体" w:cs="Times New Roman"/>
          <w:sz w:val="32"/>
          <w:szCs w:val="32"/>
        </w:rPr>
        <w:t>在各乡级行政区主体功能定位基础上，综合考虑历史文化、能源资源禀赋，叠加历史文化资源富集区、能源资源富集区。</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10" w:name="_Toc192836773"/>
      <w:r>
        <w:rPr>
          <w:rFonts w:hint="default" w:ascii="Times New Roman" w:hAnsi="Times New Roman" w:eastAsia="方正黑体简体" w:cs="Times New Roman"/>
        </w:rPr>
        <w:t>国土空间开发保护总体格局</w:t>
      </w:r>
      <w:bookmarkEnd w:id="10"/>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开发保护总体格局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国土空间总体格局，确保生态空间，提升中心城镇能级。尊重巴楚县自然地理生态格局，构建戈壁生态保护和利用区、胡杨林生态涵养区、沙漠生态保护和利用区以及农业发展区相协调的国土开发保护总体格局。</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11" w:name="_Toc192836774"/>
      <w:r>
        <w:rPr>
          <w:rFonts w:hint="default" w:ascii="Times New Roman" w:hAnsi="Times New Roman" w:eastAsia="方正黑体简体" w:cs="Times New Roman"/>
        </w:rPr>
        <w:t>规划分区和用途结构</w:t>
      </w:r>
      <w:bookmarkEnd w:id="11"/>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规划分区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在县域层面划分并传导至“生态保护区、生态控制区、农田保护区、城镇发展区、乡村发展区、矿产能源发展区”六类一级规划分区。</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调整国土空间用途结构</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农用地结构调整与优化。</w:t>
      </w:r>
      <w:r>
        <w:rPr>
          <w:rFonts w:hint="default" w:ascii="Times New Roman" w:hAnsi="Times New Roman" w:eastAsia="方正仿宋简体" w:cs="Times New Roman"/>
          <w:sz w:val="32"/>
          <w:szCs w:val="32"/>
        </w:rPr>
        <w:t>严格落实耕地及永久基本农田保护任务，严格管控耕地转为其他农用地；优化林果业发展，调优林果业产业结构，保障林果业高质量发展；强化主要生态林地资源保护，加强林地提质改造，保持森林覆盖率；县域草地面积和农业设施建设用地面积保持稳定。</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建设用地结构调整与优化。</w:t>
      </w:r>
      <w:r>
        <w:rPr>
          <w:rFonts w:hint="default" w:ascii="Times New Roman" w:hAnsi="Times New Roman" w:eastAsia="方正仿宋简体" w:cs="Times New Roman"/>
          <w:sz w:val="32"/>
          <w:szCs w:val="32"/>
        </w:rPr>
        <w:t>优先保障国家及自治区重大战略、重点项目用地需求，有序安排民生项目和交通能源等基础设施建设；优化利用城镇建设用地；保障农村一二三产业融合发展用地，保持村庄建设用地基本稳定。加大存量低效用地盘活力度，实现土地利用方式向增存并举转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保护水域湿地和其他用地。保持陆地水域面积和湿地面积稳定；控制盐碱地、沙地、裸土地等其他土地面积不增加，提升土地生态系统服务功能。</w:t>
      </w:r>
    </w:p>
    <w:p>
      <w:pPr>
        <w:pStyle w:val="2"/>
        <w:rPr>
          <w:rFonts w:hint="default" w:ascii="Times New Roman" w:hAnsi="Times New Roman" w:cs="Times New Roman"/>
        </w:rPr>
        <w:sectPr>
          <w:pgSz w:w="11906" w:h="16838"/>
          <w:pgMar w:top="1440" w:right="1797" w:bottom="1440" w:left="1797" w:header="851" w:footer="992" w:gutter="0"/>
          <w:cols w:space="720" w:num="1"/>
          <w:docGrid w:type="lines" w:linePitch="312" w:charSpace="0"/>
        </w:sectPr>
      </w:pPr>
    </w:p>
    <w:p>
      <w:pPr>
        <w:pStyle w:val="2"/>
        <w:rPr>
          <w:rFonts w:hint="default" w:ascii="Times New Roman" w:hAnsi="Times New Roman" w:cs="Times New Roman"/>
        </w:rPr>
      </w:pPr>
      <w:r>
        <w:rPr>
          <w:rFonts w:hint="default" w:ascii="Times New Roman" w:hAnsi="Times New Roman" w:cs="Times New Roman"/>
        </w:rPr>
        <w:t xml:space="preserve"> </w:t>
      </w:r>
      <w:bookmarkStart w:id="12" w:name="_Toc192836775"/>
      <w:r>
        <w:rPr>
          <w:rFonts w:hint="default" w:ascii="Times New Roman" w:hAnsi="Times New Roman" w:cs="Times New Roman"/>
        </w:rPr>
        <w:t>都市农业空间，乡村振兴</w:t>
      </w:r>
      <w:bookmarkEnd w:id="12"/>
    </w:p>
    <w:p>
      <w:pPr>
        <w:pStyle w:val="48"/>
        <w:numPr>
          <w:ilvl w:val="1"/>
          <w:numId w:val="9"/>
        </w:numPr>
        <w:rPr>
          <w:rFonts w:hint="default" w:ascii="Times New Roman" w:hAnsi="Times New Roman" w:eastAsia="方正黑体简体" w:cs="Times New Roman"/>
        </w:rPr>
      </w:pPr>
      <w:bookmarkStart w:id="13" w:name="_Toc192836776"/>
      <w:r>
        <w:rPr>
          <w:rFonts w:hint="default" w:ascii="Times New Roman" w:hAnsi="Times New Roman" w:eastAsia="方正黑体简体" w:cs="Times New Roman"/>
        </w:rPr>
        <w:t>农牧空间格局</w:t>
      </w:r>
      <w:bookmarkEnd w:id="13"/>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完善农牧发展格局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升农业质量效益和创新力、竞争力、全要素生产率，构建全环节提升、全链条增值、全产业融合的现代农业产业体系、生产体系、经营体系，推进种养加一体、一二三产业融合发展。构建“一带—两区—多基地”的农牧空间格局。</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优化农业空间布局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稳粮、优棉、强果、兴牧、增菜、做特色”，围绕建设粮棉生产功能区、特色农产品优势区和规模化畜禽养殖区，不断优化农业生产结构和区域布局。推进土地规模化、集约化经营，大力发展高效节水农业、设施农业、庭院经济，加快高标准农田建设和低产田改造。加快农业生产、加工、物流、品牌、市场、研发全产业链发展，力争建设一批规模较大、设施完善、特色鲜明的现代农业产业示范区、农业科技园区、田园综合体。</w:t>
      </w:r>
    </w:p>
    <w:p>
      <w:pPr>
        <w:rPr>
          <w:rFonts w:hint="default" w:ascii="Times New Roman" w:hAnsi="Times New Roman" w:eastAsia="方正仿宋简体" w:cs="Times New Roman"/>
          <w:sz w:val="32"/>
          <w:szCs w:val="32"/>
        </w:rPr>
      </w:pPr>
    </w:p>
    <w:p>
      <w:pPr>
        <w:pStyle w:val="48"/>
        <w:numPr>
          <w:ilvl w:val="1"/>
          <w:numId w:val="9"/>
        </w:numPr>
        <w:rPr>
          <w:rFonts w:hint="default" w:ascii="Times New Roman" w:hAnsi="Times New Roman" w:eastAsia="方正黑体简体" w:cs="Times New Roman"/>
        </w:rPr>
      </w:pPr>
      <w:bookmarkStart w:id="14" w:name="_Toc192836777"/>
      <w:r>
        <w:rPr>
          <w:rFonts w:hint="default" w:ascii="Times New Roman" w:hAnsi="Times New Roman" w:eastAsia="方正黑体简体" w:cs="Times New Roman"/>
        </w:rPr>
        <w:t>耕地保护与利用</w:t>
      </w:r>
      <w:bookmarkEnd w:id="14"/>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严守耕地数量</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严守永久基本农田红线，加强耕地用途管制，落实最严格的耕地保护制度，坚守耕地红线，遏制耕地非农化、防止永久基本农田“非粮化”。开展耕地后备资源调查评价，把水资源作为重要约束指标，查清耕地后备资源类型、数量、质量和分布规律，稳妥开展耕地后备资源开发利用，确保耕地总量动态平衡。</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提高耕地质量</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统筹推进高标准农田建设、盐碱地治理、土壤污染治理等耕地综合整治，切实有效提高耕地质量。</w:t>
      </w:r>
      <w:r>
        <w:rPr>
          <w:rFonts w:hint="default" w:ascii="Times New Roman" w:hAnsi="Times New Roman" w:eastAsia="方正仿宋简体" w:cs="Times New Roman"/>
          <w:sz w:val="32"/>
          <w:szCs w:val="32"/>
        </w:rPr>
        <w:t>切实加强高标准农田建设，提高粮食综合生产能力。按照“十分珍惜、合理利用土地和切实保护耕地”的建设原则，开展盐碱地治理和土壤污染治理，改良土壤环境，提高耕地质量。</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有序实施轮作休耕。</w:t>
      </w:r>
      <w:r>
        <w:rPr>
          <w:rFonts w:hint="default" w:ascii="Times New Roman" w:hAnsi="Times New Roman" w:eastAsia="方正仿宋简体" w:cs="Times New Roman"/>
          <w:sz w:val="32"/>
          <w:szCs w:val="32"/>
        </w:rPr>
        <w:t>结合水资源承载能力，有序实施轮作休耕，实现永久基本农田、粮食生产功能区和重要农产品生产保护区等耕地的可持续利用，提高耕种效益，保护耕地生态环境。</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ab/>
      </w:r>
      <w:r>
        <w:rPr>
          <w:rFonts w:hint="default" w:ascii="Times New Roman" w:hAnsi="Times New Roman" w:eastAsia="方正楷体简体" w:cs="Times New Roman"/>
          <w:b/>
          <w:bCs/>
        </w:rPr>
        <w:t>落实耕地占补平衡、实施耕地进出平衡</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落实耕地占补平衡。</w:t>
      </w:r>
      <w:r>
        <w:rPr>
          <w:rFonts w:hint="default" w:ascii="Times New Roman" w:hAnsi="Times New Roman" w:eastAsia="方正仿宋简体" w:cs="Times New Roman"/>
          <w:sz w:val="32"/>
          <w:szCs w:val="32"/>
        </w:rPr>
        <w:t>非农业建设占用耕地，必须严格落实占补平衡，先补后占、占一补一、占优补优、占水田补水田，积极拓宽补充耕地途径，补充可以长期稳定利用的耕地。</w:t>
      </w:r>
    </w:p>
    <w:p>
      <w:pPr>
        <w:keepNext w:val="0"/>
        <w:keepLines w:val="0"/>
        <w:pageBreakBefore w:val="0"/>
        <w:widowControl w:val="0"/>
        <w:kinsoku/>
        <w:wordWrap/>
        <w:overflowPunct/>
        <w:topLinePunct w:val="0"/>
        <w:autoSpaceDE w:val="0"/>
        <w:autoSpaceDN w:val="0"/>
        <w:bidi w:val="0"/>
        <w:adjustRightInd/>
        <w:snapToGrid/>
        <w:ind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实施耕地进出平衡。</w:t>
      </w:r>
      <w:r>
        <w:rPr>
          <w:rFonts w:hint="default" w:ascii="Times New Roman" w:hAnsi="Times New Roman" w:eastAsia="方正仿宋简体" w:cs="Times New Roman"/>
          <w:sz w:val="32"/>
          <w:szCs w:val="32"/>
        </w:rPr>
        <w:t>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w:t>
      </w:r>
    </w:p>
    <w:p>
      <w:pPr>
        <w:ind w:firstLine="643"/>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15" w:name="_Toc192836778"/>
      <w:r>
        <w:rPr>
          <w:rFonts w:hint="default" w:ascii="Times New Roman" w:hAnsi="Times New Roman" w:eastAsia="方正黑体简体" w:cs="Times New Roman"/>
        </w:rPr>
        <w:t>分区分类推进乡村振兴</w:t>
      </w:r>
      <w:bookmarkEnd w:id="15"/>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乡村统筹发展区域规划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围绕建设现代农业产业体系，在调整优化农业结构的基础上，以创新产业融合方式为着力点，以培育产业融合主体为重点，以完善产业融合利益联结机制为核心，以建立产业融合服务体系为支撑，以新型城镇化为依托，着力构建农业一二三产业融合发展的现代产业体系。</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村庄分类引导</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依托村庄区位条件、资源本底、人口经济等基础，将全县村庄划分为集聚提升、城郊融合、特色保护、其他待定4种类型，推进村庄布局优化。</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村庄布局</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统筹生态空间布局。</w:t>
      </w:r>
      <w:r>
        <w:rPr>
          <w:rFonts w:hint="default" w:ascii="Times New Roman" w:hAnsi="Times New Roman" w:eastAsia="方正仿宋简体" w:cs="Times New Roman"/>
          <w:sz w:val="32"/>
          <w:szCs w:val="32"/>
        </w:rPr>
        <w:t>明确林地、河湖、湿地等生态空间，系统保护乡村自然风光和田园景观。保护当地生物多样性，落实林地保有量指标，强化农田防护林、居民点及主要道路、河道、渠道两侧的绿带建设；开展河道整治，明确湖泊、水库、坑塘等水面水体的边界，落实水质达标率指标要求。</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优化农业发展空间布局。</w:t>
      </w:r>
      <w:r>
        <w:rPr>
          <w:rFonts w:hint="default" w:ascii="Times New Roman" w:hAnsi="Times New Roman" w:eastAsia="方正仿宋简体" w:cs="Times New Roman"/>
          <w:sz w:val="32"/>
          <w:szCs w:val="32"/>
        </w:rPr>
        <w:t>统筹安排农、林、牧、渔等农业空间，优化园地、牧草地等空间布局，明确各类用地空间范围。完善农田水利配套设施布局，合理保障农业产业发展空间。合理确定农业设施建设用地规模，科学布局农业设施建设用地。鼓励利用未利用地、闲置用地以及存量低效建设用地发展设施农业。</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合理安排建设空间布局。</w:t>
      </w:r>
      <w:r>
        <w:rPr>
          <w:rFonts w:hint="default" w:ascii="Times New Roman" w:hAnsi="Times New Roman" w:eastAsia="方正仿宋简体" w:cs="Times New Roman"/>
          <w:sz w:val="32"/>
          <w:szCs w:val="32"/>
        </w:rPr>
        <w:t>坚持节约集约，在综合考虑村庄定位和涉农产业发展需求的基础上，引导建设项目优先利用闲置低效建设用地；确需新增建设用地的，尽量占用未利用地、其他农用地，不占或少占耕地；坚持集聚建设，引导乡村建设向边界内集聚。</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16" w:name="_Toc192836779"/>
      <w:r>
        <w:rPr>
          <w:rFonts w:hint="default" w:ascii="Times New Roman" w:hAnsi="Times New Roman" w:eastAsia="方正黑体简体" w:cs="Times New Roman"/>
        </w:rPr>
        <w:t>农村土地综合整治</w:t>
      </w:r>
      <w:bookmarkEnd w:id="16"/>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农用地整治</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盐碱地治理。</w:t>
      </w:r>
      <w:r>
        <w:rPr>
          <w:rFonts w:hint="default" w:ascii="Times New Roman" w:hAnsi="Times New Roman" w:eastAsia="方正仿宋简体" w:cs="Times New Roman"/>
          <w:sz w:val="32"/>
          <w:szCs w:val="32"/>
        </w:rPr>
        <w:t>巴楚县以“竖井排灌+疏通骨干排渠”为主要治理思路，实现灌排协同。建立地下水调控、治盐、节水、增效与生态保护“五位一体”的治理模式。</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土壤污染治理。</w:t>
      </w:r>
      <w:r>
        <w:rPr>
          <w:rFonts w:hint="default" w:ascii="Times New Roman" w:hAnsi="Times New Roman" w:eastAsia="方正仿宋简体" w:cs="Times New Roman"/>
          <w:sz w:val="32"/>
          <w:szCs w:val="32"/>
        </w:rPr>
        <w:t>加强农业污染综合治理、消除农业面源污染，开展土壤污染综合治理。</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农村建设用地整治</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推进农村低效建设用地整治。</w:t>
      </w:r>
      <w:r>
        <w:rPr>
          <w:rFonts w:hint="default" w:ascii="Times New Roman" w:hAnsi="Times New Roman" w:eastAsia="方正仿宋简体" w:cs="Times New Roman"/>
          <w:sz w:val="32"/>
          <w:szCs w:val="32"/>
        </w:rPr>
        <w:t>统筹农民住宅建设、产业发展、公共服务、基础设施等各类建设用地，有序开展农村宅基地、工矿废弃地以及其他低效闲置建设用地整理，优化农村建设用地结构布局，提升农村建设用地使用效益和集约化水平，支持农村新产业新业态融合发展用地。</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人居环境整治。</w:t>
      </w:r>
      <w:r>
        <w:rPr>
          <w:rFonts w:hint="default" w:ascii="Times New Roman" w:hAnsi="Times New Roman" w:eastAsia="方正仿宋简体" w:cs="Times New Roman"/>
          <w:sz w:val="32"/>
          <w:szCs w:val="32"/>
        </w:rPr>
        <w:t>深化村庄环境综合整治，全面推进农村生活垃圾治理、厕所粪污治理、农村生活污水治理、全面改善村容村貌等。</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完善土地综合整治配套政策</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农村土地综合整治、高标准农田建设节余的建设用地指标，优先用于乡镇范围内农村基础设施、污染治理设施、新产业新业态发展用地。</w:t>
      </w:r>
    </w:p>
    <w:p>
      <w:pPr>
        <w:pStyle w:val="2"/>
        <w:rPr>
          <w:rFonts w:hint="default" w:ascii="Times New Roman" w:hAnsi="Times New Roman" w:cs="Times New Roman"/>
        </w:rPr>
        <w:sectPr>
          <w:pgSz w:w="11906" w:h="16838"/>
          <w:pgMar w:top="1440" w:right="1797" w:bottom="1440" w:left="1797" w:header="851" w:footer="992" w:gutter="0"/>
          <w:cols w:space="720" w:num="1"/>
          <w:docGrid w:type="lines" w:linePitch="312" w:charSpace="0"/>
        </w:sectPr>
      </w:pPr>
    </w:p>
    <w:p>
      <w:pPr>
        <w:pStyle w:val="2"/>
        <w:rPr>
          <w:rFonts w:hint="default" w:ascii="Times New Roman" w:hAnsi="Times New Roman" w:cs="Times New Roman"/>
        </w:rPr>
      </w:pPr>
      <w:r>
        <w:rPr>
          <w:rFonts w:hint="default" w:ascii="Times New Roman" w:hAnsi="Times New Roman" w:cs="Times New Roman"/>
        </w:rPr>
        <w:t xml:space="preserve"> </w:t>
      </w:r>
      <w:bookmarkStart w:id="17" w:name="_Toc192836780"/>
      <w:r>
        <w:rPr>
          <w:rFonts w:hint="default" w:ascii="Times New Roman" w:hAnsi="Times New Roman" w:cs="Times New Roman"/>
        </w:rPr>
        <w:t>生态空间，绿色低碳</w:t>
      </w:r>
      <w:bookmarkEnd w:id="17"/>
    </w:p>
    <w:p>
      <w:pPr>
        <w:pStyle w:val="48"/>
        <w:numPr>
          <w:ilvl w:val="1"/>
          <w:numId w:val="10"/>
        </w:numPr>
        <w:rPr>
          <w:rFonts w:hint="default" w:ascii="Times New Roman" w:hAnsi="Times New Roman" w:eastAsia="方正黑体简体" w:cs="Times New Roman"/>
        </w:rPr>
      </w:pPr>
      <w:bookmarkStart w:id="18" w:name="_Toc192836781"/>
      <w:r>
        <w:rPr>
          <w:rFonts w:hint="default" w:ascii="Times New Roman" w:hAnsi="Times New Roman" w:eastAsia="方正黑体简体" w:cs="Times New Roman"/>
        </w:rPr>
        <w:t>绿洲生态保护空间</w:t>
      </w:r>
      <w:bookmarkEnd w:id="18"/>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绿洲生态空间格局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尊重巴楚县自然地理生态格局，实施差异化生态保护和修复策略。构建天山生态安全屏障和塔克拉玛干沙漠</w:t>
      </w:r>
      <w:r>
        <w:rPr>
          <w:rFonts w:hint="default" w:ascii="Times New Roman" w:hAnsi="Times New Roman" w:eastAsia="方正仿宋简体" w:cs="Times New Roman"/>
          <w:color w:val="000000"/>
          <w:sz w:val="32"/>
          <w:szCs w:val="32"/>
          <w:lang w:val="zh-CN" w:bidi="zh-CN"/>
        </w:rPr>
        <w:t>与托克拉克沙漠边缘</w:t>
      </w:r>
      <w:r>
        <w:rPr>
          <w:rFonts w:hint="default" w:ascii="Times New Roman" w:hAnsi="Times New Roman" w:eastAsia="方正仿宋简体" w:cs="Times New Roman"/>
          <w:sz w:val="32"/>
          <w:szCs w:val="32"/>
        </w:rPr>
        <w:t>防风固沙生态屏障，综合整治叶尔羌河生态廊道和喀什噶尔河生态廊道，强化绿洲农业区、生态屏障区和荒漠保育区互相协调发展，构建“双屏两廊三区”的绿洲生态安全空间格局。</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生物多样性保护网络</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推进生物多样性本底调查</w:t>
      </w:r>
      <w:r>
        <w:rPr>
          <w:rFonts w:hint="default" w:ascii="Times New Roman" w:hAnsi="Times New Roman" w:eastAsia="方正仿宋简体" w:cs="Times New Roman"/>
          <w:sz w:val="32"/>
          <w:szCs w:val="32"/>
        </w:rPr>
        <w:t>。逐步建立巴楚县生物多样性长期监测网络，探索建立生物多样性数据库，提升生物多样性保护、监测和信息化、精细化管理水平。</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优化生物多样性保护空间体系</w:t>
      </w:r>
      <w:r>
        <w:rPr>
          <w:rFonts w:hint="default" w:ascii="Times New Roman" w:hAnsi="Times New Roman" w:eastAsia="方正仿宋简体" w:cs="Times New Roman"/>
          <w:sz w:val="32"/>
          <w:szCs w:val="32"/>
        </w:rPr>
        <w:t>。通过绿环、绿带、绿廊与大尺度开敞空间相连通，增强生境斑块的连通性，保障生物觅食、活动和迁徙廊道畅通。</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19" w:name="_Toc127885668"/>
      <w:bookmarkStart w:id="20" w:name="_Toc192836782"/>
      <w:r>
        <w:rPr>
          <w:rFonts w:hint="default" w:ascii="Times New Roman" w:hAnsi="Times New Roman" w:eastAsia="方正黑体简体" w:cs="Times New Roman"/>
        </w:rPr>
        <w:t>建立自然保护地体系</w:t>
      </w:r>
      <w:bookmarkEnd w:id="19"/>
      <w:bookmarkEnd w:id="20"/>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优化自然保护地体系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据2024年喀什地区自然保护地整合优化最新成果，落实巴楚县内2处自然保护地，自然保护地体系以批复后的自然保护地整合优化方案为准。自然保护地纳入生态保护红线，自然保护地边界范围发生调整的，生态保护红线相应调整。</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21" w:name="_Toc127885669"/>
      <w:bookmarkStart w:id="22" w:name="_Toc192836783"/>
      <w:r>
        <w:rPr>
          <w:rFonts w:hint="default" w:ascii="Times New Roman" w:hAnsi="Times New Roman" w:eastAsia="方正黑体简体" w:cs="Times New Roman"/>
        </w:rPr>
        <w:t>水资源利用</w:t>
      </w:r>
      <w:bookmarkEnd w:id="21"/>
      <w:bookmarkEnd w:id="22"/>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水资源总量</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强化用水总量控制,用水总量不超过上级下达指标。严格管理和保护地下水。强化地下水资源的开发利用、节约保护和风险管理等，形成地表水与地下水统筹规划的水资源保护体系。通过高效节水、休耕轮作和调整种植结构、增加地下水回补及加强地下水监控管理等措施，实现地下水采补平衡。地下水用水量依据上级下达任务确定。</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分区配置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根据巴楚县水资源的分配特点和分区方式，积极实施科学的分区策略。根据不同区域水资源情况，统筹分区，明确水资源配置引导。</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节水及用水结构优化</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不断完善用水结构，强化农业节水增效。</w:t>
      </w:r>
      <w:r>
        <w:rPr>
          <w:rFonts w:hint="default" w:ascii="Times New Roman" w:hAnsi="Times New Roman" w:eastAsia="方正仿宋简体" w:cs="Times New Roman"/>
          <w:sz w:val="32"/>
          <w:szCs w:val="32"/>
        </w:rPr>
        <w:t>加快大中型灌区续建配套与现代化改造、着重提升渠道防渗配套设施与田间高效节水工程建设与运营维护水平。</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加强生活和工业节水减排。</w:t>
      </w:r>
      <w:r>
        <w:rPr>
          <w:rFonts w:hint="default" w:ascii="Times New Roman" w:hAnsi="Times New Roman" w:eastAsia="方正仿宋简体" w:cs="Times New Roman"/>
          <w:sz w:val="32"/>
          <w:szCs w:val="32"/>
        </w:rPr>
        <w:t>严格落实主体功能区规划，在生态脆弱、干旱缺水地区，严格控制高耗水新建、改建、扩建项目，推进高耗水企业向水资源条件允许的工业园区集中。生活和工业用水量不突破新疆维吾尔自治区下达指标。</w:t>
      </w:r>
    </w:p>
    <w:p>
      <w:pPr>
        <w:ind w:firstLine="643"/>
        <w:rPr>
          <w:rFonts w:hint="default" w:ascii="Times New Roman" w:hAnsi="Times New Roman" w:eastAsia="方正仿宋简体" w:cs="Times New Roman"/>
          <w:b/>
          <w:sz w:val="32"/>
          <w:szCs w:val="32"/>
          <w:u w:val="single"/>
        </w:rPr>
      </w:pPr>
      <w:r>
        <w:rPr>
          <w:rFonts w:hint="default" w:ascii="Times New Roman" w:hAnsi="Times New Roman" w:eastAsia="方正仿宋简体" w:cs="Times New Roman"/>
          <w:b/>
          <w:sz w:val="32"/>
          <w:szCs w:val="32"/>
        </w:rPr>
        <w:t>加强生态用水保障。</w:t>
      </w:r>
      <w:r>
        <w:rPr>
          <w:rFonts w:hint="default" w:ascii="Times New Roman" w:hAnsi="Times New Roman" w:eastAsia="方正仿宋简体" w:cs="Times New Roman"/>
          <w:sz w:val="32"/>
          <w:szCs w:val="32"/>
        </w:rPr>
        <w:t>提升中水回用率，加快实现当年新增绿化规模与区域再生水供应能力相匹配。</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再生水利用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非常规水资源利用。推动再生水、雨水、微咸水、矿井水等非常规水资源多元、梯级和安全利用，并纳入水资源统一配置。重点抓好污水再生利用设施建设与改造，城市生态景观、工业生产、城市绿化、道路清扫、车辆冲洗和建筑施工等应当优先使用再生水，提升再生水利用水平，鼓励构建城镇良性水循环系统。</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保护饮用水水源地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划定并严格保护饮用水水源保护区，加快开展饮用水水源地安全达标建设工程，保障巴楚县供水安全。饮用水水源保护区内原则上禁止开展与水源保护无关的建设活动。</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r>
        <w:rPr>
          <w:rFonts w:hint="default" w:ascii="Times New Roman" w:hAnsi="Times New Roman" w:eastAsia="方正黑体简体" w:cs="Times New Roman"/>
        </w:rPr>
        <w:fldChar w:fldCharType="begin"/>
      </w:r>
      <w:r>
        <w:rPr>
          <w:rFonts w:hint="default" w:ascii="Times New Roman" w:hAnsi="Times New Roman" w:eastAsia="方正黑体简体" w:cs="Times New Roman"/>
        </w:rPr>
        <w:instrText xml:space="preserve"> SEQ seq \h </w:instrText>
      </w:r>
      <w:r>
        <w:rPr>
          <w:rFonts w:hint="default" w:ascii="Times New Roman" w:hAnsi="Times New Roman" w:eastAsia="方正黑体简体" w:cs="Times New Roman"/>
        </w:rPr>
        <w:fldChar w:fldCharType="end"/>
      </w:r>
      <w:bookmarkStart w:id="23" w:name="_Toc192836784"/>
      <w:bookmarkStart w:id="24" w:name="_Toc127885670"/>
      <w:r>
        <w:rPr>
          <w:rFonts w:hint="default" w:ascii="Times New Roman" w:hAnsi="Times New Roman" w:eastAsia="方正黑体简体" w:cs="Times New Roman"/>
        </w:rPr>
        <w:t>统筹自然资源保护与利用</w:t>
      </w:r>
      <w:bookmarkEnd w:id="23"/>
      <w:bookmarkEnd w:id="24"/>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河湖湿地资源</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加强河湖湿地保护工作，完善山、水、林、田、湖、草、沙生态系统，促进巴楚县的可持续性发展。对巴楚县河湖湿地资源进行统一布局规划，建立完善的河湖湿地保护、管理和可持续利用体系。</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林地资源</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林地资源保护与利用。以天然林保护为重点，构建天山生态屏障；以荒漠植被保护、防沙治沙、绿洲内部修复为重点，构建塔里木盆地边缘绿洲区生态屏障。在巴楚县北部山地，实施天然林保护并培育新的森林资源。在塔里木盆地边缘，实施胡杨林保护修复工程。</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草地资源</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加强草原保护与利用管理。积极开展草地资源监测评价，严格落实禁休牧、草畜平衡和基本草原保护制度，推进基本草原划定工作。开展退化草原专项调查，加强退化草原修复治理。</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25" w:name="_Toc192836785"/>
      <w:r>
        <w:rPr>
          <w:rFonts w:hint="default" w:ascii="Times New Roman" w:hAnsi="Times New Roman" w:eastAsia="方正黑体简体" w:cs="Times New Roman"/>
        </w:rPr>
        <w:t>开展山水林田湖草沙冰系统保护与修复</w:t>
      </w:r>
      <w:bookmarkEnd w:id="25"/>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保护和修复目标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境内山水林田湖草沙要素齐全，同时生态空间整治与修复任务艰巨。规划遵循山水林田湖草沙生命共同体的理念，坚持自然恢复为主，人工修复为辅的原则，采用因地制宜、系统修复、分类整治、分段推进的基本思路，着力保护修复国土空间自然生态资源本底，切实增强生态系统稳定性，显著提升生态系统功能，形成生态保护和修复新格局。统筹山水林田湖草沙一体化保护和系统治理，坚持走科学、生态、节俭的绿色发展之路，为建设天蓝地绿水清的美丽巴楚贡献力量。</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生态保护修复重点区</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统筹推进流域水资源保护和水生态修复。</w:t>
      </w:r>
      <w:r>
        <w:rPr>
          <w:rFonts w:hint="default" w:ascii="Times New Roman" w:hAnsi="Times New Roman" w:eastAsia="方正仿宋简体" w:cs="Times New Roman"/>
          <w:sz w:val="32"/>
          <w:szCs w:val="32"/>
        </w:rPr>
        <w:t>实施喀什噶尔河流域生态治理工程、叶尔羌河流域生态治理工程、邦克尔水库、卫星水库和红海水库生态保护和治理工程，提升巴楚县水域生态功能。</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林草资源保护和修复。</w:t>
      </w:r>
      <w:r>
        <w:rPr>
          <w:rFonts w:hint="default" w:ascii="Times New Roman" w:hAnsi="Times New Roman" w:eastAsia="方正仿宋简体" w:cs="Times New Roman"/>
          <w:sz w:val="32"/>
          <w:szCs w:val="32"/>
        </w:rPr>
        <w:t>大力开展造林、低效林改造项目，科学采取更替、补植、抚育、封育等改造方式，促进森林生态系统正向演替。优化天然林和绿洲防护林结构，因地制宜推进人工草地建设试点，统筹推进防护林建设工程。</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沙漠保护与修复。系统推进塔克拉玛干沙漠-托克拉克沙漠边缘水土流失治理工程，三莎线三岔口镇-巴楚县城北防风固沙林建设工程，重点围绕塔克拉玛干沙漠西北缘、叶尔羌河流域等区域，构建多层次“锁边固沙”生态屏障体系。</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进矿山生态修复。系统性推进废弃露天矿山和地质灾害隐患修复工程。优先治理城镇发展区内的废弃矿山，以废弃黏土、萤石等废弃矿山治理为重点，推进矿区损毁土地复垦，提高历史遗留矿山损毁土地复垦利用程度，逐步恢复已关闭矿山环境功能，促进生态环境可持续发展。</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26" w:name="_Toc192836786"/>
      <w:r>
        <w:rPr>
          <w:rFonts w:hint="default" w:ascii="Times New Roman" w:hAnsi="Times New Roman" w:eastAsia="方正黑体简体" w:cs="Times New Roman"/>
        </w:rPr>
        <w:t>推进碳达峰、碳中和</w:t>
      </w:r>
      <w:bookmarkEnd w:id="26"/>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加快绿色能源的开发利用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充分发挥巴楚县太阳能资源丰富的优势，着力推进光电、储能等新能源产业高质量发展，初步实现新能源规模化、集约化开发利用。以巴楚县新能源产业基地为抓手，推进光伏发电、电网架构完善、光伏组件制备和电力消纳产业培育，建设千万千瓦级南疆新能源产业基地，形成局部性光伏产业示范性基地。</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推进产业园区低碳发展</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巴楚县工业园为重点，推进棉纺、建材等传统产业低碳转型，加强先进节能节水环保低碳技术、工艺、装备推广运用，提升能效水效。大力发展新能源、再生资源循环利用产业，构建绿色产业体系。严格实行市场准入负面清单，严控传统能源消耗大、环境污染重、投入产出低的行业新增产能，推进高能耗产能逐步退出。</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推进绿色交通发展</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广巴楚县城市低碳交通系统发展：一是运输结构优化工程。发挥铁路在大宗物资中远距离运输中的骨干作用，逐步减少重载柴油货车在大宗散货长距离运输中的比重。二是运输组织创新工程。鼓励“互联网+”高效物流等业态创新，深入推进道路货运无车承运人试点，并创新性提出巴楚县配送领域引导企业发展统一配送、集中配送、共同配送等集约化组织模式。三是绿色出行促进工程。全面开展绿色出行行动、深入实施公交优先战略、加强绿色出行宣传和科普教育等任务，积极鼓励公众使用绿色出行方式，加强城市慢行系统建设，让绿色出行成为风尚。四是交通运输资源集约利用工程。加快机械装备“油改电、油改气”等先进技术推广应用。五是高效清洁运输装备升级工程，完善公路网充电设施等内容。六是交通运输污染防治工程。提出适时研究建立排放要求更严、控制污染物种类更全、空间范围更大的排放控制区政策。七是交通基础设施生态保护工程。重点推进绿色基础设施创建、实施交通廊道绿化行动、开展交通基础设施生态修复等任务。</w:t>
      </w:r>
    </w:p>
    <w:p>
      <w:pPr>
        <w:pStyle w:val="2"/>
        <w:rPr>
          <w:rFonts w:hint="default" w:ascii="Times New Roman" w:hAnsi="Times New Roman" w:cs="Times New Roman"/>
        </w:rPr>
        <w:sectPr>
          <w:pgSz w:w="11906" w:h="16838"/>
          <w:pgMar w:top="1440" w:right="1797" w:bottom="1440" w:left="1797" w:header="851" w:footer="992" w:gutter="0"/>
          <w:cols w:space="720" w:num="1"/>
          <w:docGrid w:type="lines" w:linePitch="312" w:charSpace="0"/>
        </w:sectPr>
      </w:pPr>
    </w:p>
    <w:p>
      <w:pPr>
        <w:pStyle w:val="2"/>
        <w:rPr>
          <w:rFonts w:hint="default" w:ascii="Times New Roman" w:hAnsi="Times New Roman" w:cs="Times New Roman"/>
        </w:rPr>
      </w:pPr>
      <w:r>
        <w:rPr>
          <w:rFonts w:hint="default" w:ascii="Times New Roman" w:hAnsi="Times New Roman" w:cs="Times New Roman"/>
        </w:rPr>
        <w:t xml:space="preserve"> </w:t>
      </w:r>
      <w:bookmarkStart w:id="27" w:name="_Toc192836787"/>
      <w:r>
        <w:rPr>
          <w:rFonts w:hint="default" w:ascii="Times New Roman" w:hAnsi="Times New Roman" w:cs="Times New Roman"/>
        </w:rPr>
        <w:t>城镇布局，集约高效发展</w:t>
      </w:r>
      <w:bookmarkEnd w:id="27"/>
    </w:p>
    <w:p>
      <w:pPr>
        <w:pStyle w:val="48"/>
        <w:numPr>
          <w:ilvl w:val="1"/>
          <w:numId w:val="11"/>
        </w:numPr>
        <w:rPr>
          <w:rFonts w:hint="default" w:ascii="Times New Roman" w:hAnsi="Times New Roman" w:eastAsia="方正黑体简体" w:cs="Times New Roman"/>
        </w:rPr>
      </w:pPr>
      <w:bookmarkStart w:id="28" w:name="_Toc192836788"/>
      <w:r>
        <w:rPr>
          <w:rFonts w:hint="default" w:ascii="Times New Roman" w:hAnsi="Times New Roman" w:eastAsia="方正黑体简体" w:cs="Times New Roman"/>
        </w:rPr>
        <w:t>城镇发展空间</w:t>
      </w:r>
      <w:bookmarkEnd w:id="28"/>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构建城镇空间结构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作为喀什东大门、兵地新示范，积极推动莎车-图木舒克城镇群建设，引领巴楚-图木舒克兵地融合试验区示范区发展，推动巴楚县在生态共保、产业协同、设施共建、旅游共谋上，成为南疆环塔里木城镇带上的重要节点，充分融入南疆整体区域发展，并与天山北坡经济带形成联动发展格局。通过构建“一带一擎一心四区”的县域空间协同体系，推进巴图共享共融，打造“环塔里木城镇带”重要节点，喀什东部区域经济中心。</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优化城镇等级规模结构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构建四级城镇体系：打造巴楚县城为中心城区，形成服务县域的政治、经济、社会、文化中心；建设1个服务县域南部片区发展核心的重点镇1个（色力布亚镇）；培育10个公共基础配套设施完善、带动周边农村地区发展的一般乡镇；规划中心村15个。</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29" w:name="_Toc192836789"/>
      <w:r>
        <w:rPr>
          <w:rFonts w:hint="default" w:ascii="Times New Roman" w:hAnsi="Times New Roman" w:eastAsia="方正黑体简体" w:cs="Times New Roman"/>
        </w:rPr>
        <w:t>现代化产业体系布局</w:t>
      </w:r>
      <w:bookmarkEnd w:id="29"/>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产业发展策略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重点发展巴楚县工业园</w:t>
      </w:r>
      <w:r>
        <w:rPr>
          <w:rFonts w:hint="eastAsia" w:ascii="Times New Roman" w:hAnsi="Times New Roman" w:eastAsia="方正仿宋简体" w:cs="Times New Roman"/>
          <w:sz w:val="32"/>
          <w:szCs w:val="32"/>
          <w:lang w:val="en-US" w:eastAsia="zh-CN"/>
        </w:rPr>
        <w:t>区</w:t>
      </w:r>
      <w:r>
        <w:rPr>
          <w:rFonts w:hint="default" w:ascii="Times New Roman" w:hAnsi="Times New Roman" w:eastAsia="方正仿宋简体" w:cs="Times New Roman"/>
          <w:sz w:val="32"/>
          <w:szCs w:val="32"/>
        </w:rPr>
        <w:t>，聚焦纺织服装、钒钛磁铁矿产加工、巴尔楚克羊为特色的农副产品加工、商贸物流、新能源等支柱及新兴产业，促进二、三产业增加值比例稳步提升。加快</w:t>
      </w:r>
      <w:r>
        <w:rPr>
          <w:rFonts w:hint="eastAsia" w:ascii="Times New Roman" w:hAnsi="Times New Roman" w:eastAsia="方正仿宋简体" w:cs="Times New Roman"/>
          <w:sz w:val="32"/>
          <w:szCs w:val="32"/>
          <w:lang w:val="en-US" w:eastAsia="zh-CN"/>
        </w:rPr>
        <w:t>第一</w:t>
      </w:r>
      <w:r>
        <w:rPr>
          <w:rFonts w:hint="default" w:ascii="Times New Roman" w:hAnsi="Times New Roman" w:eastAsia="方正仿宋简体" w:cs="Times New Roman"/>
          <w:sz w:val="32"/>
          <w:szCs w:val="32"/>
        </w:rPr>
        <w:t>产</w:t>
      </w:r>
      <w:r>
        <w:rPr>
          <w:rFonts w:hint="eastAsia" w:ascii="Times New Roman" w:hAnsi="Times New Roman" w:eastAsia="方正仿宋简体" w:cs="Times New Roman"/>
          <w:sz w:val="32"/>
          <w:szCs w:val="32"/>
          <w:lang w:val="en-US" w:eastAsia="zh-CN"/>
        </w:rPr>
        <w:t>业</w:t>
      </w:r>
      <w:r>
        <w:rPr>
          <w:rFonts w:hint="default" w:ascii="Times New Roman" w:hAnsi="Times New Roman" w:eastAsia="方正仿宋简体" w:cs="Times New Roman"/>
          <w:sz w:val="32"/>
          <w:szCs w:val="32"/>
        </w:rPr>
        <w:t>产业链的向下延伸，大力推动龙头产业发展。</w:t>
      </w:r>
      <w:r>
        <w:rPr>
          <w:rFonts w:hint="eastAsia" w:ascii="Times New Roman" w:hAnsi="Times New Roman" w:eastAsia="方正仿宋简体" w:cs="Times New Roman"/>
          <w:sz w:val="32"/>
          <w:szCs w:val="32"/>
          <w:lang w:val="en-US" w:eastAsia="zh-CN"/>
        </w:rPr>
        <w:t>第</w:t>
      </w:r>
      <w:r>
        <w:rPr>
          <w:rFonts w:hint="default" w:ascii="Times New Roman" w:hAnsi="Times New Roman" w:eastAsia="方正仿宋简体" w:cs="Times New Roman"/>
          <w:sz w:val="32"/>
          <w:szCs w:val="32"/>
        </w:rPr>
        <w:t>二产</w:t>
      </w:r>
      <w:r>
        <w:rPr>
          <w:rFonts w:hint="eastAsia" w:ascii="Times New Roman" w:hAnsi="Times New Roman" w:eastAsia="方正仿宋简体" w:cs="Times New Roman"/>
          <w:sz w:val="32"/>
          <w:szCs w:val="32"/>
          <w:lang w:val="en-US" w:eastAsia="zh-CN"/>
        </w:rPr>
        <w:t>业</w:t>
      </w:r>
      <w:r>
        <w:rPr>
          <w:rFonts w:hint="default" w:ascii="Times New Roman" w:hAnsi="Times New Roman" w:eastAsia="方正仿宋简体" w:cs="Times New Roman"/>
          <w:sz w:val="32"/>
          <w:szCs w:val="32"/>
        </w:rPr>
        <w:t>打造经济支柱产业，健全完善纺织服装全产业链、畜产品及特色农产品深加工、新能源全产业链、绿色矿产加工业及现代物流全产业链五大产业链。</w:t>
      </w:r>
      <w:r>
        <w:rPr>
          <w:rFonts w:hint="eastAsia" w:ascii="Times New Roman" w:hAnsi="Times New Roman" w:eastAsia="方正仿宋简体" w:cs="Times New Roman"/>
          <w:sz w:val="32"/>
          <w:szCs w:val="32"/>
          <w:lang w:val="en-US" w:eastAsia="zh-CN"/>
        </w:rPr>
        <w:t>第</w:t>
      </w:r>
      <w:r>
        <w:rPr>
          <w:rFonts w:hint="default" w:ascii="Times New Roman" w:hAnsi="Times New Roman" w:eastAsia="方正仿宋简体" w:cs="Times New Roman"/>
          <w:sz w:val="32"/>
          <w:szCs w:val="32"/>
        </w:rPr>
        <w:t>三产</w:t>
      </w:r>
      <w:r>
        <w:rPr>
          <w:rFonts w:hint="eastAsia" w:ascii="Times New Roman" w:hAnsi="Times New Roman" w:eastAsia="方正仿宋简体" w:cs="Times New Roman"/>
          <w:sz w:val="32"/>
          <w:szCs w:val="32"/>
          <w:lang w:val="en-US" w:eastAsia="zh-CN"/>
        </w:rPr>
        <w:t>业</w:t>
      </w:r>
      <w:r>
        <w:rPr>
          <w:rFonts w:hint="default" w:ascii="Times New Roman" w:hAnsi="Times New Roman" w:eastAsia="方正仿宋简体" w:cs="Times New Roman"/>
          <w:sz w:val="32"/>
          <w:szCs w:val="32"/>
        </w:rPr>
        <w:t>形成新发展极，培育扶持现代服务业、文化旅游、人力资源培训三大产业的衍生产业链。结合城市更新，完善城市现代服务设施，以文化旅游产业为主要抓手推进文化旅游业发展，发挥人力资源优势，加大服务人口的培训力度。</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产业空间布局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联动图木舒克市，形成“两极、三心、中轴、次轴、多点”的反“飞”字型产业发展格局。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两极：巴楚中心城区打造制造业与现代服务业发展极；色力布亚镇打造商贸发展极。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三心：阿纳库勒乡（拟设镇）打造生态旅游和近郊现代畜牧业，三岔口镇发展现代物流与矿产加工全产业集群，恰尔巴格乡重点推进恰尔巴格乡兵地融合工业园区建设。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中轴：沿巴莎、巴图公路形成产业发展中轴，辐射绿洲沿线的各乡镇。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次轴：由中心城区—三岔口镇、县城—阿纳库勒乡（拟设镇）形成两条产业发展次轴，强化中心城区对于三岔口镇和阿纳库勒乡（拟设镇）的服务支撑；</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多点：包括多来提巴格乡（拟设镇）、夏马勒乡、阿克萨克马热勒乡（拟设镇）、阿瓦提镇等多个乡镇，重点立足本地特色，发展特色化的养殖业、林果业。</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推进工业园区集约高效利用土地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高工业园区土地利用效率，实施城镇和工业园区低效用地开发，实行工业园区节约集约用地水平与城镇新增建设用地挂钩制度，严控低效园区新增建设用地。在保持环境适宜的前提下，适度提高巴楚县工业园区的用地开发强度，通过相关产业的适当积聚，在工业园区内形成以产业链为基础的产业集群，整合改造“小、散、乱”产业。</w:t>
      </w:r>
    </w:p>
    <w:p>
      <w:pPr>
        <w:rPr>
          <w:rFonts w:hint="default" w:ascii="Times New Roman" w:hAnsi="Times New Roman" w:eastAsia="方正仿宋简体" w:cs="Times New Roman"/>
          <w:sz w:val="32"/>
          <w:szCs w:val="32"/>
        </w:rPr>
      </w:pPr>
    </w:p>
    <w:p>
      <w:pPr>
        <w:pStyle w:val="48"/>
        <w:rPr>
          <w:rFonts w:hint="default" w:ascii="Times New Roman" w:hAnsi="Times New Roman" w:eastAsia="方正黑体简体" w:cs="Times New Roman"/>
        </w:rPr>
      </w:pPr>
      <w:bookmarkStart w:id="30" w:name="_Toc192836790"/>
      <w:r>
        <w:rPr>
          <w:rFonts w:hint="default" w:ascii="Times New Roman" w:hAnsi="Times New Roman" w:eastAsia="方正黑体简体" w:cs="Times New Roman"/>
        </w:rPr>
        <w:t>城乡公共服务体系布局</w:t>
      </w:r>
      <w:bookmarkEnd w:id="30"/>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分级分类引导公共服务设施均衡布局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心城区统筹布局各类重大公共服务设施建设空间，加大面向全县的高等级公共服务设施配置，打造县级公共服务中心；强化重点镇公共服务中心建设，健全色力布亚镇医疗卫生、教育、文化体育等服务设施配套；完善外围乡镇基本公共服务设施标准化配置，推动城乡公共服务均衡化、一体化；优化社区（村）级公共服务中心配置，构建基层15分钟社区生活圈。</w:t>
      </w:r>
    </w:p>
    <w:p>
      <w:pPr>
        <w:ind w:firstLine="639" w:firstLineChars="19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文化设施布局。</w:t>
      </w:r>
      <w:r>
        <w:rPr>
          <w:rFonts w:hint="default" w:ascii="Times New Roman" w:hAnsi="Times New Roman" w:eastAsia="方正仿宋简体" w:cs="Times New Roman"/>
          <w:sz w:val="32"/>
          <w:szCs w:val="32"/>
        </w:rPr>
        <w:t>保留现状文化艺术中心；打造喀什噶尔河沿岸县级滨水文化功能组团，重点发展休闲旅游、博物博览、传媒演艺等功能；推动巴楚县红海景区、巴楚县白沙山景区、唐代烽火台遗址、马蹄山文化资源和旅游资源的整体开发利用；推进基层公共文化设施网络建设，实现乡镇文化活动中心、社区（村）文化活动站（</w:t>
      </w:r>
      <w:r>
        <w:rPr>
          <w:rFonts w:hint="eastAsia" w:ascii="Times New Roman" w:hAnsi="Times New Roman" w:eastAsia="方正仿宋简体" w:cs="Times New Roman"/>
          <w:sz w:val="32"/>
          <w:szCs w:val="32"/>
          <w:lang w:val="en-US" w:eastAsia="zh-CN"/>
        </w:rPr>
        <w:t>室</w:t>
      </w:r>
      <w:r>
        <w:rPr>
          <w:rFonts w:hint="default" w:ascii="Times New Roman" w:hAnsi="Times New Roman" w:eastAsia="方正仿宋简体" w:cs="Times New Roman"/>
          <w:sz w:val="32"/>
          <w:szCs w:val="32"/>
        </w:rPr>
        <w:t>）全覆盖。</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教育设施布局。</w:t>
      </w:r>
      <w:r>
        <w:rPr>
          <w:rFonts w:hint="default" w:ascii="Times New Roman" w:hAnsi="Times New Roman" w:eastAsia="方正仿宋简体" w:cs="Times New Roman"/>
          <w:sz w:val="32"/>
          <w:szCs w:val="32"/>
        </w:rPr>
        <w:t>结合各阶段学龄人口变化趋势，采用新建、改扩建、撤并等方式，优化学前教育、义务教育和普通高中教育等教育设施建设空间布局。打造一批在区域范围内有重大影响的职业教育以及科研等机构，成为重要的区域知识服务中心。加强产学研合作，加大职业高中建设，促进专科职业教育与社区的融合，强化社会服务功能，提升城市文化原创能力。</w:t>
      </w:r>
    </w:p>
    <w:p>
      <w:pPr>
        <w:ind w:firstLine="643"/>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体育设施布局。</w:t>
      </w:r>
      <w:r>
        <w:rPr>
          <w:rFonts w:hint="default" w:ascii="Times New Roman" w:hAnsi="Times New Roman" w:eastAsia="方正仿宋简体" w:cs="Times New Roman"/>
          <w:sz w:val="32"/>
          <w:szCs w:val="32"/>
        </w:rPr>
        <w:t>加强县级综合性体育中心建设空间保障，各乡镇实现综合文体活动中心（包括文化活动室和室外综合健身场地）全覆盖。推动学校、企事业单位体育设施向社会全面开放，鼓励利用公园绿地、闲置厂房、仓库、老旧商业设施等场所增加体育设施，以满足全民多层次的健身需求。</w:t>
      </w:r>
    </w:p>
    <w:p>
      <w:pPr>
        <w:ind w:firstLine="639" w:firstLineChars="19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医疗卫生设施布局。</w:t>
      </w:r>
      <w:r>
        <w:rPr>
          <w:rFonts w:hint="default" w:ascii="Times New Roman" w:hAnsi="Times New Roman" w:eastAsia="方正仿宋简体" w:cs="Times New Roman"/>
          <w:bCs/>
          <w:sz w:val="32"/>
          <w:szCs w:val="32"/>
        </w:rPr>
        <w:t>推动优质医疗资源均衡布局，加强短缺医疗资源和专业公共卫生机构建设空间保障。中心城区内提升现有县级医疗卫生设施的服务能力，重点建设综合医院、专科医院、疾病预防控制中心、医疗卫生信息大数据中心等区域性医疗卫生设施。乡镇地区实现卫生医院（卫生服务站）、村卫生室全覆盖。</w:t>
      </w:r>
    </w:p>
    <w:p>
      <w:pPr>
        <w:ind w:firstLine="636" w:firstLineChars="199"/>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社会福利设施布局。建立居家社区机构相协调、医养康养相结合的养老服务体系，多方式扩大养老服务设施建设空间供给。中心城区布置区域性儿童福利院、残疾人康复机构、特困人员救助机构等福利设施，完善精神卫生福利设施布局。以节地生态为导向，保障殡葬设施改扩建用地，保障殡葬服务需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城乡生活圈</w:t>
      </w:r>
    </w:p>
    <w:p>
      <w:pPr>
        <w:ind w:firstLine="636" w:firstLineChars="199"/>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因地制宜构建城乡生活圈，引导公共服务设施均衡布局，推动公共服务设施向农村延伸，促进城乡基本公共服务均等化，营造互嵌共融的社区环境。城镇社区构建“15分钟、5-10分钟”两个层级的城镇社区生活圈。乡村地区以乡镇为单元构建乡镇社区生活圈，统筹布局满足乡村居民日常生活、生产需求的各类服务设施，强化乡村公共服务阵地标准化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pStyle w:val="2"/>
        <w:rPr>
          <w:rFonts w:hint="default" w:ascii="Times New Roman" w:hAnsi="Times New Roman" w:cs="Times New Roman"/>
        </w:rPr>
      </w:pPr>
      <w:bookmarkStart w:id="31" w:name="_Toc192836791"/>
      <w:r>
        <w:rPr>
          <w:rFonts w:hint="default" w:ascii="Times New Roman" w:hAnsi="Times New Roman" w:cs="Times New Roman"/>
        </w:rPr>
        <w:t>文化润疆，城市风貌</w:t>
      </w:r>
      <w:bookmarkEnd w:id="31"/>
    </w:p>
    <w:p>
      <w:pPr>
        <w:pStyle w:val="48"/>
        <w:numPr>
          <w:ilvl w:val="1"/>
          <w:numId w:val="12"/>
        </w:numPr>
        <w:rPr>
          <w:rFonts w:hint="default" w:ascii="Times New Roman" w:hAnsi="Times New Roman" w:eastAsia="方正黑体简体" w:cs="Times New Roman"/>
        </w:rPr>
      </w:pPr>
      <w:bookmarkStart w:id="32" w:name="_Toc192836792"/>
      <w:r>
        <w:rPr>
          <w:rFonts w:hint="default" w:ascii="Times New Roman" w:hAnsi="Times New Roman" w:eastAsia="方正黑体简体" w:cs="Times New Roman"/>
        </w:rPr>
        <w:t>历史文化保护和传承体系</w:t>
      </w:r>
      <w:bookmarkEnd w:id="32"/>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构建历史文化保护空间格局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一廊一道两区”的历史文化保护空间格局。“一廊”为丝路文化走廊，贯通东西，连接巴楚县中心城区和紧邻图木舒克市的文化资源集中区，突显巴楚县历史文化特色和优势；“一道”为胡杨-沙漠景观廊道，贯通东西，深挖巴楚县胡杨资源和沙漠文化特色，彰显巴楚县自然与人文融合的特色空间；“两区”为北部山地戈壁历史文化区和中部绿洲历史文化区，彰显巴楚县自然文化遗址富集的特色空间格局。</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建立历史文化遗产保护体系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构建覆盖全域的历史文化遗产保护空间体系，系统保护、传承各类文化遗产，包括文物保护单位，历史建筑，非物质文化遗产代表性项目及其相关环境场所等。</w:t>
      </w:r>
    </w:p>
    <w:p>
      <w:pPr>
        <w:rPr>
          <w:rFonts w:hint="default" w:ascii="Times New Roman" w:hAnsi="Times New Roman" w:eastAsia="方正仿宋简体" w:cs="Times New Roman"/>
          <w:sz w:val="32"/>
          <w:szCs w:val="32"/>
        </w:rPr>
      </w:pPr>
    </w:p>
    <w:p>
      <w:pPr>
        <w:pStyle w:val="48"/>
        <w:numPr>
          <w:ilvl w:val="1"/>
          <w:numId w:val="12"/>
        </w:numPr>
        <w:rPr>
          <w:rFonts w:hint="default" w:ascii="Times New Roman" w:hAnsi="Times New Roman" w:eastAsia="方正黑体简体" w:cs="Times New Roman"/>
        </w:rPr>
      </w:pPr>
      <w:bookmarkStart w:id="33" w:name="_Toc192836793"/>
      <w:r>
        <w:rPr>
          <w:rFonts w:hint="default" w:ascii="Times New Roman" w:hAnsi="Times New Roman" w:eastAsia="方正黑体简体" w:cs="Times New Roman"/>
        </w:rPr>
        <w:t>城乡风貌特色</w:t>
      </w:r>
      <w:bookmarkEnd w:id="33"/>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总体风貌定位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以巴楚县两河汇流，山脉—戈壁—绿洲—沙漠各种自然地形地貌齐聚的独特地理环境为背景，塑造“金色绿洲，丝路水城，边关古驿”总体风貌，突出地域特色和民族融合，包容自信的现代繁荣新城镇景象。</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城乡风貌分区引导</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域划分为戈壁风貌区、融合风貌区、绿洲生活风貌区、都市风貌区、胡杨林景观生态风貌区和沙漠风貌区共六个风貌分区。尊重巴楚县山脉、戈壁、绿洲、沙漠各种自然地形地貌齐聚的自然地理风貌，以生态保护为基础，挖掘旅游品牌特色，引导乡村旅游发展，打造新疆生态旅游和文化旅游的新品牌。重点塑造胡杨林景观生态和绿洲生活两类城乡特色风貌，共筑城乡和谐共生的新面貌。</w:t>
      </w:r>
    </w:p>
    <w:p>
      <w:pPr>
        <w:rPr>
          <w:rFonts w:hint="default" w:ascii="Times New Roman" w:hAnsi="Times New Roman" w:eastAsia="方正仿宋简体" w:cs="Times New Roman"/>
          <w:sz w:val="32"/>
          <w:szCs w:val="32"/>
        </w:rPr>
      </w:pPr>
    </w:p>
    <w:p>
      <w:pPr>
        <w:pStyle w:val="48"/>
        <w:numPr>
          <w:ilvl w:val="1"/>
          <w:numId w:val="12"/>
        </w:numPr>
        <w:rPr>
          <w:rFonts w:hint="default" w:ascii="Times New Roman" w:hAnsi="Times New Roman" w:eastAsia="方正黑体简体" w:cs="Times New Roman"/>
        </w:rPr>
      </w:pPr>
      <w:bookmarkStart w:id="34" w:name="_Toc192836794"/>
      <w:r>
        <w:rPr>
          <w:rFonts w:hint="default" w:ascii="Times New Roman" w:hAnsi="Times New Roman" w:eastAsia="方正黑体简体" w:cs="Times New Roman"/>
        </w:rPr>
        <w:t>全域魅力空间网络构建</w:t>
      </w:r>
      <w:bookmarkEnd w:id="34"/>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魅力空间结构体系构建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落实《喀什地区国土空间总体规划（2021-2035年）》规划要求，积极参与叶尔羌河流域旅游观光大道建设，建设二级魅力城镇（自治区三级魅力支点城镇）。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以叶尔羌河流域生态旅游千里观光长廊为脉络，红海湿地绿洲旅游片区和碧水沙山旅游片区为特色，南疆文化旅游发展核、军垦文化旅游发展核和南疆商贸旅游发展核为核心，金色胡杨旅游板块、特色村镇富民旅游板块和大漠探秘旅游板块三翼协同的“一廊、两片、三核、三翼”的生态旅游体系。</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景观游憩网络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县城为核心，依托图木舒克市唐王城机场，联动巴图旅游资源，构建以沙漠文化生态游走廊、喀什噶尔河湿地生态游走廊、绿洲水库农业景观走廊和金胡杨生态自驾游走廊为特色的四条景观游憩廊道，共享旅游资源、共迎旅游客源、共用旅游设施、共联旅游线路。</w:t>
      </w:r>
    </w:p>
    <w:p>
      <w:pPr>
        <w:pStyle w:val="2"/>
        <w:rPr>
          <w:rFonts w:hint="default" w:ascii="Times New Roman" w:hAnsi="Times New Roman" w:cs="Times New Roman"/>
        </w:rPr>
        <w:sectPr>
          <w:pgSz w:w="11906" w:h="16838"/>
          <w:pgMar w:top="1440" w:right="1797" w:bottom="1440" w:left="1797" w:header="851" w:footer="992" w:gutter="0"/>
          <w:cols w:space="720" w:num="1"/>
          <w:docGrid w:type="lines" w:linePitch="312" w:charSpace="0"/>
        </w:sectPr>
      </w:pPr>
    </w:p>
    <w:p>
      <w:pPr>
        <w:pStyle w:val="2"/>
        <w:rPr>
          <w:rFonts w:hint="default" w:ascii="Times New Roman" w:hAnsi="Times New Roman" w:cs="Times New Roman"/>
        </w:rPr>
      </w:pPr>
      <w:bookmarkStart w:id="35" w:name="_Toc192836795"/>
      <w:r>
        <w:rPr>
          <w:rFonts w:hint="default" w:ascii="Times New Roman" w:hAnsi="Times New Roman" w:cs="Times New Roman"/>
        </w:rPr>
        <w:t>增强支撑保障能力和安全韧性</w:t>
      </w:r>
      <w:bookmarkEnd w:id="35"/>
    </w:p>
    <w:p>
      <w:pPr>
        <w:pStyle w:val="48"/>
        <w:numPr>
          <w:ilvl w:val="1"/>
          <w:numId w:val="13"/>
        </w:numPr>
        <w:rPr>
          <w:rFonts w:hint="default" w:ascii="Times New Roman" w:hAnsi="Times New Roman" w:eastAsia="方正黑体简体" w:cs="Times New Roman"/>
        </w:rPr>
      </w:pPr>
      <w:bookmarkStart w:id="36" w:name="_Toc192836796"/>
      <w:bookmarkStart w:id="37" w:name="_Toc121994149"/>
      <w:r>
        <w:rPr>
          <w:rFonts w:hint="default" w:ascii="Times New Roman" w:hAnsi="Times New Roman" w:eastAsia="方正黑体简体" w:cs="Times New Roman"/>
        </w:rPr>
        <w:t>综合交通体系</w:t>
      </w:r>
      <w:bookmarkEnd w:id="36"/>
      <w:bookmarkEnd w:id="37"/>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综合交通发展目标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铁路-公路-机场联运，规划进一步强化巴楚与图木舒克市、喀什市间铁路、公路的互联互通，打造喀什东部地区性综合交通枢纽。推进公路客货分流的综合交通网络，重点完善巴楚县中心城区至图木舒克市、莎车县以及三岔口镇至喀什市区的货运通道建设和基础设施建设，建设轻重分离的综合交通路网。</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机场规划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依托巴图公路联动巴楚县中心城区和图木舒克市唐王城机场；推进巴楚县通用机场选址研究，将巴楚县机场打造为辐射疆内，联结国内主要城市的区域性通用机场。</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铁路及场站规划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落实《喀什地区国土空间总体规划（2021-2035年）》规划要求，完善南疆铁路运输通道，保留现状南疆铁路及客货运站场。重点推进巴楚-莎车铁路、乌喀高铁、图昆铁路等重点项目建设。规划巴楚-莎车铁路在色力布亚镇设1处客货运站，新建乌鲁木齐至喀什高铁巴楚段，中心城区设置巴楚高铁客运站。</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公路规划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构建以县城为中心的“五纵、八横”网络状公路系统。加强干线公路与城市道路衔接，提升公路服务水平。完善公路客运枢纽布局，适度进行综合开发。</w:t>
      </w:r>
    </w:p>
    <w:p>
      <w:pPr>
        <w:rPr>
          <w:rFonts w:hint="default" w:ascii="Times New Roman" w:hAnsi="Times New Roman" w:eastAsia="方正仿宋简体" w:cs="Times New Roman"/>
          <w:sz w:val="32"/>
          <w:szCs w:val="32"/>
        </w:rPr>
      </w:pPr>
    </w:p>
    <w:p>
      <w:pPr>
        <w:pStyle w:val="48"/>
        <w:numPr>
          <w:ilvl w:val="1"/>
          <w:numId w:val="13"/>
        </w:numPr>
        <w:rPr>
          <w:rFonts w:hint="default" w:ascii="Times New Roman" w:hAnsi="Times New Roman" w:eastAsia="方正黑体简体" w:cs="Times New Roman"/>
        </w:rPr>
      </w:pPr>
      <w:bookmarkStart w:id="38" w:name="_Toc192836797"/>
      <w:r>
        <w:rPr>
          <w:rFonts w:hint="default" w:ascii="Times New Roman" w:hAnsi="Times New Roman" w:eastAsia="方正黑体简体" w:cs="Times New Roman"/>
        </w:rPr>
        <w:t>市政基础设施</w:t>
      </w:r>
      <w:bookmarkEnd w:id="38"/>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给水设施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心城区水源以外调水为主，再生水为补充，本地地表水为备用，构建“多源互补、节约高效”的水源保障体系。完善城市供水设施体系，优化给水管网布局，统筹城乡供水，保障水厂、输水干管、调蓄水池等项目空间需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雨水设施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采用雨污水不完全分流制。完善生态沟渠及雨洪调蓄空间体系。加强雨水径流源头控制，因地制宜实施低影响开发措施，打造雨水与海绵综合系统，促进雨水蓄滞、利用、城市面源污染协同治理。</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污水及再生水设施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集中与分散相结合的城镇污水收集处理系统。完善城镇污水设施体系，污水处理厂尾水达标排放，促进污泥无害化、资源化处置。系统开展污水再生处理与回用，配建再生水管网及中水库，加强再生水利用，富余再生水储存备用。</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电力设施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750千伏、220千伏与喀什主网架之间的联络，持续推进可再生能源基地建设，构建全县高可靠、低碳化的送电网架。完善中心城区及各乡镇110千伏及以下供电网络，因地制宜推动可再生分布式电源点建设，充分预留各类设施与线路廊道空间，保障供电设施空间需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燃气设施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以天然气为主，液化石油气、沼气为补充的气源格局。城市化地区以天然气为主供气源，其中距离上游气源较远、用气规模较小的乡镇以CNG或LNG为气源，偏远农村地区以液化石油气、沼气为主要气源。加强应急储气设施建设，提升供气安全保障水平。保障燃气设施用地需求，加强燃气设施和管道的安全防护，严格执行保护和控制范围要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供热设施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足供热安全保障，积极发展天然气、余热、太阳能、地热、生物质能等清洁可再生能源供热，持续优化供热能源结构。中心城区以热电厂集中供热为主，供热综合能源站等多能互补区域热源为补充，实现多热源、多能源协同供热。其他乡镇镇区因地制宜发展集中供热，农村地区鼓励发展太阳能供热、电采暖等清洁供热方式。</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通信设施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快新型基础设施建设，构建泛在高速的通信网络，实现全域高速有线接入、泛在无线覆盖。完善星型、环型相结合的传输网络，推进5G网络规模化组网，促进基站建设与城市风貌相融合。加快全县算力设施布局，建立云边协同的数据处理体系。提高中心城区数字化建设，提升基础设施智慧化水平，推进智慧设施与城市发展相融合。</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环卫设施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遵循垃圾减量化、无害化、资源化原则，实现垃圾收集分类化，垃圾运输密闭化，垃圾处理无害化，环卫作业机械化。提高全县垃圾分类收集设施覆盖能力，按一级转运模式，优化中心城区、各乡镇垃圾转运设施布点。保障县域可再生资源回收设施、其他垃圾处理设施、餐厨垃圾处置等设施空间预留，空间引导乡村地区就地资源化回用，逐步完善全过程化的生活垃圾分类收运处置体系。</w:t>
      </w:r>
    </w:p>
    <w:p>
      <w:pPr>
        <w:pStyle w:val="48"/>
        <w:numPr>
          <w:ilvl w:val="1"/>
          <w:numId w:val="13"/>
        </w:numPr>
        <w:rPr>
          <w:rFonts w:hint="default" w:ascii="Times New Roman" w:hAnsi="Times New Roman" w:eastAsia="方正黑体简体" w:cs="Times New Roman"/>
        </w:rPr>
      </w:pPr>
      <w:bookmarkStart w:id="39" w:name="_Toc192836798"/>
      <w:r>
        <w:rPr>
          <w:rFonts w:hint="default" w:ascii="Times New Roman" w:hAnsi="Times New Roman" w:eastAsia="方正黑体简体" w:cs="Times New Roman"/>
        </w:rPr>
        <w:t>防灾减灾体系</w:t>
      </w:r>
      <w:bookmarkEnd w:id="39"/>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防灾减灾救灾总体目标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以防为主、防抗救相结合的原则，倡导常态减灾和非常态救灾相统一，构建全域安全空间，完善防灾减灾工程，引导各类设施平急两用，全面提升全县监测预警、预防救援、应急处置、危机管理等综合防范能力，有效防范和化解各类风险，实现全县安全韧性的整体提升。</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城市空间韧性</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构建县、乡镇、社区（农村）三级组成的城市安全空间体系。依托社区（农村）生活圈，建设分布式、全覆盖的防灾、疏散、安全救援管理单元，形成分层分区网络化安全空间格局。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严格管控全县Ⅷ度设防地区地震断裂带周边建筑的最小避让距离。城镇开发建设项目原则上避让地质灾害隐患点，无法避让的，必须采取工程治理措施。优化全县各类危险源安全布局，易燃易爆危险品场所或设施应设置在城镇边缘或相对独立的安全地带。严格控制中心城区内加油站、加气站、燃气供应点等易燃易爆场所与相邻用地、设施和人员密集的公共建筑及其他场所的安全防护距离。</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城市工程韧性</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提高防洪排涝保障能力。</w:t>
      </w:r>
      <w:r>
        <w:rPr>
          <w:rFonts w:hint="default" w:ascii="Times New Roman" w:hAnsi="Times New Roman" w:eastAsia="方正仿宋简体" w:cs="Times New Roman"/>
          <w:sz w:val="32"/>
          <w:szCs w:val="32"/>
        </w:rPr>
        <w:t>严格执行防洪规划确定的城市防洪标准及河道防洪标准，落实洪涝风险控制线空间管控要求。以防洪堤防为主要防护手段，开展河道综合整治工程。构建雨水调蓄空间，合理规划涝水行泄通道，综合保障城镇排涝安全。</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提升地震灾害防御能力。</w:t>
      </w:r>
      <w:r>
        <w:rPr>
          <w:rFonts w:hint="default" w:ascii="Times New Roman" w:hAnsi="Times New Roman" w:eastAsia="方正仿宋简体" w:cs="Times New Roman"/>
          <w:sz w:val="32"/>
          <w:szCs w:val="32"/>
        </w:rPr>
        <w:t>抗震设防烈度为Ⅶ~Ⅷ度，学校、医院、生命线系统等关键设施提高一级设防。重大工程必须开展地震安全性评价，并按照评价报告所确定的抗震设防要求进行设防。全县已建设的建筑物、构筑物，未采取抗震设防措施的，应当按照国家有关规定，进行抗震性能鉴定，必要的</w:t>
      </w:r>
      <w:r>
        <w:rPr>
          <w:rFonts w:hint="eastAsia" w:ascii="Times New Roman" w:hAnsi="Times New Roman" w:eastAsia="方正仿宋简体" w:cs="Times New Roman"/>
          <w:sz w:val="32"/>
          <w:szCs w:val="32"/>
          <w:lang w:val="en-US" w:eastAsia="zh-CN"/>
        </w:rPr>
        <w:t>需</w:t>
      </w:r>
      <w:r>
        <w:rPr>
          <w:rFonts w:hint="default" w:ascii="Times New Roman" w:hAnsi="Times New Roman" w:eastAsia="方正仿宋简体" w:cs="Times New Roman"/>
          <w:sz w:val="32"/>
          <w:szCs w:val="32"/>
        </w:rPr>
        <w:t>进行抗震加固改造，满足抗震设防标准要求。</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加大地质灾害防治力度。</w:t>
      </w:r>
      <w:r>
        <w:rPr>
          <w:rFonts w:hint="default" w:ascii="Times New Roman" w:hAnsi="Times New Roman" w:eastAsia="方正仿宋简体" w:cs="Times New Roman"/>
          <w:sz w:val="32"/>
          <w:szCs w:val="32"/>
        </w:rPr>
        <w:t>加快群测群防网络体系建设，建立地质灾害监测及信息管理数据库，按照轻重缓急，因地制宜地开展避险搬迁和工程治理，加快重点灾害区域内各类构筑物避让搬迁，持续推进低风险区域地质灾害隐患点治理工作，降低地区整体地质灾害风险程度。在建设用地外围宜减少人工活动对地质灾害的影响，避免新增隐患点。</w:t>
      </w:r>
    </w:p>
    <w:p>
      <w:pPr>
        <w:ind w:firstLine="643"/>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完善城乡消防救援体系。</w:t>
      </w:r>
      <w:r>
        <w:rPr>
          <w:rFonts w:hint="default" w:ascii="Times New Roman" w:hAnsi="Times New Roman" w:eastAsia="方正仿宋简体" w:cs="Times New Roman"/>
          <w:sz w:val="32"/>
          <w:szCs w:val="32"/>
        </w:rPr>
        <w:t>构建覆盖城乡、防消救相结合、多种救援力量组成的消防安全体系。优化消防安全布局，以消防站、消防给水、消防车通道、消防通信为重点，夯实消防基础设施建设。全县消防站布局满足5分钟内达到自身辖区边缘的通达标准，实现街道、社区、消防安全重点单位微型消防站建设全覆盖。</w:t>
      </w:r>
    </w:p>
    <w:p>
      <w:pPr>
        <w:ind w:firstLine="643"/>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推动人防体系建设。</w:t>
      </w:r>
      <w:r>
        <w:rPr>
          <w:rFonts w:hint="default" w:ascii="Times New Roman" w:hAnsi="Times New Roman" w:eastAsia="方正仿宋简体" w:cs="Times New Roman"/>
          <w:sz w:val="32"/>
          <w:szCs w:val="32"/>
        </w:rPr>
        <w:t>坚持平战结合，推动人防工程与城市空间相融合，加快构建现代化的人民防空体系。优化人防疏散格局，建立防空通信警报系统，分类完善人防工程建设。突出防护重点，加强重要经济目标防护。</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提升生命线工程抗灾能力。</w:t>
      </w:r>
      <w:r>
        <w:rPr>
          <w:rFonts w:hint="default" w:ascii="Times New Roman" w:hAnsi="Times New Roman" w:eastAsia="方正仿宋简体" w:cs="Times New Roman"/>
          <w:sz w:val="32"/>
          <w:szCs w:val="32"/>
        </w:rPr>
        <w:t>城市交通、给水、供电、供气等生命线工程系统，以及对救灾起重要作用的指挥、通信、医疗、消防、物资供应等要害系统工程，应尽量避开不利地段，无法避开时应进行抗震评估并采取有效措施。优化生命线供布局，提高生命线工程互联互通能力，适度提高设施设备冗余度，保障灾时生命线工程安全有效运转。</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强化应急设施保障能力。</w:t>
      </w:r>
      <w:r>
        <w:rPr>
          <w:rFonts w:hint="default" w:ascii="Times New Roman" w:hAnsi="Times New Roman" w:eastAsia="方正仿宋简体" w:cs="Times New Roman"/>
          <w:sz w:val="32"/>
          <w:szCs w:val="32"/>
        </w:rPr>
        <w:t>健全县、乡镇、社区三级应急指挥场所建设，建立由急救中心、急救网络医院组成的院前医疗急救体系；由应急保障医院、应急医疗救助站以及避难场所应急医疗卫生场所组成的应急医疗救护体系。推进中心、固定、紧急等分级避难场所建设。依托高速公路和城市道路，构建安全、可靠、高效的避难救援通道体系。完善应急物资储备体系，形成生活保障、医疗卫生、抢险救援、能源保障等物资储备库网络体系。</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城市管理韧性</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夯实公共卫生安全体系。</w:t>
      </w:r>
      <w:r>
        <w:rPr>
          <w:rFonts w:hint="default" w:ascii="Times New Roman" w:hAnsi="Times New Roman" w:eastAsia="方正仿宋简体" w:cs="Times New Roman"/>
          <w:sz w:val="32"/>
          <w:szCs w:val="32"/>
        </w:rPr>
        <w:t>落实公共卫生法规，提高疾病预防控制设施建设标准。健全公共卫生服务体系，加强农村、社区等基层防控能力建设与公共卫生服务队建设。建立健全分级、分层、分流的传染病等重大疫情救治机制。积极引导中心城区设施平急两用，在设施规划布局和建设前期充分预留转换接口，具备应急转换协同和应急扩充能力，保障突发事件发生时快速转换使用。</w:t>
      </w:r>
    </w:p>
    <w:p>
      <w:pPr>
        <w:ind w:firstLine="643"/>
        <w:rPr>
          <w:rFonts w:hint="default" w:ascii="Times New Roman" w:hAnsi="Times New Roman" w:eastAsia="方正仿宋简体" w:cs="Times New Roman"/>
          <w:sz w:val="32"/>
          <w:szCs w:val="32"/>
        </w:rPr>
        <w:sectPr>
          <w:pgSz w:w="11906" w:h="16838"/>
          <w:pgMar w:top="1440" w:right="1797" w:bottom="1440" w:left="1797" w:header="851" w:footer="992" w:gutter="0"/>
          <w:cols w:space="720" w:num="1"/>
          <w:docGrid w:type="lines" w:linePitch="312" w:charSpace="0"/>
        </w:sectPr>
      </w:pPr>
      <w:r>
        <w:rPr>
          <w:rFonts w:hint="default" w:ascii="Times New Roman" w:hAnsi="Times New Roman" w:eastAsia="方正仿宋简体" w:cs="Times New Roman"/>
          <w:b/>
          <w:bCs/>
          <w:sz w:val="32"/>
          <w:szCs w:val="32"/>
        </w:rPr>
        <w:t>提升气象灾害防御能力</w:t>
      </w:r>
      <w:r>
        <w:rPr>
          <w:rFonts w:hint="default" w:ascii="Times New Roman" w:hAnsi="Times New Roman" w:eastAsia="方正仿宋简体" w:cs="Times New Roman"/>
          <w:sz w:val="32"/>
          <w:szCs w:val="32"/>
        </w:rPr>
        <w:t>。开展应对极端气候情景规律研究，明确超标界限，结合系统应对能力变化进行动态更新，合理组织及时开展各类应对措施。</w:t>
      </w:r>
    </w:p>
    <w:p>
      <w:pPr>
        <w:ind w:left="640" w:firstLine="0" w:firstLineChars="0"/>
        <w:rPr>
          <w:rFonts w:hint="default" w:ascii="Times New Roman" w:hAnsi="Times New Roman" w:eastAsia="方正仿宋简体" w:cs="Times New Roman"/>
          <w:sz w:val="32"/>
          <w:szCs w:val="32"/>
        </w:rPr>
      </w:pPr>
    </w:p>
    <w:p>
      <w:pPr>
        <w:pStyle w:val="2"/>
        <w:rPr>
          <w:rFonts w:hint="default" w:ascii="Times New Roman" w:hAnsi="Times New Roman" w:cs="Times New Roman"/>
        </w:rPr>
        <w:sectPr>
          <w:pgSz w:w="11906" w:h="16838"/>
          <w:pgMar w:top="1440" w:right="1797" w:bottom="1440" w:left="1797" w:header="851" w:footer="992" w:gutter="0"/>
          <w:cols w:space="720" w:num="1"/>
          <w:docGrid w:type="lines" w:linePitch="312" w:charSpace="0"/>
        </w:sectPr>
      </w:pPr>
    </w:p>
    <w:p>
      <w:pPr>
        <w:pStyle w:val="2"/>
        <w:rPr>
          <w:rFonts w:hint="default" w:ascii="Times New Roman" w:hAnsi="Times New Roman" w:cs="Times New Roman"/>
        </w:rPr>
      </w:pPr>
      <w:bookmarkStart w:id="40" w:name="_Toc192836799"/>
      <w:r>
        <w:rPr>
          <w:rFonts w:hint="default" w:ascii="Times New Roman" w:hAnsi="Times New Roman" w:cs="Times New Roman"/>
        </w:rPr>
        <w:t>中心城区规划</w:t>
      </w:r>
      <w:bookmarkEnd w:id="40"/>
    </w:p>
    <w:p>
      <w:pPr>
        <w:pStyle w:val="48"/>
        <w:numPr>
          <w:ilvl w:val="1"/>
          <w:numId w:val="14"/>
        </w:numPr>
        <w:rPr>
          <w:rFonts w:hint="default" w:ascii="Times New Roman" w:hAnsi="Times New Roman" w:eastAsia="方正黑体简体" w:cs="Times New Roman"/>
        </w:rPr>
      </w:pPr>
      <w:bookmarkStart w:id="41" w:name="_Toc192836800"/>
      <w:r>
        <w:rPr>
          <w:rFonts w:hint="default" w:ascii="Times New Roman" w:hAnsi="Times New Roman" w:eastAsia="方正黑体简体" w:cs="Times New Roman"/>
        </w:rPr>
        <w:t>城区空间结构与布局</w:t>
      </w:r>
      <w:bookmarkEnd w:id="41"/>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空间布局结构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打造“一核一带，五区联动”的中心城区空间格局。一核：依托县政府、体育场、巴楚县文化活动中心，形成集商业、文化、办公和休闲服务于一体的综合性公共服务核心。一带：沿喀什噶尔河生态带打造文旅休闲带，推进河道两岸生态空间的建设，串联重要生态休旅公园。五区联动：构建北部站前商贸物流区、西部巴楚县产业集聚区、中部生态文旅片区、东部居住片区和南部商贸活动片区互相协调的空间格局。</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公共服务中心体系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县级-片区级-社区级”三级公共中心体系，包括位于世纪大道以北/光明路以东的市级公共服务中心1处，位于五个功能区的片区级公共服务中心5处，以15分钟社区生活圈为基本单元均衡分布的社区级公共服务中心18处。</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规划分区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心城区城镇发展区、乡村发展区进一步细化至二级规划分区。其中，城镇发展区划分为居住生活区、综合服务区、商业商务区、工业发展区、物流仓储区、交通枢纽区和绿地休闲区7类二级规划分区，对城市功能的空间布局进行结构化控制。乡村发展区划分为农田保护区、生态保护区、生态控制区、一般农业区、林业发展区和村庄建设区6类二级规划分区，各规划分区内要素管控应符合相关法律法规、政策文件的管控要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建设用地结构优化</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二级规划分区为依据，结合现状优化用地结构形成“北产南居”的整体布局。合理控制居住用地规模，适当提升公共管理与公共服务用地、交通运输用地、公用设施用地面积，补足民生短板；增加绿地与开敞空间用地，满足各族群众游憩交往需求；优化工矿用地和仓储用地布局，加快各类低效工业用地整治，保障产业空间发展需求，进一步引导产业集聚提升发展。</w:t>
      </w:r>
    </w:p>
    <w:p>
      <w:pPr>
        <w:rPr>
          <w:rFonts w:hint="default" w:ascii="Times New Roman" w:hAnsi="Times New Roman" w:eastAsia="方正仿宋简体" w:cs="Times New Roman"/>
          <w:sz w:val="32"/>
          <w:szCs w:val="32"/>
        </w:rPr>
      </w:pPr>
    </w:p>
    <w:p>
      <w:pPr>
        <w:pStyle w:val="48"/>
        <w:numPr>
          <w:ilvl w:val="1"/>
          <w:numId w:val="14"/>
        </w:numPr>
        <w:rPr>
          <w:rFonts w:hint="default" w:ascii="Times New Roman" w:hAnsi="Times New Roman" w:eastAsia="方正黑体简体" w:cs="Times New Roman"/>
        </w:rPr>
      </w:pPr>
      <w:bookmarkStart w:id="42" w:name="_Toc192836801"/>
      <w:r>
        <w:rPr>
          <w:rFonts w:hint="default" w:ascii="Times New Roman" w:hAnsi="Times New Roman" w:eastAsia="方正黑体简体" w:cs="Times New Roman"/>
        </w:rPr>
        <w:t>居住空间布局</w:t>
      </w:r>
      <w:bookmarkEnd w:id="42"/>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居住空间布局优化</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合理控制居住用地规模，推进老旧居住区综合改造，改善提升居住环境；新增居住用地重点投向城南地区、城北友谊路两侧，保障工业园区的配套居住，加强产融融合。</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保障性住房建设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健全完善多主体供给、多渠道保障、租购并举的住房保障体系，满足居民多元化居住需求。加大保障性住房用地供给，重点在产业园区、商业办公区等周边区域，提高保障性住房用地比例。</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棚户区和老旧小区改造</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推进各类棚户区改造，积极推进中心城区危旧房改造、简易楼拆迁、城中村、城边村边角地等的整治改造。统筹推进老旧小区综合整治和有机更新。</w:t>
      </w:r>
    </w:p>
    <w:p>
      <w:pPr>
        <w:rPr>
          <w:rFonts w:hint="default" w:ascii="Times New Roman" w:hAnsi="Times New Roman" w:eastAsia="方正仿宋简体" w:cs="Times New Roman"/>
          <w:sz w:val="32"/>
          <w:szCs w:val="32"/>
        </w:rPr>
      </w:pPr>
    </w:p>
    <w:p>
      <w:pPr>
        <w:pStyle w:val="48"/>
        <w:numPr>
          <w:ilvl w:val="1"/>
          <w:numId w:val="14"/>
        </w:numPr>
        <w:rPr>
          <w:rFonts w:hint="default" w:ascii="Times New Roman" w:hAnsi="Times New Roman" w:eastAsia="方正黑体简体" w:cs="Times New Roman"/>
        </w:rPr>
      </w:pPr>
      <w:bookmarkStart w:id="43" w:name="_Toc192836802"/>
      <w:r>
        <w:rPr>
          <w:rFonts w:hint="default" w:ascii="Times New Roman" w:hAnsi="Times New Roman" w:eastAsia="方正黑体简体" w:cs="Times New Roman"/>
        </w:rPr>
        <w:t>构建蓝绿空间体系</w:t>
      </w:r>
      <w:bookmarkEnd w:id="43"/>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公园绿地体系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共享、均好的分级公园系统，形成“综合公园+专类公园+社区公园+游园”的四级公园体系。均衡布局综合公园和专类公园，因地制宜配置文化、体育、科普教育、休闲游憩等设施；结合不同层级生活圈完善社区公园、游园配给，设置健身器械中小型球场等活动场地。</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滨水空间</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着力打造好喀什噶尔河两岸滨水空间，着重保护河岸两侧现有的林地、公园等，在现有滨河公园体系的基础上进行滨河步道的延伸和贯通，同时适当注入公共服务和商业服务功能，形成连续的有活力的滨河开敞空间。对于滨水已建地块，鼓励进行滨水空间的景观提升，融入城市滨水空间体系，最终形成沿喀什噶尔河两岸分布的魅力滨水公共活动空间。</w:t>
      </w:r>
    </w:p>
    <w:p>
      <w:pPr>
        <w:rPr>
          <w:rFonts w:hint="default" w:ascii="Times New Roman" w:hAnsi="Times New Roman" w:eastAsia="方正仿宋简体" w:cs="Times New Roman"/>
          <w:sz w:val="32"/>
          <w:szCs w:val="32"/>
        </w:rPr>
      </w:pPr>
    </w:p>
    <w:p>
      <w:pPr>
        <w:pStyle w:val="48"/>
        <w:numPr>
          <w:ilvl w:val="1"/>
          <w:numId w:val="14"/>
        </w:numPr>
        <w:rPr>
          <w:rFonts w:hint="default" w:ascii="Times New Roman" w:hAnsi="Times New Roman" w:eastAsia="方正黑体简体" w:cs="Times New Roman"/>
        </w:rPr>
      </w:pPr>
      <w:bookmarkStart w:id="44" w:name="_Toc192836803"/>
      <w:r>
        <w:rPr>
          <w:rFonts w:hint="default" w:ascii="Times New Roman" w:hAnsi="Times New Roman" w:eastAsia="方正黑体简体" w:cs="Times New Roman"/>
        </w:rPr>
        <w:t>完善综合交通体系</w:t>
      </w:r>
      <w:bookmarkEnd w:id="44"/>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城市交通发展核心目标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以构建便捷顺畅的一体化交通网为导向，实现干线铁路提速联通、高速公路贯通成网、国省干线公路升级改造和农村公路全面覆盖。</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城市道路网规划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完善城市道路系统、加强外围组团与中心城区道路联系，构建“一环、十二横、七纵”主干路网骨架。贯彻落实窄路密网理念，加强次干路和支路空间保障。</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公共交通规划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客流走廊覆盖，完善公交优先通道系统，灵活组织线路、深入社区中心，提升常规公交服务水平。加强公交专项规划编制工作，及时调整公交线路与站点，推进智慧公交建设，强化公交线路及站点动态调整，倡导定制公交发展，提升公交站点覆盖率和公交服务便利度。</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社会停车场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规模适宜、布局完善的停车设施。结合实际需求，明确公共停车场布局和用地保障需求，设立合理的停车配建指标体系，集约高效使用土地。加大老旧城区配建停车设施规划建设，在保障安全性的前提下，挖潜闲置资源，促进泊位共享。</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慢行系统规划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依托城市道路系统和蓝绿开敞空间，规划慢行走廊系统，串联主要公共活动场所，构建网络化的高品质慢行系统。慢行步道应保障连续性、安全性和舒适性，并充分保护行人安全，注重提升慢行空间品质。</w:t>
      </w:r>
    </w:p>
    <w:p>
      <w:pPr>
        <w:rPr>
          <w:rFonts w:hint="default" w:ascii="Times New Roman" w:hAnsi="Times New Roman" w:eastAsia="方正仿宋简体" w:cs="Times New Roman"/>
          <w:sz w:val="32"/>
          <w:szCs w:val="32"/>
        </w:rPr>
      </w:pPr>
    </w:p>
    <w:p>
      <w:pPr>
        <w:pStyle w:val="48"/>
        <w:numPr>
          <w:ilvl w:val="1"/>
          <w:numId w:val="14"/>
        </w:numPr>
        <w:rPr>
          <w:rFonts w:hint="default" w:ascii="Times New Roman" w:hAnsi="Times New Roman" w:eastAsia="方正黑体简体" w:cs="Times New Roman"/>
        </w:rPr>
      </w:pPr>
      <w:bookmarkStart w:id="45" w:name="_Toc192836804"/>
      <w:r>
        <w:rPr>
          <w:rFonts w:hint="default" w:ascii="Times New Roman" w:hAnsi="Times New Roman" w:eastAsia="方正黑体简体" w:cs="Times New Roman"/>
        </w:rPr>
        <w:t>中心城区地下空间开发利用</w:t>
      </w:r>
      <w:bookmarkEnd w:id="45"/>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地下空间布局与立体分层利用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地下空间设施建设与地上开发相结合。结合商业服务业集中区域、公共服务中心、广场和公园绿地，规划地下空间重点项目，布局地下商场、地下停车场，预留人防空间，提高综合防护能力。合理利用浅层地下空间，预留中层和深层地下资源。</w:t>
      </w:r>
    </w:p>
    <w:p>
      <w:pPr>
        <w:rPr>
          <w:rFonts w:hint="default" w:ascii="Times New Roman" w:hAnsi="Times New Roman" w:eastAsia="方正仿宋简体" w:cs="Times New Roman"/>
          <w:sz w:val="32"/>
          <w:szCs w:val="32"/>
        </w:rPr>
      </w:pPr>
    </w:p>
    <w:p>
      <w:pPr>
        <w:pStyle w:val="48"/>
        <w:numPr>
          <w:ilvl w:val="1"/>
          <w:numId w:val="14"/>
        </w:numPr>
        <w:rPr>
          <w:rFonts w:hint="default" w:ascii="Times New Roman" w:hAnsi="Times New Roman" w:eastAsia="方正黑体简体" w:cs="Times New Roman"/>
        </w:rPr>
      </w:pPr>
      <w:bookmarkStart w:id="46" w:name="_Toc192836805"/>
      <w:r>
        <w:rPr>
          <w:rFonts w:hint="default" w:ascii="Times New Roman" w:hAnsi="Times New Roman" w:eastAsia="方正黑体简体" w:cs="Times New Roman"/>
        </w:rPr>
        <w:t>城市控制线</w:t>
      </w:r>
      <w:bookmarkEnd w:id="46"/>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城市绿线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将中心城区内现状已建成的县级公园，以及规划新增的城市重要结构性绿地等重要城市绿地纳入城市绿线。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城市绿线在保障功能不降低、规模不减少的前提下，在下层次规划中逐级细化落位，保持绿线的系统性和连通性。细化落位后的城市绿线同步纳入国土空间规划“一张图”实施监督信息系统。</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城市蓝线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中心城区内主干河流水系的河道、河堤、护岸，外延一定距离的滞洪区以及其周边的保护湿地纳入城市蓝线。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中心城区内支流与排洪水系的蓝线由专项规划和下层次规划具体划定，在评估排洪、景观等影响的前提下允许局部调整。细化落位后的城市蓝线同步纳入国土空间规划“一张图”实施监督信息系统。</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城市黄线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将中心城区内城市交通、市政及防灾减灾等重大基础设施纳入城市黄线。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城市黄线应结合道路交通、市政等专项规划，在下层次规划中逐级细化落位，确保控制预留的空间不被侵占。细化落位后的城市黄线同步纳入国土空间规划“一张图”实施监督信息系统。</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城市紫线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将中心城区内已认定公布的历史建筑保护范围界线纳入城市紫线。其他历史建筑在完成确定、公布、挂牌工作后，将对应保护范围纳入城市紫线，并同步纳入国土空间规划“一张图”实施监督信息系统。</w:t>
      </w:r>
    </w:p>
    <w:p>
      <w:pPr>
        <w:ind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pStyle w:val="2"/>
        <w:rPr>
          <w:rFonts w:hint="default" w:ascii="Times New Roman" w:hAnsi="Times New Roman" w:cs="Times New Roman"/>
        </w:rPr>
      </w:pPr>
      <w:bookmarkStart w:id="47" w:name="_Toc192836806"/>
      <w:r>
        <w:rPr>
          <w:rFonts w:hint="default" w:ascii="Times New Roman" w:hAnsi="Times New Roman" w:cs="Times New Roman"/>
        </w:rPr>
        <w:t>区域协调，兵地融合</w:t>
      </w:r>
      <w:bookmarkEnd w:id="47"/>
    </w:p>
    <w:p>
      <w:pPr>
        <w:pStyle w:val="48"/>
        <w:numPr>
          <w:ilvl w:val="1"/>
          <w:numId w:val="15"/>
        </w:numPr>
        <w:rPr>
          <w:rFonts w:hint="default" w:ascii="Times New Roman" w:hAnsi="Times New Roman" w:eastAsia="方正黑体简体" w:cs="Times New Roman"/>
        </w:rPr>
      </w:pPr>
      <w:bookmarkStart w:id="48" w:name="_Toc192836807"/>
      <w:r>
        <w:rPr>
          <w:rFonts w:hint="default" w:ascii="Times New Roman" w:hAnsi="Times New Roman" w:eastAsia="方正黑体简体" w:cs="Times New Roman"/>
        </w:rPr>
        <w:t>区域协同</w:t>
      </w:r>
      <w:bookmarkEnd w:id="48"/>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发挥巴楚县在“一带一路”建设中的节点作用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作为喀什地区的东大门，作为“丝绸之路经济带核心区”和中巴经济走廊上的重要节点城市，发展空间将进一步开拓，积极融入国内国际双循环发展新格局，全面参与“一带一路”建设；把握喀什核心区建设带来的发展机遇，积极推动莎车县-图木舒克市城镇群、巴楚县-图木舒克市兵地融合试验区示范区建设，有助于进一步放大巴楚县的区位优势，深度融入核心区建设，打造区域性中心城市，推动巴楚县开放发展。</w:t>
      </w:r>
    </w:p>
    <w:p>
      <w:pPr>
        <w:rPr>
          <w:rFonts w:hint="default" w:ascii="Times New Roman" w:hAnsi="Times New Roman" w:eastAsia="方正仿宋简体" w:cs="Times New Roman"/>
          <w:sz w:val="32"/>
          <w:szCs w:val="32"/>
        </w:rPr>
      </w:pPr>
    </w:p>
    <w:p>
      <w:pPr>
        <w:pStyle w:val="48"/>
        <w:numPr>
          <w:ilvl w:val="1"/>
          <w:numId w:val="15"/>
        </w:numPr>
        <w:rPr>
          <w:rFonts w:hint="default" w:ascii="Times New Roman" w:hAnsi="Times New Roman" w:eastAsia="方正黑体简体" w:cs="Times New Roman"/>
        </w:rPr>
      </w:pPr>
      <w:bookmarkStart w:id="49" w:name="_Toc192836808"/>
      <w:r>
        <w:rPr>
          <w:rFonts w:hint="default" w:ascii="Times New Roman" w:hAnsi="Times New Roman" w:eastAsia="方正黑体简体" w:cs="Times New Roman"/>
        </w:rPr>
        <w:t>巴图兵地融合</w:t>
      </w:r>
      <w:bookmarkEnd w:id="49"/>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加强兵地融合发展</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与图木舒克市在国土空间开发保护的协调，强化规划同编。积极落实上位规划，贯彻兵地融合的建设理念，推进兵团与地方在生态共保共治、设施共建、产业互通、交通网络建设、旅游发展等方面共建共享。建设巴楚县与图木舒克市兵地融合试验区示范区，打造南疆环塔里木经济带上的重要节点。</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推进产业互通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依托两地纺织服装产业基础，共建自治区级纺织服装工业基地，共建恰尔巴格工业园；恰尔巴格乡工业园区内，积极引进兵团优质企业入驻，实现区域产业高效发展。</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加强生态环境共保共治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水资源利用共享，调整水权分配，加强两地水利工程共建和技术共享；在沙漠治理、胡杨林保护开发、喀什噶尔河及叶尔羌河流域治理等方面共建。基于兵团和地方的优势旅游景点和开敞空间，共建特色绿道网络，增强区域休闲设施建设，提高人居环境品质。</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强化交通联结</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加快重要交通项目建设，打通兵地融合发展的重要通道；推进巴楚县机场预选址建设，考虑兵团与地方的共用便利。</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统筹市政基础设施建设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加强重点基础设施、民生、能源、水利等设施共建共享，协调设施空间布局与建设时序。</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共建旅游目的地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依托图木舒克市的机场优势和良好的旅游服务能力，整合巴楚胡杨林、图木舒克市小海子水库等重要景观资源，打造叶尔羌河生态旅游观光带及喀什东部地区的旅游目的地。</w:t>
      </w:r>
      <w:r>
        <w:rPr>
          <w:rFonts w:hint="default" w:ascii="Times New Roman" w:hAnsi="Times New Roman" w:eastAsia="方正仿宋简体" w:cs="Times New Roman"/>
          <w:sz w:val="32"/>
          <w:szCs w:val="32"/>
        </w:rPr>
        <w:br w:type="page"/>
      </w:r>
    </w:p>
    <w:p>
      <w:pPr>
        <w:pStyle w:val="2"/>
        <w:rPr>
          <w:rFonts w:hint="default" w:ascii="Times New Roman" w:hAnsi="Times New Roman" w:cs="Times New Roman"/>
        </w:rPr>
      </w:pPr>
      <w:bookmarkStart w:id="50" w:name="_Toc192836809"/>
      <w:r>
        <w:rPr>
          <w:rFonts w:hint="default" w:ascii="Times New Roman" w:hAnsi="Times New Roman" w:cs="Times New Roman"/>
        </w:rPr>
        <w:t>实施保障，治理体系</w:t>
      </w:r>
      <w:bookmarkEnd w:id="50"/>
    </w:p>
    <w:p>
      <w:pPr>
        <w:pStyle w:val="48"/>
        <w:numPr>
          <w:ilvl w:val="1"/>
          <w:numId w:val="16"/>
        </w:numPr>
        <w:rPr>
          <w:rFonts w:hint="default" w:ascii="Times New Roman" w:hAnsi="Times New Roman" w:eastAsia="方正黑体简体" w:cs="Times New Roman"/>
        </w:rPr>
      </w:pPr>
      <w:bookmarkStart w:id="51" w:name="_Toc121994171"/>
      <w:bookmarkStart w:id="52" w:name="_Toc192836810"/>
      <w:r>
        <w:rPr>
          <w:rFonts w:hint="default" w:ascii="Times New Roman" w:hAnsi="Times New Roman" w:eastAsia="方正黑体简体" w:cs="Times New Roman"/>
        </w:rPr>
        <w:t>加强</w:t>
      </w:r>
      <w:bookmarkEnd w:id="51"/>
      <w:r>
        <w:rPr>
          <w:rFonts w:hint="default" w:ascii="Times New Roman" w:hAnsi="Times New Roman" w:eastAsia="方正黑体简体" w:cs="Times New Roman"/>
        </w:rPr>
        <w:t>党的领导</w:t>
      </w:r>
      <w:bookmarkEnd w:id="52"/>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把党的领导贯彻到国土空间规划编制实施的全过程</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深入学习贯彻习近平新时代中国特色社会主义思想，深刻领悟“两个确立”的决定性意义，增强“四个意识”、坚定“四个自信”、做到“两个维护”，不断提高政治判断力、政治领悟力、政治执行力，充分发挥党总揽全局、协调各方的领导核心作用，把党的领导贯彻到国土空间规划编制实施全过程各领域各环节。</w:t>
      </w:r>
    </w:p>
    <w:p>
      <w:pPr>
        <w:pStyle w:val="45"/>
        <w:spacing w:before="156" w:after="156"/>
        <w:ind w:left="0" w:firstLine="640"/>
        <w:rPr>
          <w:rFonts w:hint="default" w:ascii="Times New Roman" w:hAnsi="Times New Roman" w:eastAsia="方正楷体简体" w:cs="Times New Roman"/>
          <w:b/>
          <w:bCs/>
        </w:rPr>
      </w:pPr>
      <w:r>
        <w:rPr>
          <w:rFonts w:hint="default" w:ascii="Times New Roman" w:hAnsi="Times New Roman" w:eastAsia="方正楷体简体" w:cs="Times New Roman"/>
          <w:b/>
          <w:bCs/>
        </w:rPr>
        <w:t>确立规划实施机制</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立县级国土空间规划委员会，协调国土空间规划的重大问题和决策；建立国土空间规划定期评估、实时监测和动态维护机制；由巴楚县自然资源局牵头，建立国土空间信息高效统合与共享机制；建立健全监督考核机制，将约束性指标和管控边界的实施情况纳入考核内容。</w:t>
      </w:r>
    </w:p>
    <w:p>
      <w:pPr>
        <w:rPr>
          <w:rFonts w:hint="default" w:ascii="Times New Roman" w:hAnsi="Times New Roman" w:eastAsia="方正仿宋简体" w:cs="Times New Roman"/>
          <w:sz w:val="32"/>
          <w:szCs w:val="32"/>
        </w:rPr>
      </w:pPr>
    </w:p>
    <w:p>
      <w:pPr>
        <w:pStyle w:val="48"/>
        <w:numPr>
          <w:ilvl w:val="1"/>
          <w:numId w:val="16"/>
        </w:numPr>
        <w:rPr>
          <w:rFonts w:hint="default" w:ascii="Times New Roman" w:hAnsi="Times New Roman" w:eastAsia="方正黑体简体" w:cs="Times New Roman"/>
        </w:rPr>
      </w:pPr>
      <w:bookmarkStart w:id="53" w:name="_Toc192836811"/>
      <w:r>
        <w:rPr>
          <w:rFonts w:hint="default" w:ascii="Times New Roman" w:hAnsi="Times New Roman" w:eastAsia="方正黑体简体" w:cs="Times New Roman"/>
        </w:rPr>
        <w:t>完善法规政策体系</w:t>
      </w:r>
      <w:bookmarkEnd w:id="53"/>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法规政策体系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健全依法决策的体制机制，把公众参与、专家论证、风险评估等纳入规划决策的法定程序。</w:t>
      </w:r>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制定配套措施</w:t>
      </w:r>
    </w:p>
    <w:p>
      <w:pPr>
        <w:pStyle w:val="46"/>
        <w:ind w:firstLine="640"/>
        <w:rPr>
          <w:rFonts w:hint="default" w:ascii="Times New Roman" w:hAnsi="Times New Roman" w:cs="Times New Roman"/>
        </w:rPr>
      </w:pPr>
      <w:r>
        <w:rPr>
          <w:rFonts w:hint="default" w:ascii="Times New Roman" w:hAnsi="Times New Roman" w:cs="Times New Roman"/>
        </w:rPr>
        <w:t>建立自然资源调查评价、确权登记和资产管理制度。健全城市更新政策法规体系，出台针对存量用地性质改变、功能置换、增减挂钩等具体实施办法。制定积极的人口导入政策，优化产业导入政策，制定投资激励政策，引导社会资本投入公共服务设施、交通、市政设施等公共领域。</w:t>
      </w:r>
    </w:p>
    <w:p>
      <w:pPr>
        <w:rPr>
          <w:rFonts w:hint="default" w:ascii="Times New Roman" w:hAnsi="Times New Roman" w:eastAsia="方正仿宋简体" w:cs="Times New Roman"/>
          <w:sz w:val="32"/>
          <w:szCs w:val="32"/>
        </w:rPr>
      </w:pPr>
    </w:p>
    <w:p>
      <w:pPr>
        <w:pStyle w:val="48"/>
        <w:numPr>
          <w:ilvl w:val="1"/>
          <w:numId w:val="16"/>
        </w:numPr>
        <w:rPr>
          <w:rFonts w:hint="default" w:ascii="Times New Roman" w:hAnsi="Times New Roman" w:eastAsia="方正黑体简体" w:cs="Times New Roman"/>
        </w:rPr>
      </w:pPr>
      <w:bookmarkStart w:id="54" w:name="_Toc192836812"/>
      <w:r>
        <w:rPr>
          <w:rFonts w:hint="default" w:ascii="Times New Roman" w:hAnsi="Times New Roman" w:eastAsia="方正黑体简体" w:cs="Times New Roman"/>
        </w:rPr>
        <w:t>规划传导与管控体系</w:t>
      </w:r>
      <w:bookmarkEnd w:id="54"/>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国土空间规划编制体系</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国土空间总体规划。</w:t>
      </w:r>
      <w:r>
        <w:rPr>
          <w:rFonts w:hint="default" w:ascii="Times New Roman" w:hAnsi="Times New Roman" w:eastAsia="方正仿宋简体" w:cs="Times New Roman"/>
          <w:sz w:val="32"/>
          <w:szCs w:val="32"/>
        </w:rPr>
        <w:t>全县编制县级国土空间总体规划对自治区</w:t>
      </w:r>
      <w:r>
        <w:rPr>
          <w:rFonts w:hint="eastAsia" w:ascii="Times New Roman" w:hAnsi="Times New Roman" w:eastAsia="方正仿宋简体" w:cs="Times New Roman"/>
          <w:sz w:val="32"/>
          <w:szCs w:val="32"/>
          <w:lang w:eastAsia="zh-CN"/>
        </w:rPr>
        <w:t>国</w:t>
      </w:r>
      <w:r>
        <w:rPr>
          <w:rFonts w:hint="eastAsia" w:ascii="Times New Roman" w:hAnsi="Times New Roman" w:eastAsia="方正仿宋简体" w:cs="Times New Roman"/>
          <w:sz w:val="32"/>
          <w:szCs w:val="32"/>
          <w:u w:val="none"/>
          <w:lang w:eastAsia="zh-CN"/>
        </w:rPr>
        <w:t>土</w:t>
      </w:r>
      <w:r>
        <w:rPr>
          <w:rFonts w:hint="default" w:ascii="Times New Roman" w:hAnsi="Times New Roman" w:eastAsia="方正仿宋简体" w:cs="Times New Roman"/>
          <w:sz w:val="32"/>
          <w:szCs w:val="32"/>
        </w:rPr>
        <w:t>空间规划、喀什地区国土空间总体规划和专项规划要求进行细化落实和具体安排，作为指导和约束全县各级各类规划编制实施的依据。各乡镇可单独或相邻乡镇联合编制乡镇级国土空间总体规划，落实县级国土空间总体规划要求，作为指导和约束乡镇详细规划编制实施的依据。</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专项规划。</w:t>
      </w:r>
      <w:r>
        <w:rPr>
          <w:rFonts w:hint="default" w:ascii="Times New Roman" w:hAnsi="Times New Roman" w:eastAsia="方正仿宋简体" w:cs="Times New Roman"/>
          <w:sz w:val="32"/>
          <w:szCs w:val="32"/>
        </w:rPr>
        <w:t>强化国土空间总体规划对各类专项规划的空间性指导约束作用，专项规划确定的总体目标和重点管控内容应与国土空间总体规划保持衔接一致，专项规划批复后纳入国土空间基础信息平台，叠加到国土空间规划“一张图”上。</w:t>
      </w:r>
    </w:p>
    <w:p>
      <w:pPr>
        <w:ind w:firstLine="643"/>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详细规划。</w:t>
      </w:r>
      <w:r>
        <w:rPr>
          <w:rFonts w:hint="default" w:ascii="Times New Roman" w:hAnsi="Times New Roman" w:eastAsia="方正仿宋简体" w:cs="Times New Roman"/>
          <w:sz w:val="32"/>
          <w:szCs w:val="32"/>
        </w:rPr>
        <w:t>依据国土空间总体规划，衔接相关专项规划内容，编制详细规划，对具体地块用途和开发建设强度作出实施性安排。在城镇开发边界内，以详细规划编制单元为基础编制详细规划作为指导项目建设的法定依据；在城镇开发边界外，以乡村单元为基础，编制村庄规划。</w:t>
      </w:r>
    </w:p>
    <w:p>
      <w:pPr>
        <w:rPr>
          <w:rFonts w:hint="default" w:ascii="Times New Roman" w:hAnsi="Times New Roman" w:eastAsia="方正仿宋简体" w:cs="Times New Roman"/>
          <w:sz w:val="32"/>
          <w:szCs w:val="32"/>
        </w:rPr>
      </w:pPr>
    </w:p>
    <w:p>
      <w:pPr>
        <w:pStyle w:val="48"/>
        <w:numPr>
          <w:ilvl w:val="1"/>
          <w:numId w:val="16"/>
        </w:numPr>
        <w:rPr>
          <w:rFonts w:hint="default" w:ascii="Times New Roman" w:hAnsi="Times New Roman" w:eastAsia="方正黑体简体" w:cs="Times New Roman"/>
        </w:rPr>
      </w:pPr>
      <w:bookmarkStart w:id="55" w:name="_Toc121994174"/>
      <w:bookmarkStart w:id="56" w:name="_Toc192836813"/>
      <w:r>
        <w:rPr>
          <w:rFonts w:hint="default" w:ascii="Times New Roman" w:hAnsi="Times New Roman" w:eastAsia="方正黑体简体" w:cs="Times New Roman"/>
        </w:rPr>
        <w:t>强化监督管理</w:t>
      </w:r>
      <w:bookmarkEnd w:id="55"/>
      <w:bookmarkEnd w:id="56"/>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国土空间基础信息平台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统一的国土空间基础信息平台，形成全县国土空间规划“一张图”实施监督信息系统，实现各级规划编制、审批、修改、实施全过程在线管理。以平台为载体落实分级管控体系，纳入全县各部门空间规划成果，统一空间坐标体系和数据标准，实现成果间的数据叠加及协同性检测，提供全覆盖、全过程、全系统的规划信息综合应用功能。</w:t>
      </w:r>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建立规划监督预警机制</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定期体检、评估的常态化规划实施监督机制，将国土空间规划体检评估结果作为编制、审批、修改规划的重要参考。依托国土空间规划“一张图”实施监督信息系统，建设国土空间规划实施监测网络，建立健全动态监测评估预警机制，加强对重要控制线、重要平台、重点区域等规划实施情况和重大工程、重点领域、突出问题等的监测预警。</w:t>
      </w:r>
    </w:p>
    <w:p>
      <w:pPr>
        <w:pStyle w:val="45"/>
        <w:spacing w:before="156" w:after="156"/>
        <w:ind w:left="0" w:firstLine="643" w:firstLineChars="200"/>
        <w:rPr>
          <w:rFonts w:hint="default" w:ascii="Times New Roman" w:hAnsi="Times New Roman" w:eastAsia="方正楷体简体" w:cs="Times New Roman"/>
          <w:b/>
          <w:bCs/>
        </w:rPr>
      </w:pPr>
      <w:r>
        <w:rPr>
          <w:rFonts w:hint="default" w:ascii="Times New Roman" w:hAnsi="Times New Roman" w:eastAsia="方正楷体简体" w:cs="Times New Roman"/>
          <w:b/>
          <w:bCs/>
        </w:rPr>
        <w:t>加强公众参与和社会协调</w:t>
      </w:r>
    </w:p>
    <w:p>
      <w:pPr>
        <w:pStyle w:val="46"/>
        <w:ind w:firstLine="640"/>
        <w:rPr>
          <w:rFonts w:hint="default" w:ascii="Times New Roman" w:hAnsi="Times New Roman" w:cs="Times New Roman"/>
        </w:rPr>
      </w:pPr>
      <w:r>
        <w:rPr>
          <w:rFonts w:hint="default" w:ascii="Times New Roman" w:hAnsi="Times New Roman" w:cs="Times New Roman"/>
        </w:rPr>
        <w:t>建立全过程公众参与制度。采用政府组织、专家领衔、部门合作、公众参与的方式，编制巴楚县国土空间总体规划，推进规划编制、审批、实施、修改和监督检查全流程向社会公开。</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GB2312">
    <w:altName w:val="宋体"/>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pStyle w:val="15"/>
      <w:tabs>
        <w:tab w:val="left" w:pos="2430"/>
        <w:tab w:val="clear" w:pos="4153"/>
        <w:tab w:val="clear" w:pos="8306"/>
      </w:tabs>
      <w:ind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2250676"/>
    </w:sdtPr>
    <w:sdtContent>
      <w:p>
        <w:pPr>
          <w:pStyle w:val="15"/>
          <w:ind w:firstLine="360"/>
          <w:jc w:val="center"/>
        </w:pPr>
        <w:r>
          <w:fldChar w:fldCharType="begin"/>
        </w:r>
        <w:r>
          <w:instrText xml:space="preserve">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8"/>
      </w:rPr>
      <w:id w:val="-717272381"/>
    </w:sdtPr>
    <w:sdtEndPr>
      <w:rPr>
        <w:rStyle w:val="28"/>
      </w:rPr>
    </w:sdtEndPr>
    <w:sdtContent>
      <w:p>
        <w:pPr>
          <w:pStyle w:val="15"/>
          <w:ind w:firstLine="420"/>
          <w:jc w:val="center"/>
          <w:rPr>
            <w:rStyle w:val="28"/>
          </w:rPr>
        </w:pPr>
        <w:r>
          <w:rPr>
            <w:rStyle w:val="28"/>
          </w:rPr>
          <w:fldChar w:fldCharType="begin"/>
        </w:r>
        <w:r>
          <w:rPr>
            <w:rStyle w:val="28"/>
          </w:rPr>
          <w:instrText xml:space="preserve">PAGE   \* MERGEFORMAT</w:instrText>
        </w:r>
        <w:r>
          <w:rPr>
            <w:rStyle w:val="28"/>
          </w:rPr>
          <w:fldChar w:fldCharType="separate"/>
        </w:r>
        <w:r>
          <w:rPr>
            <w:rStyle w:val="28"/>
            <w:rFonts w:eastAsia="仿宋GB2312"/>
            <w:lang w:val="zh-CN"/>
          </w:rPr>
          <w:t>6</w:t>
        </w:r>
        <w:r>
          <w:rPr>
            <w:rStyle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18"/>
    <w:multiLevelType w:val="multilevel"/>
    <w:tmpl w:val="00B00518"/>
    <w:lvl w:ilvl="0" w:tentative="0">
      <w:start w:val="1"/>
      <w:numFmt w:val="chineseCountingThousand"/>
      <w:lvlText w:val="第%1章"/>
      <w:lvlJc w:val="left"/>
      <w:pPr>
        <w:ind w:left="3255" w:hanging="420"/>
      </w:pPr>
      <w:rPr>
        <w:rFonts w:hint="eastAsia"/>
      </w:rPr>
    </w:lvl>
    <w:lvl w:ilvl="1" w:tentative="0">
      <w:start w:val="1"/>
      <w:numFmt w:val="japaneseCounting"/>
      <w:lvlText w:val="第%2节"/>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C723403"/>
    <w:multiLevelType w:val="multilevel"/>
    <w:tmpl w:val="0C723403"/>
    <w:lvl w:ilvl="0" w:tentative="0">
      <w:start w:val="1"/>
      <w:numFmt w:val="chineseCountingThousand"/>
      <w:lvlText w:val="第%1章"/>
      <w:lvlJc w:val="left"/>
      <w:pPr>
        <w:ind w:left="3255" w:hanging="420"/>
      </w:pPr>
      <w:rPr>
        <w:rFonts w:hint="eastAsia"/>
      </w:rPr>
    </w:lvl>
    <w:lvl w:ilvl="1" w:tentative="0">
      <w:start w:val="1"/>
      <w:numFmt w:val="chineseCountingThousand"/>
      <w:pStyle w:val="48"/>
      <w:lvlText w:val="第%2节"/>
      <w:lvlJc w:val="center"/>
      <w:pPr>
        <w:ind w:left="0" w:firstLine="0"/>
      </w:pPr>
      <w:rPr>
        <w:rFonts w:hint="eastAsia" w:ascii="方正黑体简体" w:hAnsi="方正黑体简体" w:eastAsia="方正黑体简体" w:cs="方正黑体简体"/>
        <w:sz w:val="32"/>
        <w:szCs w:val="32"/>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24763E0"/>
    <w:multiLevelType w:val="multilevel"/>
    <w:tmpl w:val="124763E0"/>
    <w:lvl w:ilvl="0" w:tentative="0">
      <w:start w:val="1"/>
      <w:numFmt w:val="decimal"/>
      <w:pStyle w:val="4"/>
      <w:lvlText w:val="第%1条"/>
      <w:lvlJc w:val="left"/>
      <w:pPr>
        <w:ind w:left="420" w:hanging="420"/>
      </w:pPr>
      <w:rPr>
        <w:rFonts w:hint="eastAsia"/>
        <w:b w:val="0"/>
        <w:bCs w:val="0"/>
        <w:i w:val="0"/>
        <w:iCs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DC2165"/>
    <w:multiLevelType w:val="multilevel"/>
    <w:tmpl w:val="34DC2165"/>
    <w:lvl w:ilvl="0" w:tentative="0">
      <w:start w:val="1"/>
      <w:numFmt w:val="chineseCountingThousand"/>
      <w:pStyle w:val="2"/>
      <w:lvlText w:val="第%1章"/>
      <w:lvlJc w:val="center"/>
      <w:pPr>
        <w:ind w:left="0" w:firstLine="284"/>
      </w:pPr>
      <w:rPr>
        <w:rFonts w:hint="eastAsia"/>
      </w:rPr>
    </w:lvl>
    <w:lvl w:ilvl="1" w:tentative="0">
      <w:start w:val="1"/>
      <w:numFmt w:val="chineseCountingThousand"/>
      <w:lvlText w:val="第%2节"/>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4364A4C"/>
    <w:multiLevelType w:val="multilevel"/>
    <w:tmpl w:val="64364A4C"/>
    <w:lvl w:ilvl="0" w:tentative="0">
      <w:start w:val="1"/>
      <w:numFmt w:val="decimal"/>
      <w:pStyle w:val="45"/>
      <w:lvlText w:val="第%1条"/>
      <w:lvlJc w:val="left"/>
      <w:pPr>
        <w:ind w:left="2921" w:hanging="1077"/>
      </w:pPr>
      <w:rPr>
        <w:rFonts w:hint="default" w:ascii="方正楷体简体" w:hAnsi="方正楷体简体" w:eastAsia="方正楷体简体" w:cs="方正楷体简体"/>
        <w:b/>
        <w:bCs/>
        <w:i w:val="0"/>
        <w:iCs w:val="0"/>
        <w:caps w:val="0"/>
        <w:smallCaps w:val="0"/>
        <w:strike w:val="0"/>
        <w:dstrike w:val="0"/>
        <w:vanish w:val="0"/>
        <w:color w:val="000000"/>
        <w:spacing w:val="0"/>
        <w:kern w:val="0"/>
        <w:position w:val="0"/>
        <w:sz w:val="32"/>
        <w:szCs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
      <w:lvlJc w:val="left"/>
      <w:pPr>
        <w:ind w:left="0" w:firstLine="641"/>
      </w:pPr>
      <w:rPr>
        <w:rFonts w:hint="default" w:eastAsia="宋体" w:asciiTheme="minorHAnsi" w:hAnsiTheme="minorHAnsi"/>
        <w:b w:val="0"/>
        <w:i w:val="0"/>
        <w:sz w:val="32"/>
        <w:u w:val="none"/>
      </w:rPr>
    </w:lvl>
    <w:lvl w:ilvl="2" w:tentative="0">
      <w:start w:val="1"/>
      <w:numFmt w:val="lowerRoman"/>
      <w:lvlText w:val="%3."/>
      <w:lvlJc w:val="right"/>
      <w:pPr>
        <w:ind w:left="2359" w:hanging="1077"/>
      </w:pPr>
      <w:rPr>
        <w:rFonts w:hint="eastAsia"/>
      </w:rPr>
    </w:lvl>
    <w:lvl w:ilvl="3" w:tentative="0">
      <w:start w:val="1"/>
      <w:numFmt w:val="decimal"/>
      <w:lvlText w:val="%4."/>
      <w:lvlJc w:val="left"/>
      <w:pPr>
        <w:ind w:left="3000" w:hanging="1077"/>
      </w:pPr>
      <w:rPr>
        <w:rFonts w:hint="eastAsia"/>
      </w:rPr>
    </w:lvl>
    <w:lvl w:ilvl="4" w:tentative="0">
      <w:start w:val="1"/>
      <w:numFmt w:val="lowerLetter"/>
      <w:lvlText w:val="%5)"/>
      <w:lvlJc w:val="left"/>
      <w:pPr>
        <w:ind w:left="3641" w:hanging="1077"/>
      </w:pPr>
      <w:rPr>
        <w:rFonts w:hint="eastAsia"/>
      </w:rPr>
    </w:lvl>
    <w:lvl w:ilvl="5" w:tentative="0">
      <w:start w:val="1"/>
      <w:numFmt w:val="lowerRoman"/>
      <w:lvlText w:val="%6."/>
      <w:lvlJc w:val="right"/>
      <w:pPr>
        <w:ind w:left="4282" w:hanging="1077"/>
      </w:pPr>
      <w:rPr>
        <w:rFonts w:hint="eastAsia"/>
      </w:rPr>
    </w:lvl>
    <w:lvl w:ilvl="6" w:tentative="0">
      <w:start w:val="1"/>
      <w:numFmt w:val="decimal"/>
      <w:lvlText w:val="%7."/>
      <w:lvlJc w:val="left"/>
      <w:pPr>
        <w:ind w:left="4923" w:hanging="1077"/>
      </w:pPr>
      <w:rPr>
        <w:rFonts w:hint="eastAsia"/>
      </w:rPr>
    </w:lvl>
    <w:lvl w:ilvl="7" w:tentative="0">
      <w:start w:val="1"/>
      <w:numFmt w:val="lowerLetter"/>
      <w:lvlText w:val="%8)"/>
      <w:lvlJc w:val="left"/>
      <w:pPr>
        <w:ind w:left="5564" w:hanging="1077"/>
      </w:pPr>
      <w:rPr>
        <w:rFonts w:hint="eastAsia"/>
      </w:rPr>
    </w:lvl>
    <w:lvl w:ilvl="8" w:tentative="0">
      <w:start w:val="1"/>
      <w:numFmt w:val="lowerRoman"/>
      <w:lvlText w:val="%9."/>
      <w:lvlJc w:val="right"/>
      <w:pPr>
        <w:ind w:left="6205" w:hanging="1077"/>
      </w:pPr>
      <w:rPr>
        <w:rFonts w:hint="eastAsia"/>
      </w:rPr>
    </w:lvl>
  </w:abstractNum>
  <w:abstractNum w:abstractNumId="5">
    <w:nsid w:val="734F5CBE"/>
    <w:multiLevelType w:val="multilevel"/>
    <w:tmpl w:val="734F5CBE"/>
    <w:lvl w:ilvl="0" w:tentative="0">
      <w:start w:val="1"/>
      <w:numFmt w:val="chineseCountingThousand"/>
      <w:pStyle w:val="3"/>
      <w:lvlText w:val="第%1节"/>
      <w:lvlJc w:val="left"/>
      <w:pPr>
        <w:ind w:left="0" w:firstLine="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tentative="1">
        <w:start w:val="1"/>
        <w:numFmt w:val="decimal"/>
        <w:lvlText w:val="第%1条"/>
        <w:lvlJc w:val="left"/>
        <w:pPr>
          <w:ind w:left="2921" w:hanging="1077"/>
        </w:pPr>
        <w:rPr>
          <w:rFonts w:hint="eastAsia" w:ascii="微软雅黑" w:hAnsi="微软雅黑" w:eastAsia="微软雅黑"/>
          <w:b w:val="0"/>
          <w:i w:val="0"/>
          <w:sz w:val="32"/>
        </w:rPr>
      </w:lvl>
    </w:lvlOverride>
    <w:lvlOverride w:ilvl="1">
      <w:lvl w:ilvl="1" w:tentative="1">
        <w:start w:val="1"/>
        <w:numFmt w:val="decimal"/>
        <w:lvlText w:val="%2."/>
        <w:lvlJc w:val="left"/>
        <w:pPr>
          <w:ind w:left="-1" w:firstLine="641"/>
        </w:pPr>
        <w:rPr>
          <w:rFonts w:hint="default" w:ascii="Times New Roman" w:hAnsi="Times New Roman" w:eastAsia="宋体" w:cs="Times New Roman"/>
          <w:b w:val="0"/>
          <w:i w:val="0"/>
          <w:sz w:val="32"/>
          <w:u w:val="none"/>
        </w:rPr>
      </w:lvl>
    </w:lvlOverride>
    <w:lvlOverride w:ilvl="2">
      <w:lvl w:ilvl="2" w:tentative="1">
        <w:start w:val="1"/>
        <w:numFmt w:val="lowerRoman"/>
        <w:lvlText w:val="%3."/>
        <w:lvlJc w:val="right"/>
        <w:pPr>
          <w:ind w:left="2359" w:hanging="1077"/>
        </w:pPr>
        <w:rPr>
          <w:rFonts w:hint="eastAsia"/>
        </w:rPr>
      </w:lvl>
    </w:lvlOverride>
    <w:lvlOverride w:ilvl="3">
      <w:lvl w:ilvl="3" w:tentative="1">
        <w:start w:val="1"/>
        <w:numFmt w:val="decimal"/>
        <w:lvlText w:val="%4."/>
        <w:lvlJc w:val="left"/>
        <w:pPr>
          <w:ind w:left="3000" w:hanging="1077"/>
        </w:pPr>
        <w:rPr>
          <w:rFonts w:hint="eastAsia"/>
        </w:rPr>
      </w:lvl>
    </w:lvlOverride>
    <w:lvlOverride w:ilvl="4">
      <w:lvl w:ilvl="4" w:tentative="1">
        <w:start w:val="1"/>
        <w:numFmt w:val="lowerLetter"/>
        <w:lvlText w:val="%5)"/>
        <w:lvlJc w:val="left"/>
        <w:pPr>
          <w:ind w:left="3641" w:hanging="1077"/>
        </w:pPr>
        <w:rPr>
          <w:rFonts w:hint="eastAsia"/>
        </w:rPr>
      </w:lvl>
    </w:lvlOverride>
    <w:lvlOverride w:ilvl="5">
      <w:lvl w:ilvl="5" w:tentative="1">
        <w:start w:val="1"/>
        <w:numFmt w:val="lowerRoman"/>
        <w:lvlText w:val="%6."/>
        <w:lvlJc w:val="right"/>
        <w:pPr>
          <w:ind w:left="4282" w:hanging="1077"/>
        </w:pPr>
        <w:rPr>
          <w:rFonts w:hint="eastAsia"/>
        </w:rPr>
      </w:lvl>
    </w:lvlOverride>
    <w:lvlOverride w:ilvl="6">
      <w:lvl w:ilvl="6" w:tentative="1">
        <w:start w:val="1"/>
        <w:numFmt w:val="decimal"/>
        <w:lvlText w:val="%7."/>
        <w:lvlJc w:val="left"/>
        <w:pPr>
          <w:ind w:left="4923" w:hanging="1077"/>
        </w:pPr>
        <w:rPr>
          <w:rFonts w:hint="eastAsia"/>
        </w:rPr>
      </w:lvl>
    </w:lvlOverride>
    <w:lvlOverride w:ilvl="7">
      <w:lvl w:ilvl="7" w:tentative="1">
        <w:start w:val="1"/>
        <w:numFmt w:val="lowerLetter"/>
        <w:lvlText w:val="%8)"/>
        <w:lvlJc w:val="left"/>
        <w:pPr>
          <w:ind w:left="5564" w:hanging="1077"/>
        </w:pPr>
        <w:rPr>
          <w:rFonts w:hint="eastAsia"/>
        </w:rPr>
      </w:lvl>
    </w:lvlOverride>
    <w:lvlOverride w:ilvl="8">
      <w:lvl w:ilvl="8" w:tentative="1">
        <w:start w:val="1"/>
        <w:numFmt w:val="lowerRoman"/>
        <w:lvlText w:val="%9."/>
        <w:lvlJc w:val="right"/>
        <w:pPr>
          <w:ind w:left="6205" w:hanging="1077"/>
        </w:pPr>
        <w:rPr>
          <w:rFonts w:hint="eastAsia"/>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yMTQ2OGJmYmUzMGI4MDRmMjU5ZTNmOGY2NGI4MzUifQ=="/>
    <w:docVar w:name="KSO_WPS_MARK_KEY" w:val="e6709c10-84bb-40a2-b84e-894b8c08e0e8"/>
  </w:docVars>
  <w:rsids>
    <w:rsidRoot w:val="001A2EF9"/>
    <w:rsid w:val="000006CB"/>
    <w:rsid w:val="0000116C"/>
    <w:rsid w:val="000011E3"/>
    <w:rsid w:val="000012FE"/>
    <w:rsid w:val="000015F5"/>
    <w:rsid w:val="000016A2"/>
    <w:rsid w:val="000019E5"/>
    <w:rsid w:val="00001EAB"/>
    <w:rsid w:val="00002064"/>
    <w:rsid w:val="000020F1"/>
    <w:rsid w:val="00002A03"/>
    <w:rsid w:val="000030A9"/>
    <w:rsid w:val="00003343"/>
    <w:rsid w:val="00003665"/>
    <w:rsid w:val="0000376A"/>
    <w:rsid w:val="00003A22"/>
    <w:rsid w:val="00003BE4"/>
    <w:rsid w:val="00003D64"/>
    <w:rsid w:val="0000439A"/>
    <w:rsid w:val="000049D6"/>
    <w:rsid w:val="00004A72"/>
    <w:rsid w:val="000051DF"/>
    <w:rsid w:val="0000545E"/>
    <w:rsid w:val="000060DA"/>
    <w:rsid w:val="00006303"/>
    <w:rsid w:val="000066A9"/>
    <w:rsid w:val="00006B72"/>
    <w:rsid w:val="00006DD9"/>
    <w:rsid w:val="0000770A"/>
    <w:rsid w:val="00007AA2"/>
    <w:rsid w:val="00007B79"/>
    <w:rsid w:val="00007E32"/>
    <w:rsid w:val="00010013"/>
    <w:rsid w:val="00010949"/>
    <w:rsid w:val="00010C8A"/>
    <w:rsid w:val="00011578"/>
    <w:rsid w:val="0001165C"/>
    <w:rsid w:val="000117F7"/>
    <w:rsid w:val="00011D96"/>
    <w:rsid w:val="00012C29"/>
    <w:rsid w:val="00012EFF"/>
    <w:rsid w:val="00013109"/>
    <w:rsid w:val="000136EE"/>
    <w:rsid w:val="00013FA4"/>
    <w:rsid w:val="0001462C"/>
    <w:rsid w:val="00014A96"/>
    <w:rsid w:val="00014CDC"/>
    <w:rsid w:val="00014D04"/>
    <w:rsid w:val="00015847"/>
    <w:rsid w:val="00015A16"/>
    <w:rsid w:val="00015A1D"/>
    <w:rsid w:val="00015C9D"/>
    <w:rsid w:val="00016DEB"/>
    <w:rsid w:val="00016E2C"/>
    <w:rsid w:val="000173F2"/>
    <w:rsid w:val="00017451"/>
    <w:rsid w:val="00017DCB"/>
    <w:rsid w:val="00017DCE"/>
    <w:rsid w:val="00020552"/>
    <w:rsid w:val="00020B3C"/>
    <w:rsid w:val="00020F4E"/>
    <w:rsid w:val="00021026"/>
    <w:rsid w:val="0002190F"/>
    <w:rsid w:val="00021B4E"/>
    <w:rsid w:val="00022497"/>
    <w:rsid w:val="00022548"/>
    <w:rsid w:val="000231E7"/>
    <w:rsid w:val="000234EA"/>
    <w:rsid w:val="00023973"/>
    <w:rsid w:val="00024296"/>
    <w:rsid w:val="00024890"/>
    <w:rsid w:val="00024F33"/>
    <w:rsid w:val="000258D9"/>
    <w:rsid w:val="00025A66"/>
    <w:rsid w:val="00025B22"/>
    <w:rsid w:val="00025FA2"/>
    <w:rsid w:val="000265F0"/>
    <w:rsid w:val="0002713E"/>
    <w:rsid w:val="0002718C"/>
    <w:rsid w:val="000275F6"/>
    <w:rsid w:val="00027CD0"/>
    <w:rsid w:val="00027D8C"/>
    <w:rsid w:val="000306E4"/>
    <w:rsid w:val="00030C44"/>
    <w:rsid w:val="00031790"/>
    <w:rsid w:val="000319EC"/>
    <w:rsid w:val="00031CB5"/>
    <w:rsid w:val="00031F90"/>
    <w:rsid w:val="00031FAB"/>
    <w:rsid w:val="00032000"/>
    <w:rsid w:val="0003201F"/>
    <w:rsid w:val="00032AF7"/>
    <w:rsid w:val="00032B5B"/>
    <w:rsid w:val="00032E3D"/>
    <w:rsid w:val="00032F0C"/>
    <w:rsid w:val="00032FC5"/>
    <w:rsid w:val="00033059"/>
    <w:rsid w:val="00033815"/>
    <w:rsid w:val="00033830"/>
    <w:rsid w:val="000338E8"/>
    <w:rsid w:val="000345D7"/>
    <w:rsid w:val="00035089"/>
    <w:rsid w:val="000350F3"/>
    <w:rsid w:val="0003550E"/>
    <w:rsid w:val="00035647"/>
    <w:rsid w:val="00035CE6"/>
    <w:rsid w:val="00036126"/>
    <w:rsid w:val="00036445"/>
    <w:rsid w:val="00036938"/>
    <w:rsid w:val="00036DBF"/>
    <w:rsid w:val="0003742D"/>
    <w:rsid w:val="00037447"/>
    <w:rsid w:val="00037520"/>
    <w:rsid w:val="000378C2"/>
    <w:rsid w:val="00037BE4"/>
    <w:rsid w:val="00037C62"/>
    <w:rsid w:val="00040115"/>
    <w:rsid w:val="00041B97"/>
    <w:rsid w:val="0004207E"/>
    <w:rsid w:val="000420A9"/>
    <w:rsid w:val="00042375"/>
    <w:rsid w:val="00042531"/>
    <w:rsid w:val="00042788"/>
    <w:rsid w:val="00042933"/>
    <w:rsid w:val="00042AC2"/>
    <w:rsid w:val="00042CCC"/>
    <w:rsid w:val="00043982"/>
    <w:rsid w:val="000440A2"/>
    <w:rsid w:val="000440D4"/>
    <w:rsid w:val="000440E9"/>
    <w:rsid w:val="000442E1"/>
    <w:rsid w:val="00044380"/>
    <w:rsid w:val="000444F8"/>
    <w:rsid w:val="0004458E"/>
    <w:rsid w:val="000453CD"/>
    <w:rsid w:val="000455A8"/>
    <w:rsid w:val="00045A05"/>
    <w:rsid w:val="00045A7E"/>
    <w:rsid w:val="00045F53"/>
    <w:rsid w:val="000464BD"/>
    <w:rsid w:val="0004678F"/>
    <w:rsid w:val="00046897"/>
    <w:rsid w:val="00046DC2"/>
    <w:rsid w:val="000479D1"/>
    <w:rsid w:val="00047F5E"/>
    <w:rsid w:val="0005013F"/>
    <w:rsid w:val="00050251"/>
    <w:rsid w:val="0005041E"/>
    <w:rsid w:val="000508AD"/>
    <w:rsid w:val="00051545"/>
    <w:rsid w:val="00051654"/>
    <w:rsid w:val="00051B2A"/>
    <w:rsid w:val="000523E6"/>
    <w:rsid w:val="0005280D"/>
    <w:rsid w:val="000531D4"/>
    <w:rsid w:val="0005347C"/>
    <w:rsid w:val="000538E9"/>
    <w:rsid w:val="00053AFE"/>
    <w:rsid w:val="000542A3"/>
    <w:rsid w:val="000543D2"/>
    <w:rsid w:val="00055171"/>
    <w:rsid w:val="000558BC"/>
    <w:rsid w:val="000566F2"/>
    <w:rsid w:val="00057289"/>
    <w:rsid w:val="000575DE"/>
    <w:rsid w:val="0006048C"/>
    <w:rsid w:val="00060A9F"/>
    <w:rsid w:val="0006123C"/>
    <w:rsid w:val="00061301"/>
    <w:rsid w:val="00061318"/>
    <w:rsid w:val="00061DAF"/>
    <w:rsid w:val="00061DD8"/>
    <w:rsid w:val="00061E31"/>
    <w:rsid w:val="00061E41"/>
    <w:rsid w:val="0006201C"/>
    <w:rsid w:val="0006258F"/>
    <w:rsid w:val="000626DA"/>
    <w:rsid w:val="0006298F"/>
    <w:rsid w:val="00062E58"/>
    <w:rsid w:val="00062F77"/>
    <w:rsid w:val="00063865"/>
    <w:rsid w:val="00064249"/>
    <w:rsid w:val="000642F7"/>
    <w:rsid w:val="00064F52"/>
    <w:rsid w:val="00065758"/>
    <w:rsid w:val="00065914"/>
    <w:rsid w:val="0006597A"/>
    <w:rsid w:val="00065F9D"/>
    <w:rsid w:val="000668E8"/>
    <w:rsid w:val="00066D48"/>
    <w:rsid w:val="00066ED4"/>
    <w:rsid w:val="00067A08"/>
    <w:rsid w:val="000700A6"/>
    <w:rsid w:val="00070E4F"/>
    <w:rsid w:val="000712CA"/>
    <w:rsid w:val="00071EBA"/>
    <w:rsid w:val="000725B7"/>
    <w:rsid w:val="000726B4"/>
    <w:rsid w:val="00072F3C"/>
    <w:rsid w:val="00073016"/>
    <w:rsid w:val="00073BB7"/>
    <w:rsid w:val="0007409C"/>
    <w:rsid w:val="00074195"/>
    <w:rsid w:val="0007428F"/>
    <w:rsid w:val="0007435C"/>
    <w:rsid w:val="00074490"/>
    <w:rsid w:val="000744D4"/>
    <w:rsid w:val="000748D0"/>
    <w:rsid w:val="000749C2"/>
    <w:rsid w:val="00074FC6"/>
    <w:rsid w:val="000751BF"/>
    <w:rsid w:val="00076032"/>
    <w:rsid w:val="00076747"/>
    <w:rsid w:val="00076868"/>
    <w:rsid w:val="00076AB1"/>
    <w:rsid w:val="00076DBD"/>
    <w:rsid w:val="00077032"/>
    <w:rsid w:val="000770F3"/>
    <w:rsid w:val="0008005E"/>
    <w:rsid w:val="00080139"/>
    <w:rsid w:val="000801BD"/>
    <w:rsid w:val="00080742"/>
    <w:rsid w:val="000807FF"/>
    <w:rsid w:val="00080A54"/>
    <w:rsid w:val="0008127A"/>
    <w:rsid w:val="00081764"/>
    <w:rsid w:val="00081B54"/>
    <w:rsid w:val="00081BD3"/>
    <w:rsid w:val="000821C1"/>
    <w:rsid w:val="00082783"/>
    <w:rsid w:val="00082966"/>
    <w:rsid w:val="00082A3C"/>
    <w:rsid w:val="00082A74"/>
    <w:rsid w:val="00082BD5"/>
    <w:rsid w:val="000830FD"/>
    <w:rsid w:val="00083532"/>
    <w:rsid w:val="000836E7"/>
    <w:rsid w:val="00083860"/>
    <w:rsid w:val="000838B3"/>
    <w:rsid w:val="000840A7"/>
    <w:rsid w:val="0008420B"/>
    <w:rsid w:val="00084634"/>
    <w:rsid w:val="00084CC0"/>
    <w:rsid w:val="00084EF4"/>
    <w:rsid w:val="00085091"/>
    <w:rsid w:val="00085508"/>
    <w:rsid w:val="00085727"/>
    <w:rsid w:val="0008580D"/>
    <w:rsid w:val="00085CF2"/>
    <w:rsid w:val="00086A96"/>
    <w:rsid w:val="00086B1A"/>
    <w:rsid w:val="00086CC1"/>
    <w:rsid w:val="00087817"/>
    <w:rsid w:val="00087A27"/>
    <w:rsid w:val="00087EE6"/>
    <w:rsid w:val="000905FA"/>
    <w:rsid w:val="00091452"/>
    <w:rsid w:val="00091927"/>
    <w:rsid w:val="00091BA1"/>
    <w:rsid w:val="000922C5"/>
    <w:rsid w:val="000923ED"/>
    <w:rsid w:val="0009265C"/>
    <w:rsid w:val="00092747"/>
    <w:rsid w:val="00092795"/>
    <w:rsid w:val="00092E36"/>
    <w:rsid w:val="0009320D"/>
    <w:rsid w:val="000941CC"/>
    <w:rsid w:val="0009436D"/>
    <w:rsid w:val="00094C5B"/>
    <w:rsid w:val="00094D73"/>
    <w:rsid w:val="00094E68"/>
    <w:rsid w:val="00094EDF"/>
    <w:rsid w:val="000952AA"/>
    <w:rsid w:val="000953DC"/>
    <w:rsid w:val="00095517"/>
    <w:rsid w:val="00095715"/>
    <w:rsid w:val="00095DD8"/>
    <w:rsid w:val="00095DD9"/>
    <w:rsid w:val="00096303"/>
    <w:rsid w:val="00096527"/>
    <w:rsid w:val="00096A39"/>
    <w:rsid w:val="00096A7F"/>
    <w:rsid w:val="00096ADC"/>
    <w:rsid w:val="00096CD5"/>
    <w:rsid w:val="00097054"/>
    <w:rsid w:val="000976E0"/>
    <w:rsid w:val="0009797F"/>
    <w:rsid w:val="00097C0F"/>
    <w:rsid w:val="00097C74"/>
    <w:rsid w:val="00097D25"/>
    <w:rsid w:val="00097DF8"/>
    <w:rsid w:val="00097E13"/>
    <w:rsid w:val="00097E37"/>
    <w:rsid w:val="00097E93"/>
    <w:rsid w:val="000A0577"/>
    <w:rsid w:val="000A06C4"/>
    <w:rsid w:val="000A07E4"/>
    <w:rsid w:val="000A09FC"/>
    <w:rsid w:val="000A0CCB"/>
    <w:rsid w:val="000A0F61"/>
    <w:rsid w:val="000A110A"/>
    <w:rsid w:val="000A1179"/>
    <w:rsid w:val="000A11CC"/>
    <w:rsid w:val="000A12CC"/>
    <w:rsid w:val="000A12F5"/>
    <w:rsid w:val="000A1538"/>
    <w:rsid w:val="000A1586"/>
    <w:rsid w:val="000A1705"/>
    <w:rsid w:val="000A1798"/>
    <w:rsid w:val="000A1809"/>
    <w:rsid w:val="000A1BE7"/>
    <w:rsid w:val="000A1E44"/>
    <w:rsid w:val="000A22D8"/>
    <w:rsid w:val="000A23D1"/>
    <w:rsid w:val="000A2A99"/>
    <w:rsid w:val="000A2D39"/>
    <w:rsid w:val="000A2D5A"/>
    <w:rsid w:val="000A3033"/>
    <w:rsid w:val="000A3232"/>
    <w:rsid w:val="000A38E4"/>
    <w:rsid w:val="000A458F"/>
    <w:rsid w:val="000A49E8"/>
    <w:rsid w:val="000A4ED6"/>
    <w:rsid w:val="000A50F4"/>
    <w:rsid w:val="000A51B7"/>
    <w:rsid w:val="000A5BEB"/>
    <w:rsid w:val="000A5F70"/>
    <w:rsid w:val="000A6040"/>
    <w:rsid w:val="000A616F"/>
    <w:rsid w:val="000A6985"/>
    <w:rsid w:val="000A6BC3"/>
    <w:rsid w:val="000A76E2"/>
    <w:rsid w:val="000B065D"/>
    <w:rsid w:val="000B115A"/>
    <w:rsid w:val="000B1751"/>
    <w:rsid w:val="000B1CC5"/>
    <w:rsid w:val="000B1FF5"/>
    <w:rsid w:val="000B2333"/>
    <w:rsid w:val="000B25F9"/>
    <w:rsid w:val="000B30F2"/>
    <w:rsid w:val="000B4313"/>
    <w:rsid w:val="000B4E4E"/>
    <w:rsid w:val="000B57CE"/>
    <w:rsid w:val="000B5F22"/>
    <w:rsid w:val="000B615F"/>
    <w:rsid w:val="000B618F"/>
    <w:rsid w:val="000B6546"/>
    <w:rsid w:val="000B6DF2"/>
    <w:rsid w:val="000B702E"/>
    <w:rsid w:val="000B7085"/>
    <w:rsid w:val="000B70DC"/>
    <w:rsid w:val="000B73C1"/>
    <w:rsid w:val="000B74CA"/>
    <w:rsid w:val="000B7C80"/>
    <w:rsid w:val="000C036B"/>
    <w:rsid w:val="000C0AE0"/>
    <w:rsid w:val="000C0B06"/>
    <w:rsid w:val="000C0FCF"/>
    <w:rsid w:val="000C102E"/>
    <w:rsid w:val="000C15F4"/>
    <w:rsid w:val="000C1B4E"/>
    <w:rsid w:val="000C20D4"/>
    <w:rsid w:val="000C2891"/>
    <w:rsid w:val="000C2A24"/>
    <w:rsid w:val="000C2A91"/>
    <w:rsid w:val="000C2B27"/>
    <w:rsid w:val="000C2B97"/>
    <w:rsid w:val="000C3EFA"/>
    <w:rsid w:val="000C448D"/>
    <w:rsid w:val="000C486C"/>
    <w:rsid w:val="000C4CEF"/>
    <w:rsid w:val="000C4F66"/>
    <w:rsid w:val="000C5532"/>
    <w:rsid w:val="000C5EE9"/>
    <w:rsid w:val="000C5F9D"/>
    <w:rsid w:val="000C6F41"/>
    <w:rsid w:val="000C78A1"/>
    <w:rsid w:val="000C7942"/>
    <w:rsid w:val="000C7AE7"/>
    <w:rsid w:val="000D00E0"/>
    <w:rsid w:val="000D09EE"/>
    <w:rsid w:val="000D09F0"/>
    <w:rsid w:val="000D0EA6"/>
    <w:rsid w:val="000D0FDF"/>
    <w:rsid w:val="000D12A1"/>
    <w:rsid w:val="000D1538"/>
    <w:rsid w:val="000D16B2"/>
    <w:rsid w:val="000D1F26"/>
    <w:rsid w:val="000D28DD"/>
    <w:rsid w:val="000D29EE"/>
    <w:rsid w:val="000D2D59"/>
    <w:rsid w:val="000D3345"/>
    <w:rsid w:val="000D33A1"/>
    <w:rsid w:val="000D3442"/>
    <w:rsid w:val="000D37BC"/>
    <w:rsid w:val="000D383A"/>
    <w:rsid w:val="000D3E93"/>
    <w:rsid w:val="000D3FBC"/>
    <w:rsid w:val="000D4EF0"/>
    <w:rsid w:val="000D5300"/>
    <w:rsid w:val="000D54E4"/>
    <w:rsid w:val="000D5677"/>
    <w:rsid w:val="000D6160"/>
    <w:rsid w:val="000D6214"/>
    <w:rsid w:val="000D6B3D"/>
    <w:rsid w:val="000D706E"/>
    <w:rsid w:val="000D74FC"/>
    <w:rsid w:val="000D7A1D"/>
    <w:rsid w:val="000E0141"/>
    <w:rsid w:val="000E02A0"/>
    <w:rsid w:val="000E0419"/>
    <w:rsid w:val="000E0595"/>
    <w:rsid w:val="000E0967"/>
    <w:rsid w:val="000E0EFF"/>
    <w:rsid w:val="000E1A1D"/>
    <w:rsid w:val="000E1B94"/>
    <w:rsid w:val="000E215E"/>
    <w:rsid w:val="000E259F"/>
    <w:rsid w:val="000E2648"/>
    <w:rsid w:val="000E2A72"/>
    <w:rsid w:val="000E2C4B"/>
    <w:rsid w:val="000E30CC"/>
    <w:rsid w:val="000E31AF"/>
    <w:rsid w:val="000E3488"/>
    <w:rsid w:val="000E3A3F"/>
    <w:rsid w:val="000E44E7"/>
    <w:rsid w:val="000E47C2"/>
    <w:rsid w:val="000E49CF"/>
    <w:rsid w:val="000E4CEB"/>
    <w:rsid w:val="000E4EA3"/>
    <w:rsid w:val="000E4F92"/>
    <w:rsid w:val="000E621B"/>
    <w:rsid w:val="000E62D1"/>
    <w:rsid w:val="000E6576"/>
    <w:rsid w:val="000E6637"/>
    <w:rsid w:val="000E66A8"/>
    <w:rsid w:val="000E77FF"/>
    <w:rsid w:val="000F0164"/>
    <w:rsid w:val="000F0215"/>
    <w:rsid w:val="000F0DDD"/>
    <w:rsid w:val="000F1424"/>
    <w:rsid w:val="000F1CAB"/>
    <w:rsid w:val="000F1DBE"/>
    <w:rsid w:val="000F21A3"/>
    <w:rsid w:val="000F243E"/>
    <w:rsid w:val="000F24DA"/>
    <w:rsid w:val="000F26BA"/>
    <w:rsid w:val="000F2DCD"/>
    <w:rsid w:val="000F317D"/>
    <w:rsid w:val="000F319B"/>
    <w:rsid w:val="000F35A3"/>
    <w:rsid w:val="000F3970"/>
    <w:rsid w:val="000F3C72"/>
    <w:rsid w:val="000F3D38"/>
    <w:rsid w:val="000F4189"/>
    <w:rsid w:val="000F46C8"/>
    <w:rsid w:val="000F486D"/>
    <w:rsid w:val="000F4A49"/>
    <w:rsid w:val="000F5120"/>
    <w:rsid w:val="000F5646"/>
    <w:rsid w:val="000F5911"/>
    <w:rsid w:val="000F5A9D"/>
    <w:rsid w:val="000F5E1D"/>
    <w:rsid w:val="000F6890"/>
    <w:rsid w:val="000F6A2E"/>
    <w:rsid w:val="000F6A86"/>
    <w:rsid w:val="000F7D15"/>
    <w:rsid w:val="00100CCB"/>
    <w:rsid w:val="001016FF"/>
    <w:rsid w:val="00101948"/>
    <w:rsid w:val="001027EF"/>
    <w:rsid w:val="00102B5C"/>
    <w:rsid w:val="00102D8F"/>
    <w:rsid w:val="00103243"/>
    <w:rsid w:val="0010399E"/>
    <w:rsid w:val="001039CA"/>
    <w:rsid w:val="00104B3C"/>
    <w:rsid w:val="00104F66"/>
    <w:rsid w:val="001051E4"/>
    <w:rsid w:val="0010575C"/>
    <w:rsid w:val="00105930"/>
    <w:rsid w:val="00105CE2"/>
    <w:rsid w:val="00106519"/>
    <w:rsid w:val="00106D6F"/>
    <w:rsid w:val="00106E58"/>
    <w:rsid w:val="00107116"/>
    <w:rsid w:val="001074AE"/>
    <w:rsid w:val="001074F9"/>
    <w:rsid w:val="001075D5"/>
    <w:rsid w:val="00110186"/>
    <w:rsid w:val="0011051A"/>
    <w:rsid w:val="0011070B"/>
    <w:rsid w:val="00110904"/>
    <w:rsid w:val="00110AC7"/>
    <w:rsid w:val="00110B85"/>
    <w:rsid w:val="00111366"/>
    <w:rsid w:val="001118BD"/>
    <w:rsid w:val="0011202F"/>
    <w:rsid w:val="00112601"/>
    <w:rsid w:val="001129A5"/>
    <w:rsid w:val="00112FAF"/>
    <w:rsid w:val="0011367D"/>
    <w:rsid w:val="00113BDF"/>
    <w:rsid w:val="00113F1A"/>
    <w:rsid w:val="00114274"/>
    <w:rsid w:val="001142CE"/>
    <w:rsid w:val="00114343"/>
    <w:rsid w:val="001146E8"/>
    <w:rsid w:val="00114B50"/>
    <w:rsid w:val="00114D9F"/>
    <w:rsid w:val="001154CE"/>
    <w:rsid w:val="00115567"/>
    <w:rsid w:val="00115664"/>
    <w:rsid w:val="00116D72"/>
    <w:rsid w:val="00116E5F"/>
    <w:rsid w:val="00117129"/>
    <w:rsid w:val="001171A5"/>
    <w:rsid w:val="00117CAA"/>
    <w:rsid w:val="0012050A"/>
    <w:rsid w:val="00120518"/>
    <w:rsid w:val="0012067D"/>
    <w:rsid w:val="00120A21"/>
    <w:rsid w:val="00120BD3"/>
    <w:rsid w:val="00120D69"/>
    <w:rsid w:val="001210B5"/>
    <w:rsid w:val="00121675"/>
    <w:rsid w:val="00121777"/>
    <w:rsid w:val="00121A28"/>
    <w:rsid w:val="00121A84"/>
    <w:rsid w:val="00121BE1"/>
    <w:rsid w:val="00121F4B"/>
    <w:rsid w:val="001221BD"/>
    <w:rsid w:val="00122397"/>
    <w:rsid w:val="00122986"/>
    <w:rsid w:val="001236DB"/>
    <w:rsid w:val="00123B85"/>
    <w:rsid w:val="00124675"/>
    <w:rsid w:val="00124CAD"/>
    <w:rsid w:val="00124CD9"/>
    <w:rsid w:val="00124D2F"/>
    <w:rsid w:val="00124FF5"/>
    <w:rsid w:val="00125062"/>
    <w:rsid w:val="00125286"/>
    <w:rsid w:val="001254C8"/>
    <w:rsid w:val="00125D54"/>
    <w:rsid w:val="00125FC2"/>
    <w:rsid w:val="001262A6"/>
    <w:rsid w:val="00126464"/>
    <w:rsid w:val="0012679E"/>
    <w:rsid w:val="00126A19"/>
    <w:rsid w:val="00126A48"/>
    <w:rsid w:val="00126CA8"/>
    <w:rsid w:val="0012714B"/>
    <w:rsid w:val="00127297"/>
    <w:rsid w:val="001273F6"/>
    <w:rsid w:val="001274D8"/>
    <w:rsid w:val="00127DC1"/>
    <w:rsid w:val="001301F9"/>
    <w:rsid w:val="001303F4"/>
    <w:rsid w:val="0013095D"/>
    <w:rsid w:val="00130D38"/>
    <w:rsid w:val="00130FA9"/>
    <w:rsid w:val="00131845"/>
    <w:rsid w:val="001327B7"/>
    <w:rsid w:val="00132B5E"/>
    <w:rsid w:val="0013306E"/>
    <w:rsid w:val="001330ED"/>
    <w:rsid w:val="001333E2"/>
    <w:rsid w:val="00133692"/>
    <w:rsid w:val="0013434E"/>
    <w:rsid w:val="00134A75"/>
    <w:rsid w:val="00134E9D"/>
    <w:rsid w:val="00135177"/>
    <w:rsid w:val="00135341"/>
    <w:rsid w:val="0013535A"/>
    <w:rsid w:val="001366A3"/>
    <w:rsid w:val="00136E08"/>
    <w:rsid w:val="00140183"/>
    <w:rsid w:val="001401B4"/>
    <w:rsid w:val="00140271"/>
    <w:rsid w:val="00141407"/>
    <w:rsid w:val="00141A25"/>
    <w:rsid w:val="00142650"/>
    <w:rsid w:val="001429CF"/>
    <w:rsid w:val="00142E08"/>
    <w:rsid w:val="0014330B"/>
    <w:rsid w:val="001434EC"/>
    <w:rsid w:val="00143588"/>
    <w:rsid w:val="00143EC9"/>
    <w:rsid w:val="00143EE8"/>
    <w:rsid w:val="00144983"/>
    <w:rsid w:val="001457DD"/>
    <w:rsid w:val="001458E7"/>
    <w:rsid w:val="00145D95"/>
    <w:rsid w:val="00146046"/>
    <w:rsid w:val="0014641F"/>
    <w:rsid w:val="0014643F"/>
    <w:rsid w:val="0014648F"/>
    <w:rsid w:val="00146514"/>
    <w:rsid w:val="00146721"/>
    <w:rsid w:val="00146770"/>
    <w:rsid w:val="001468E0"/>
    <w:rsid w:val="0014716D"/>
    <w:rsid w:val="001472F3"/>
    <w:rsid w:val="001473AD"/>
    <w:rsid w:val="001473ED"/>
    <w:rsid w:val="00147CC1"/>
    <w:rsid w:val="00147E8A"/>
    <w:rsid w:val="001508A5"/>
    <w:rsid w:val="00150983"/>
    <w:rsid w:val="00150A33"/>
    <w:rsid w:val="00150EDA"/>
    <w:rsid w:val="00150FDF"/>
    <w:rsid w:val="0015119C"/>
    <w:rsid w:val="001513B1"/>
    <w:rsid w:val="00151549"/>
    <w:rsid w:val="00151A49"/>
    <w:rsid w:val="00152137"/>
    <w:rsid w:val="00152224"/>
    <w:rsid w:val="001522A8"/>
    <w:rsid w:val="001528E1"/>
    <w:rsid w:val="00152CE5"/>
    <w:rsid w:val="001530A2"/>
    <w:rsid w:val="00153775"/>
    <w:rsid w:val="0015380C"/>
    <w:rsid w:val="00153C3D"/>
    <w:rsid w:val="00153CB2"/>
    <w:rsid w:val="00153DED"/>
    <w:rsid w:val="001540A3"/>
    <w:rsid w:val="001540CC"/>
    <w:rsid w:val="001542D4"/>
    <w:rsid w:val="0015437D"/>
    <w:rsid w:val="00154629"/>
    <w:rsid w:val="00154DF2"/>
    <w:rsid w:val="00154F90"/>
    <w:rsid w:val="00155014"/>
    <w:rsid w:val="001551B4"/>
    <w:rsid w:val="001555E3"/>
    <w:rsid w:val="001556D2"/>
    <w:rsid w:val="001558D9"/>
    <w:rsid w:val="001558FB"/>
    <w:rsid w:val="00155B5E"/>
    <w:rsid w:val="0015608B"/>
    <w:rsid w:val="00156589"/>
    <w:rsid w:val="0015684E"/>
    <w:rsid w:val="00157667"/>
    <w:rsid w:val="00157805"/>
    <w:rsid w:val="00157A54"/>
    <w:rsid w:val="00157DBF"/>
    <w:rsid w:val="00160115"/>
    <w:rsid w:val="00160C0F"/>
    <w:rsid w:val="00160C4E"/>
    <w:rsid w:val="00161218"/>
    <w:rsid w:val="00161D02"/>
    <w:rsid w:val="001622E9"/>
    <w:rsid w:val="001628C7"/>
    <w:rsid w:val="00162974"/>
    <w:rsid w:val="00162F8D"/>
    <w:rsid w:val="00163274"/>
    <w:rsid w:val="001635C5"/>
    <w:rsid w:val="001637CC"/>
    <w:rsid w:val="00163851"/>
    <w:rsid w:val="0016397B"/>
    <w:rsid w:val="001649DC"/>
    <w:rsid w:val="00164ACB"/>
    <w:rsid w:val="001650A4"/>
    <w:rsid w:val="001653E0"/>
    <w:rsid w:val="0016572B"/>
    <w:rsid w:val="001657AA"/>
    <w:rsid w:val="001659EE"/>
    <w:rsid w:val="00165A07"/>
    <w:rsid w:val="00165CB0"/>
    <w:rsid w:val="00165FCB"/>
    <w:rsid w:val="00166E5F"/>
    <w:rsid w:val="00166FA7"/>
    <w:rsid w:val="001674C5"/>
    <w:rsid w:val="0016759B"/>
    <w:rsid w:val="001700B6"/>
    <w:rsid w:val="00170B17"/>
    <w:rsid w:val="0017209D"/>
    <w:rsid w:val="001724EB"/>
    <w:rsid w:val="00172841"/>
    <w:rsid w:val="00172863"/>
    <w:rsid w:val="001732F9"/>
    <w:rsid w:val="001735CD"/>
    <w:rsid w:val="00173789"/>
    <w:rsid w:val="00173D59"/>
    <w:rsid w:val="0017422C"/>
    <w:rsid w:val="00174FEE"/>
    <w:rsid w:val="001759C0"/>
    <w:rsid w:val="0017605F"/>
    <w:rsid w:val="00176D7B"/>
    <w:rsid w:val="00177A42"/>
    <w:rsid w:val="00180357"/>
    <w:rsid w:val="0018088D"/>
    <w:rsid w:val="00180966"/>
    <w:rsid w:val="00181235"/>
    <w:rsid w:val="00182122"/>
    <w:rsid w:val="00182995"/>
    <w:rsid w:val="001829AA"/>
    <w:rsid w:val="00182A3D"/>
    <w:rsid w:val="00182DF2"/>
    <w:rsid w:val="00182FD8"/>
    <w:rsid w:val="00183397"/>
    <w:rsid w:val="0018386C"/>
    <w:rsid w:val="00183FCE"/>
    <w:rsid w:val="00184DA4"/>
    <w:rsid w:val="0018510E"/>
    <w:rsid w:val="0018566C"/>
    <w:rsid w:val="00185E29"/>
    <w:rsid w:val="00185EF6"/>
    <w:rsid w:val="00186682"/>
    <w:rsid w:val="00186E11"/>
    <w:rsid w:val="00190004"/>
    <w:rsid w:val="00190174"/>
    <w:rsid w:val="001906A8"/>
    <w:rsid w:val="00191948"/>
    <w:rsid w:val="00191BAD"/>
    <w:rsid w:val="00191D20"/>
    <w:rsid w:val="00191D7F"/>
    <w:rsid w:val="0019239B"/>
    <w:rsid w:val="00192A72"/>
    <w:rsid w:val="00192EF1"/>
    <w:rsid w:val="00193984"/>
    <w:rsid w:val="00194AD9"/>
    <w:rsid w:val="00194DCE"/>
    <w:rsid w:val="001952E8"/>
    <w:rsid w:val="001957CE"/>
    <w:rsid w:val="00195A78"/>
    <w:rsid w:val="001961FA"/>
    <w:rsid w:val="001962BA"/>
    <w:rsid w:val="001966ED"/>
    <w:rsid w:val="0019723F"/>
    <w:rsid w:val="001A034D"/>
    <w:rsid w:val="001A055E"/>
    <w:rsid w:val="001A0EEF"/>
    <w:rsid w:val="001A2234"/>
    <w:rsid w:val="001A29A1"/>
    <w:rsid w:val="001A2B6C"/>
    <w:rsid w:val="001A2BB4"/>
    <w:rsid w:val="001A2EF9"/>
    <w:rsid w:val="001A30DB"/>
    <w:rsid w:val="001A3436"/>
    <w:rsid w:val="001A39F9"/>
    <w:rsid w:val="001A3BDE"/>
    <w:rsid w:val="001A402B"/>
    <w:rsid w:val="001A417B"/>
    <w:rsid w:val="001A4230"/>
    <w:rsid w:val="001A439C"/>
    <w:rsid w:val="001A4501"/>
    <w:rsid w:val="001A4794"/>
    <w:rsid w:val="001A4D83"/>
    <w:rsid w:val="001A559A"/>
    <w:rsid w:val="001A78C4"/>
    <w:rsid w:val="001A7C7A"/>
    <w:rsid w:val="001B08DC"/>
    <w:rsid w:val="001B0A23"/>
    <w:rsid w:val="001B1593"/>
    <w:rsid w:val="001B19C3"/>
    <w:rsid w:val="001B2ACE"/>
    <w:rsid w:val="001B354D"/>
    <w:rsid w:val="001B4213"/>
    <w:rsid w:val="001B49A1"/>
    <w:rsid w:val="001B4D1B"/>
    <w:rsid w:val="001B4DF0"/>
    <w:rsid w:val="001B4ED9"/>
    <w:rsid w:val="001B55FA"/>
    <w:rsid w:val="001B5A5B"/>
    <w:rsid w:val="001B5B86"/>
    <w:rsid w:val="001B69B8"/>
    <w:rsid w:val="001B7100"/>
    <w:rsid w:val="001B71AB"/>
    <w:rsid w:val="001B7416"/>
    <w:rsid w:val="001B788E"/>
    <w:rsid w:val="001B7EB2"/>
    <w:rsid w:val="001B7FDC"/>
    <w:rsid w:val="001C01B9"/>
    <w:rsid w:val="001C033F"/>
    <w:rsid w:val="001C0D36"/>
    <w:rsid w:val="001C0E8E"/>
    <w:rsid w:val="001C12C3"/>
    <w:rsid w:val="001C1494"/>
    <w:rsid w:val="001C1634"/>
    <w:rsid w:val="001C1847"/>
    <w:rsid w:val="001C19E3"/>
    <w:rsid w:val="001C1E68"/>
    <w:rsid w:val="001C2613"/>
    <w:rsid w:val="001C275E"/>
    <w:rsid w:val="001C2E22"/>
    <w:rsid w:val="001C301D"/>
    <w:rsid w:val="001C30EF"/>
    <w:rsid w:val="001C3351"/>
    <w:rsid w:val="001C3365"/>
    <w:rsid w:val="001C370A"/>
    <w:rsid w:val="001C44D5"/>
    <w:rsid w:val="001C46A8"/>
    <w:rsid w:val="001C49E4"/>
    <w:rsid w:val="001C5155"/>
    <w:rsid w:val="001C529B"/>
    <w:rsid w:val="001C5566"/>
    <w:rsid w:val="001C5C3D"/>
    <w:rsid w:val="001C61FF"/>
    <w:rsid w:val="001C6248"/>
    <w:rsid w:val="001C6B3A"/>
    <w:rsid w:val="001C6C61"/>
    <w:rsid w:val="001C6F4F"/>
    <w:rsid w:val="001C6FC4"/>
    <w:rsid w:val="001C74DB"/>
    <w:rsid w:val="001C76E7"/>
    <w:rsid w:val="001C7B72"/>
    <w:rsid w:val="001C7CBC"/>
    <w:rsid w:val="001D09DC"/>
    <w:rsid w:val="001D1C9E"/>
    <w:rsid w:val="001D2026"/>
    <w:rsid w:val="001D3508"/>
    <w:rsid w:val="001D3A6A"/>
    <w:rsid w:val="001D3C22"/>
    <w:rsid w:val="001D3C5B"/>
    <w:rsid w:val="001D4337"/>
    <w:rsid w:val="001D45B1"/>
    <w:rsid w:val="001D4E5F"/>
    <w:rsid w:val="001D5133"/>
    <w:rsid w:val="001D5397"/>
    <w:rsid w:val="001D5832"/>
    <w:rsid w:val="001D58EC"/>
    <w:rsid w:val="001D65EF"/>
    <w:rsid w:val="001D79AE"/>
    <w:rsid w:val="001D7BF0"/>
    <w:rsid w:val="001E0C0F"/>
    <w:rsid w:val="001E0EB6"/>
    <w:rsid w:val="001E1174"/>
    <w:rsid w:val="001E1339"/>
    <w:rsid w:val="001E191F"/>
    <w:rsid w:val="001E1B42"/>
    <w:rsid w:val="001E1FE5"/>
    <w:rsid w:val="001E2966"/>
    <w:rsid w:val="001E2AA4"/>
    <w:rsid w:val="001E327E"/>
    <w:rsid w:val="001E37B5"/>
    <w:rsid w:val="001E3857"/>
    <w:rsid w:val="001E3C56"/>
    <w:rsid w:val="001E3F74"/>
    <w:rsid w:val="001E3FCC"/>
    <w:rsid w:val="001E487A"/>
    <w:rsid w:val="001E48AB"/>
    <w:rsid w:val="001E4B7E"/>
    <w:rsid w:val="001E4DC1"/>
    <w:rsid w:val="001E53E0"/>
    <w:rsid w:val="001E6C18"/>
    <w:rsid w:val="001E6DC3"/>
    <w:rsid w:val="001E748C"/>
    <w:rsid w:val="001E74C5"/>
    <w:rsid w:val="001E7616"/>
    <w:rsid w:val="001E7863"/>
    <w:rsid w:val="001E7B28"/>
    <w:rsid w:val="001E7B46"/>
    <w:rsid w:val="001E7C03"/>
    <w:rsid w:val="001E7C4E"/>
    <w:rsid w:val="001F094A"/>
    <w:rsid w:val="001F0CA1"/>
    <w:rsid w:val="001F14EC"/>
    <w:rsid w:val="001F21EB"/>
    <w:rsid w:val="001F29DE"/>
    <w:rsid w:val="001F3033"/>
    <w:rsid w:val="001F3310"/>
    <w:rsid w:val="001F3B02"/>
    <w:rsid w:val="001F3D07"/>
    <w:rsid w:val="001F44B3"/>
    <w:rsid w:val="001F48A4"/>
    <w:rsid w:val="001F49F5"/>
    <w:rsid w:val="001F4D36"/>
    <w:rsid w:val="001F4EE3"/>
    <w:rsid w:val="001F563F"/>
    <w:rsid w:val="001F58C9"/>
    <w:rsid w:val="001F60E0"/>
    <w:rsid w:val="001F62DC"/>
    <w:rsid w:val="001F632F"/>
    <w:rsid w:val="001F65B8"/>
    <w:rsid w:val="001F6611"/>
    <w:rsid w:val="001F689B"/>
    <w:rsid w:val="001F7A30"/>
    <w:rsid w:val="001F7FB2"/>
    <w:rsid w:val="0020020F"/>
    <w:rsid w:val="00200F78"/>
    <w:rsid w:val="0020151C"/>
    <w:rsid w:val="002016B2"/>
    <w:rsid w:val="00202C44"/>
    <w:rsid w:val="00203048"/>
    <w:rsid w:val="0020346D"/>
    <w:rsid w:val="00203989"/>
    <w:rsid w:val="0020399E"/>
    <w:rsid w:val="00203B49"/>
    <w:rsid w:val="00204968"/>
    <w:rsid w:val="00204D19"/>
    <w:rsid w:val="00205AFB"/>
    <w:rsid w:val="00205F42"/>
    <w:rsid w:val="0020631D"/>
    <w:rsid w:val="00206332"/>
    <w:rsid w:val="00206CDA"/>
    <w:rsid w:val="002077EA"/>
    <w:rsid w:val="00207D4B"/>
    <w:rsid w:val="00207E1B"/>
    <w:rsid w:val="002104DA"/>
    <w:rsid w:val="002116A5"/>
    <w:rsid w:val="00211B0B"/>
    <w:rsid w:val="00211C1B"/>
    <w:rsid w:val="00211F8D"/>
    <w:rsid w:val="00211FA6"/>
    <w:rsid w:val="002121AA"/>
    <w:rsid w:val="002123AF"/>
    <w:rsid w:val="002124A6"/>
    <w:rsid w:val="00212905"/>
    <w:rsid w:val="002131C7"/>
    <w:rsid w:val="00213880"/>
    <w:rsid w:val="002139C5"/>
    <w:rsid w:val="002141E4"/>
    <w:rsid w:val="002141FE"/>
    <w:rsid w:val="0021479D"/>
    <w:rsid w:val="00214941"/>
    <w:rsid w:val="00214E3C"/>
    <w:rsid w:val="0021593D"/>
    <w:rsid w:val="00216002"/>
    <w:rsid w:val="00216181"/>
    <w:rsid w:val="00216212"/>
    <w:rsid w:val="00216547"/>
    <w:rsid w:val="00216938"/>
    <w:rsid w:val="00216B35"/>
    <w:rsid w:val="0021700B"/>
    <w:rsid w:val="0021716E"/>
    <w:rsid w:val="002172E7"/>
    <w:rsid w:val="00220027"/>
    <w:rsid w:val="002200A6"/>
    <w:rsid w:val="00220559"/>
    <w:rsid w:val="00220581"/>
    <w:rsid w:val="0022098F"/>
    <w:rsid w:val="00220991"/>
    <w:rsid w:val="0022150D"/>
    <w:rsid w:val="002216CA"/>
    <w:rsid w:val="00221736"/>
    <w:rsid w:val="00221B11"/>
    <w:rsid w:val="00221B23"/>
    <w:rsid w:val="00221D1B"/>
    <w:rsid w:val="00221DA1"/>
    <w:rsid w:val="00222051"/>
    <w:rsid w:val="002224AF"/>
    <w:rsid w:val="002226A9"/>
    <w:rsid w:val="002229B1"/>
    <w:rsid w:val="00222A09"/>
    <w:rsid w:val="002234AC"/>
    <w:rsid w:val="00223AC6"/>
    <w:rsid w:val="002241C1"/>
    <w:rsid w:val="00224313"/>
    <w:rsid w:val="00224588"/>
    <w:rsid w:val="00224E03"/>
    <w:rsid w:val="002251B9"/>
    <w:rsid w:val="0022530D"/>
    <w:rsid w:val="0022535A"/>
    <w:rsid w:val="0022604C"/>
    <w:rsid w:val="0022638F"/>
    <w:rsid w:val="002264EB"/>
    <w:rsid w:val="00226517"/>
    <w:rsid w:val="002271A2"/>
    <w:rsid w:val="00227621"/>
    <w:rsid w:val="00227EF9"/>
    <w:rsid w:val="00227F91"/>
    <w:rsid w:val="002300D5"/>
    <w:rsid w:val="00230FF1"/>
    <w:rsid w:val="0023182A"/>
    <w:rsid w:val="00231C65"/>
    <w:rsid w:val="0023224E"/>
    <w:rsid w:val="00232BA2"/>
    <w:rsid w:val="00233496"/>
    <w:rsid w:val="002334EB"/>
    <w:rsid w:val="0023362D"/>
    <w:rsid w:val="00234425"/>
    <w:rsid w:val="002344FF"/>
    <w:rsid w:val="0023484C"/>
    <w:rsid w:val="002354EC"/>
    <w:rsid w:val="002355A8"/>
    <w:rsid w:val="00235B79"/>
    <w:rsid w:val="00236342"/>
    <w:rsid w:val="002367D3"/>
    <w:rsid w:val="00236CEE"/>
    <w:rsid w:val="00236FD2"/>
    <w:rsid w:val="0023785E"/>
    <w:rsid w:val="00237E75"/>
    <w:rsid w:val="002403E9"/>
    <w:rsid w:val="002405DC"/>
    <w:rsid w:val="00240646"/>
    <w:rsid w:val="002408C5"/>
    <w:rsid w:val="00240968"/>
    <w:rsid w:val="00241D6D"/>
    <w:rsid w:val="0024203D"/>
    <w:rsid w:val="0024215E"/>
    <w:rsid w:val="00242199"/>
    <w:rsid w:val="002421B5"/>
    <w:rsid w:val="002423DF"/>
    <w:rsid w:val="0024249C"/>
    <w:rsid w:val="00242597"/>
    <w:rsid w:val="002426CA"/>
    <w:rsid w:val="002428BF"/>
    <w:rsid w:val="00242BB7"/>
    <w:rsid w:val="002433FC"/>
    <w:rsid w:val="002437CA"/>
    <w:rsid w:val="00243B43"/>
    <w:rsid w:val="00244100"/>
    <w:rsid w:val="002443EC"/>
    <w:rsid w:val="00244B95"/>
    <w:rsid w:val="00244D0C"/>
    <w:rsid w:val="00244F7E"/>
    <w:rsid w:val="00245189"/>
    <w:rsid w:val="0024519D"/>
    <w:rsid w:val="0024521A"/>
    <w:rsid w:val="00245F36"/>
    <w:rsid w:val="00246218"/>
    <w:rsid w:val="00246A48"/>
    <w:rsid w:val="002472BB"/>
    <w:rsid w:val="002477B7"/>
    <w:rsid w:val="00250C39"/>
    <w:rsid w:val="00250EDF"/>
    <w:rsid w:val="00250F69"/>
    <w:rsid w:val="0025142E"/>
    <w:rsid w:val="00251BB4"/>
    <w:rsid w:val="002520D2"/>
    <w:rsid w:val="00252112"/>
    <w:rsid w:val="00252D26"/>
    <w:rsid w:val="00252E4B"/>
    <w:rsid w:val="00253026"/>
    <w:rsid w:val="0025323E"/>
    <w:rsid w:val="00253328"/>
    <w:rsid w:val="00253779"/>
    <w:rsid w:val="0025396D"/>
    <w:rsid w:val="002541DF"/>
    <w:rsid w:val="00254C61"/>
    <w:rsid w:val="00254D7E"/>
    <w:rsid w:val="00255156"/>
    <w:rsid w:val="002558F8"/>
    <w:rsid w:val="00255962"/>
    <w:rsid w:val="00255CD0"/>
    <w:rsid w:val="002563D7"/>
    <w:rsid w:val="00256BE1"/>
    <w:rsid w:val="00256C26"/>
    <w:rsid w:val="00256D77"/>
    <w:rsid w:val="00256D97"/>
    <w:rsid w:val="00257FEB"/>
    <w:rsid w:val="0026056B"/>
    <w:rsid w:val="0026064B"/>
    <w:rsid w:val="002608DD"/>
    <w:rsid w:val="00260A1E"/>
    <w:rsid w:val="00260B91"/>
    <w:rsid w:val="00261208"/>
    <w:rsid w:val="002613DA"/>
    <w:rsid w:val="00261552"/>
    <w:rsid w:val="002615C0"/>
    <w:rsid w:val="0026182B"/>
    <w:rsid w:val="00261E9A"/>
    <w:rsid w:val="0026205E"/>
    <w:rsid w:val="0026253B"/>
    <w:rsid w:val="0026289C"/>
    <w:rsid w:val="00262ABF"/>
    <w:rsid w:val="00262BD7"/>
    <w:rsid w:val="00263871"/>
    <w:rsid w:val="00263C29"/>
    <w:rsid w:val="002642D8"/>
    <w:rsid w:val="002649ED"/>
    <w:rsid w:val="00264FD1"/>
    <w:rsid w:val="00265EAC"/>
    <w:rsid w:val="00265FEC"/>
    <w:rsid w:val="0026715F"/>
    <w:rsid w:val="0026790D"/>
    <w:rsid w:val="0027019C"/>
    <w:rsid w:val="00270356"/>
    <w:rsid w:val="0027044F"/>
    <w:rsid w:val="002705A5"/>
    <w:rsid w:val="00270B9A"/>
    <w:rsid w:val="00270E2A"/>
    <w:rsid w:val="00270F37"/>
    <w:rsid w:val="00270FAA"/>
    <w:rsid w:val="00271500"/>
    <w:rsid w:val="002717B1"/>
    <w:rsid w:val="00271DAF"/>
    <w:rsid w:val="00271E05"/>
    <w:rsid w:val="00272399"/>
    <w:rsid w:val="00273047"/>
    <w:rsid w:val="00273632"/>
    <w:rsid w:val="00273883"/>
    <w:rsid w:val="00273B80"/>
    <w:rsid w:val="002740D5"/>
    <w:rsid w:val="002744B1"/>
    <w:rsid w:val="00275D25"/>
    <w:rsid w:val="00275E53"/>
    <w:rsid w:val="00275FD1"/>
    <w:rsid w:val="0027626E"/>
    <w:rsid w:val="002766D9"/>
    <w:rsid w:val="00276810"/>
    <w:rsid w:val="002772B6"/>
    <w:rsid w:val="00277425"/>
    <w:rsid w:val="002775AB"/>
    <w:rsid w:val="002777D0"/>
    <w:rsid w:val="00280402"/>
    <w:rsid w:val="0028053F"/>
    <w:rsid w:val="0028105B"/>
    <w:rsid w:val="0028116B"/>
    <w:rsid w:val="002811CE"/>
    <w:rsid w:val="002815FD"/>
    <w:rsid w:val="002818E4"/>
    <w:rsid w:val="00281AFF"/>
    <w:rsid w:val="00281B62"/>
    <w:rsid w:val="00281E4E"/>
    <w:rsid w:val="0028294B"/>
    <w:rsid w:val="00282C4A"/>
    <w:rsid w:val="002830FF"/>
    <w:rsid w:val="002834CD"/>
    <w:rsid w:val="002837F7"/>
    <w:rsid w:val="002844AF"/>
    <w:rsid w:val="0028458D"/>
    <w:rsid w:val="00284B5D"/>
    <w:rsid w:val="00284E2B"/>
    <w:rsid w:val="00284F2F"/>
    <w:rsid w:val="00284FD9"/>
    <w:rsid w:val="002859B0"/>
    <w:rsid w:val="00285C0E"/>
    <w:rsid w:val="00285C56"/>
    <w:rsid w:val="0028633D"/>
    <w:rsid w:val="00286A2B"/>
    <w:rsid w:val="00286F6F"/>
    <w:rsid w:val="0028718B"/>
    <w:rsid w:val="00287775"/>
    <w:rsid w:val="00290522"/>
    <w:rsid w:val="00290A3D"/>
    <w:rsid w:val="00290C5E"/>
    <w:rsid w:val="00290D27"/>
    <w:rsid w:val="00290DB0"/>
    <w:rsid w:val="002912A4"/>
    <w:rsid w:val="0029187E"/>
    <w:rsid w:val="0029213B"/>
    <w:rsid w:val="002924CF"/>
    <w:rsid w:val="002925A6"/>
    <w:rsid w:val="002927A8"/>
    <w:rsid w:val="00292CF1"/>
    <w:rsid w:val="0029326A"/>
    <w:rsid w:val="00293744"/>
    <w:rsid w:val="00293AF6"/>
    <w:rsid w:val="00293B4B"/>
    <w:rsid w:val="00294017"/>
    <w:rsid w:val="0029465E"/>
    <w:rsid w:val="002946CB"/>
    <w:rsid w:val="00294A86"/>
    <w:rsid w:val="00296043"/>
    <w:rsid w:val="00296629"/>
    <w:rsid w:val="00296B88"/>
    <w:rsid w:val="00296BF6"/>
    <w:rsid w:val="00296EBA"/>
    <w:rsid w:val="00297174"/>
    <w:rsid w:val="00297717"/>
    <w:rsid w:val="00297811"/>
    <w:rsid w:val="00297996"/>
    <w:rsid w:val="00297C32"/>
    <w:rsid w:val="002A02C2"/>
    <w:rsid w:val="002A08D5"/>
    <w:rsid w:val="002A0AF5"/>
    <w:rsid w:val="002A0B8E"/>
    <w:rsid w:val="002A0C42"/>
    <w:rsid w:val="002A0F1C"/>
    <w:rsid w:val="002A11F3"/>
    <w:rsid w:val="002A13AE"/>
    <w:rsid w:val="002A13D1"/>
    <w:rsid w:val="002A1589"/>
    <w:rsid w:val="002A190D"/>
    <w:rsid w:val="002A1C8F"/>
    <w:rsid w:val="002A1FE5"/>
    <w:rsid w:val="002A2467"/>
    <w:rsid w:val="002A287E"/>
    <w:rsid w:val="002A28CF"/>
    <w:rsid w:val="002A31B0"/>
    <w:rsid w:val="002A37E1"/>
    <w:rsid w:val="002A388E"/>
    <w:rsid w:val="002A38A0"/>
    <w:rsid w:val="002A3B3E"/>
    <w:rsid w:val="002A3DA3"/>
    <w:rsid w:val="002A432A"/>
    <w:rsid w:val="002A487E"/>
    <w:rsid w:val="002A4B47"/>
    <w:rsid w:val="002A4FD3"/>
    <w:rsid w:val="002A5725"/>
    <w:rsid w:val="002A5965"/>
    <w:rsid w:val="002A59F9"/>
    <w:rsid w:val="002A5C9A"/>
    <w:rsid w:val="002A5F8D"/>
    <w:rsid w:val="002A5FC3"/>
    <w:rsid w:val="002A6065"/>
    <w:rsid w:val="002A6086"/>
    <w:rsid w:val="002A6236"/>
    <w:rsid w:val="002A640F"/>
    <w:rsid w:val="002A66B9"/>
    <w:rsid w:val="002A6A02"/>
    <w:rsid w:val="002A6CA5"/>
    <w:rsid w:val="002A6D15"/>
    <w:rsid w:val="002A6DC0"/>
    <w:rsid w:val="002A7173"/>
    <w:rsid w:val="002A7A8F"/>
    <w:rsid w:val="002B0075"/>
    <w:rsid w:val="002B022F"/>
    <w:rsid w:val="002B03C6"/>
    <w:rsid w:val="002B0809"/>
    <w:rsid w:val="002B0B1D"/>
    <w:rsid w:val="002B0C66"/>
    <w:rsid w:val="002B10EB"/>
    <w:rsid w:val="002B1592"/>
    <w:rsid w:val="002B1ACC"/>
    <w:rsid w:val="002B2221"/>
    <w:rsid w:val="002B259E"/>
    <w:rsid w:val="002B2614"/>
    <w:rsid w:val="002B28A5"/>
    <w:rsid w:val="002B2D8B"/>
    <w:rsid w:val="002B4163"/>
    <w:rsid w:val="002B4273"/>
    <w:rsid w:val="002B44B6"/>
    <w:rsid w:val="002B4EFD"/>
    <w:rsid w:val="002B5467"/>
    <w:rsid w:val="002B55C8"/>
    <w:rsid w:val="002B5B69"/>
    <w:rsid w:val="002B6248"/>
    <w:rsid w:val="002B6363"/>
    <w:rsid w:val="002B69EC"/>
    <w:rsid w:val="002B6BC2"/>
    <w:rsid w:val="002C02DA"/>
    <w:rsid w:val="002C06B2"/>
    <w:rsid w:val="002C0D2D"/>
    <w:rsid w:val="002C10BC"/>
    <w:rsid w:val="002C1CA3"/>
    <w:rsid w:val="002C2A79"/>
    <w:rsid w:val="002C2DE7"/>
    <w:rsid w:val="002C325F"/>
    <w:rsid w:val="002C44B1"/>
    <w:rsid w:val="002C4FAA"/>
    <w:rsid w:val="002C531C"/>
    <w:rsid w:val="002C5D27"/>
    <w:rsid w:val="002C5DE2"/>
    <w:rsid w:val="002C5FA1"/>
    <w:rsid w:val="002C6648"/>
    <w:rsid w:val="002C6E27"/>
    <w:rsid w:val="002C6F90"/>
    <w:rsid w:val="002C734D"/>
    <w:rsid w:val="002C7BD0"/>
    <w:rsid w:val="002D0160"/>
    <w:rsid w:val="002D0843"/>
    <w:rsid w:val="002D0935"/>
    <w:rsid w:val="002D09CF"/>
    <w:rsid w:val="002D0D2C"/>
    <w:rsid w:val="002D11BC"/>
    <w:rsid w:val="002D176D"/>
    <w:rsid w:val="002D1770"/>
    <w:rsid w:val="002D1B77"/>
    <w:rsid w:val="002D1B7F"/>
    <w:rsid w:val="002D20DD"/>
    <w:rsid w:val="002D2510"/>
    <w:rsid w:val="002D256A"/>
    <w:rsid w:val="002D3CAB"/>
    <w:rsid w:val="002D3F01"/>
    <w:rsid w:val="002D444D"/>
    <w:rsid w:val="002D47B8"/>
    <w:rsid w:val="002D4B3B"/>
    <w:rsid w:val="002D561B"/>
    <w:rsid w:val="002D5B4B"/>
    <w:rsid w:val="002D699F"/>
    <w:rsid w:val="002D77A7"/>
    <w:rsid w:val="002D7A71"/>
    <w:rsid w:val="002E0319"/>
    <w:rsid w:val="002E0418"/>
    <w:rsid w:val="002E0697"/>
    <w:rsid w:val="002E08CE"/>
    <w:rsid w:val="002E0FE4"/>
    <w:rsid w:val="002E1888"/>
    <w:rsid w:val="002E294C"/>
    <w:rsid w:val="002E2BD6"/>
    <w:rsid w:val="002E3419"/>
    <w:rsid w:val="002E3559"/>
    <w:rsid w:val="002E3569"/>
    <w:rsid w:val="002E3735"/>
    <w:rsid w:val="002E3CA1"/>
    <w:rsid w:val="002E3CCF"/>
    <w:rsid w:val="002E434E"/>
    <w:rsid w:val="002E4757"/>
    <w:rsid w:val="002E48D1"/>
    <w:rsid w:val="002E4D55"/>
    <w:rsid w:val="002E4E2C"/>
    <w:rsid w:val="002E5098"/>
    <w:rsid w:val="002E5870"/>
    <w:rsid w:val="002E5DC5"/>
    <w:rsid w:val="002E6563"/>
    <w:rsid w:val="002E6B70"/>
    <w:rsid w:val="002E74E3"/>
    <w:rsid w:val="002E7907"/>
    <w:rsid w:val="002E7B28"/>
    <w:rsid w:val="002E7EEF"/>
    <w:rsid w:val="002E7F70"/>
    <w:rsid w:val="002F02AB"/>
    <w:rsid w:val="002F03E1"/>
    <w:rsid w:val="002F0E16"/>
    <w:rsid w:val="002F10B8"/>
    <w:rsid w:val="002F120E"/>
    <w:rsid w:val="002F1C78"/>
    <w:rsid w:val="002F2874"/>
    <w:rsid w:val="002F28B4"/>
    <w:rsid w:val="002F2B52"/>
    <w:rsid w:val="002F3D7C"/>
    <w:rsid w:val="002F43C2"/>
    <w:rsid w:val="002F448A"/>
    <w:rsid w:val="002F46F5"/>
    <w:rsid w:val="002F50B2"/>
    <w:rsid w:val="002F5124"/>
    <w:rsid w:val="002F5686"/>
    <w:rsid w:val="002F65FD"/>
    <w:rsid w:val="002F69CA"/>
    <w:rsid w:val="002F6A6B"/>
    <w:rsid w:val="002F7677"/>
    <w:rsid w:val="002F7CBB"/>
    <w:rsid w:val="002F7D61"/>
    <w:rsid w:val="00300102"/>
    <w:rsid w:val="00300218"/>
    <w:rsid w:val="003013C7"/>
    <w:rsid w:val="00301502"/>
    <w:rsid w:val="00301969"/>
    <w:rsid w:val="00301CDF"/>
    <w:rsid w:val="00302049"/>
    <w:rsid w:val="00302780"/>
    <w:rsid w:val="00302DBE"/>
    <w:rsid w:val="00302E30"/>
    <w:rsid w:val="00303E4B"/>
    <w:rsid w:val="00304607"/>
    <w:rsid w:val="00304716"/>
    <w:rsid w:val="00304A1F"/>
    <w:rsid w:val="0030532A"/>
    <w:rsid w:val="00305638"/>
    <w:rsid w:val="00305C28"/>
    <w:rsid w:val="00305C55"/>
    <w:rsid w:val="00305C8B"/>
    <w:rsid w:val="00306EDA"/>
    <w:rsid w:val="003071AC"/>
    <w:rsid w:val="003075B3"/>
    <w:rsid w:val="00307A14"/>
    <w:rsid w:val="00310525"/>
    <w:rsid w:val="00310768"/>
    <w:rsid w:val="00310DA6"/>
    <w:rsid w:val="0031117F"/>
    <w:rsid w:val="003111C6"/>
    <w:rsid w:val="003117EE"/>
    <w:rsid w:val="003118DA"/>
    <w:rsid w:val="003119A9"/>
    <w:rsid w:val="00311AEC"/>
    <w:rsid w:val="00311E83"/>
    <w:rsid w:val="00311EE9"/>
    <w:rsid w:val="003122A4"/>
    <w:rsid w:val="003130BF"/>
    <w:rsid w:val="003130E9"/>
    <w:rsid w:val="00313108"/>
    <w:rsid w:val="0031365E"/>
    <w:rsid w:val="00313965"/>
    <w:rsid w:val="00313B0D"/>
    <w:rsid w:val="003149AE"/>
    <w:rsid w:val="003155B0"/>
    <w:rsid w:val="00315EC6"/>
    <w:rsid w:val="0031669E"/>
    <w:rsid w:val="00316B80"/>
    <w:rsid w:val="0031744D"/>
    <w:rsid w:val="00317500"/>
    <w:rsid w:val="0031798E"/>
    <w:rsid w:val="00317C3F"/>
    <w:rsid w:val="00317EE0"/>
    <w:rsid w:val="0032059D"/>
    <w:rsid w:val="003208C8"/>
    <w:rsid w:val="00320CB9"/>
    <w:rsid w:val="00320EC6"/>
    <w:rsid w:val="00321C9E"/>
    <w:rsid w:val="00321E3E"/>
    <w:rsid w:val="003223F7"/>
    <w:rsid w:val="00322EF0"/>
    <w:rsid w:val="00323119"/>
    <w:rsid w:val="00323171"/>
    <w:rsid w:val="00323491"/>
    <w:rsid w:val="003234B1"/>
    <w:rsid w:val="00323694"/>
    <w:rsid w:val="003238CF"/>
    <w:rsid w:val="00323BC7"/>
    <w:rsid w:val="00323ED3"/>
    <w:rsid w:val="0032442B"/>
    <w:rsid w:val="00324AE8"/>
    <w:rsid w:val="00324D3D"/>
    <w:rsid w:val="00325A05"/>
    <w:rsid w:val="00325F5E"/>
    <w:rsid w:val="0032604D"/>
    <w:rsid w:val="00326B68"/>
    <w:rsid w:val="00326E07"/>
    <w:rsid w:val="00327746"/>
    <w:rsid w:val="0033211F"/>
    <w:rsid w:val="003324CC"/>
    <w:rsid w:val="0033308C"/>
    <w:rsid w:val="00333421"/>
    <w:rsid w:val="00333811"/>
    <w:rsid w:val="0033385C"/>
    <w:rsid w:val="003341FD"/>
    <w:rsid w:val="00334560"/>
    <w:rsid w:val="003345A8"/>
    <w:rsid w:val="0033473F"/>
    <w:rsid w:val="00334888"/>
    <w:rsid w:val="003349D3"/>
    <w:rsid w:val="003353C6"/>
    <w:rsid w:val="0033544D"/>
    <w:rsid w:val="00335BF6"/>
    <w:rsid w:val="00335D7F"/>
    <w:rsid w:val="00336507"/>
    <w:rsid w:val="00336E8F"/>
    <w:rsid w:val="00337016"/>
    <w:rsid w:val="0033778E"/>
    <w:rsid w:val="00337999"/>
    <w:rsid w:val="00337A0B"/>
    <w:rsid w:val="00340356"/>
    <w:rsid w:val="00340845"/>
    <w:rsid w:val="00340BB6"/>
    <w:rsid w:val="00340C9B"/>
    <w:rsid w:val="00341083"/>
    <w:rsid w:val="003410C5"/>
    <w:rsid w:val="00341302"/>
    <w:rsid w:val="003413DE"/>
    <w:rsid w:val="0034171B"/>
    <w:rsid w:val="00341E54"/>
    <w:rsid w:val="0034202A"/>
    <w:rsid w:val="003423F4"/>
    <w:rsid w:val="00342832"/>
    <w:rsid w:val="00342954"/>
    <w:rsid w:val="00342ADD"/>
    <w:rsid w:val="00343CC8"/>
    <w:rsid w:val="00343F15"/>
    <w:rsid w:val="003445BA"/>
    <w:rsid w:val="00344C4C"/>
    <w:rsid w:val="003457F2"/>
    <w:rsid w:val="00346B69"/>
    <w:rsid w:val="00346C93"/>
    <w:rsid w:val="00347511"/>
    <w:rsid w:val="003475BC"/>
    <w:rsid w:val="00347E0D"/>
    <w:rsid w:val="00350939"/>
    <w:rsid w:val="00350AC4"/>
    <w:rsid w:val="00350CD2"/>
    <w:rsid w:val="00351014"/>
    <w:rsid w:val="00351055"/>
    <w:rsid w:val="00351160"/>
    <w:rsid w:val="003511E5"/>
    <w:rsid w:val="00351252"/>
    <w:rsid w:val="003521F8"/>
    <w:rsid w:val="00352965"/>
    <w:rsid w:val="00354191"/>
    <w:rsid w:val="0035426B"/>
    <w:rsid w:val="00354332"/>
    <w:rsid w:val="003543A7"/>
    <w:rsid w:val="003547B2"/>
    <w:rsid w:val="00354C3C"/>
    <w:rsid w:val="00354D81"/>
    <w:rsid w:val="0035534B"/>
    <w:rsid w:val="0035548B"/>
    <w:rsid w:val="00356132"/>
    <w:rsid w:val="00356D02"/>
    <w:rsid w:val="00356D58"/>
    <w:rsid w:val="00356ED9"/>
    <w:rsid w:val="003572D4"/>
    <w:rsid w:val="0035735C"/>
    <w:rsid w:val="00357C17"/>
    <w:rsid w:val="00357EBD"/>
    <w:rsid w:val="00357F4E"/>
    <w:rsid w:val="00357F8A"/>
    <w:rsid w:val="003601E9"/>
    <w:rsid w:val="0036055A"/>
    <w:rsid w:val="00360986"/>
    <w:rsid w:val="00360C33"/>
    <w:rsid w:val="00361806"/>
    <w:rsid w:val="00361E02"/>
    <w:rsid w:val="00361ED3"/>
    <w:rsid w:val="00362043"/>
    <w:rsid w:val="003629A7"/>
    <w:rsid w:val="00362EE1"/>
    <w:rsid w:val="00363407"/>
    <w:rsid w:val="003636B7"/>
    <w:rsid w:val="00363A4F"/>
    <w:rsid w:val="00363C3E"/>
    <w:rsid w:val="0036411C"/>
    <w:rsid w:val="0036445A"/>
    <w:rsid w:val="0036481F"/>
    <w:rsid w:val="0036498F"/>
    <w:rsid w:val="00364BA4"/>
    <w:rsid w:val="00364C25"/>
    <w:rsid w:val="00364CBE"/>
    <w:rsid w:val="00365115"/>
    <w:rsid w:val="003651BF"/>
    <w:rsid w:val="003653BB"/>
    <w:rsid w:val="003667D7"/>
    <w:rsid w:val="003670EA"/>
    <w:rsid w:val="00367519"/>
    <w:rsid w:val="0037030B"/>
    <w:rsid w:val="00370483"/>
    <w:rsid w:val="003708F9"/>
    <w:rsid w:val="00370B24"/>
    <w:rsid w:val="00370D06"/>
    <w:rsid w:val="00371714"/>
    <w:rsid w:val="00371749"/>
    <w:rsid w:val="00371B20"/>
    <w:rsid w:val="00371C04"/>
    <w:rsid w:val="00372287"/>
    <w:rsid w:val="00373A43"/>
    <w:rsid w:val="00373A98"/>
    <w:rsid w:val="00373AAF"/>
    <w:rsid w:val="00373F75"/>
    <w:rsid w:val="00374347"/>
    <w:rsid w:val="003748E7"/>
    <w:rsid w:val="00374957"/>
    <w:rsid w:val="00374C3A"/>
    <w:rsid w:val="00374EB7"/>
    <w:rsid w:val="00375237"/>
    <w:rsid w:val="00375B0D"/>
    <w:rsid w:val="00376016"/>
    <w:rsid w:val="0037634E"/>
    <w:rsid w:val="00376D1B"/>
    <w:rsid w:val="00377040"/>
    <w:rsid w:val="0037761C"/>
    <w:rsid w:val="003779E0"/>
    <w:rsid w:val="00377F27"/>
    <w:rsid w:val="003801E3"/>
    <w:rsid w:val="0038079A"/>
    <w:rsid w:val="00380B2D"/>
    <w:rsid w:val="00380DBF"/>
    <w:rsid w:val="00380FDC"/>
    <w:rsid w:val="0038126D"/>
    <w:rsid w:val="00381904"/>
    <w:rsid w:val="0038260F"/>
    <w:rsid w:val="00382891"/>
    <w:rsid w:val="00382F9D"/>
    <w:rsid w:val="0038373B"/>
    <w:rsid w:val="00383C4D"/>
    <w:rsid w:val="00383E66"/>
    <w:rsid w:val="00383ECE"/>
    <w:rsid w:val="003840DC"/>
    <w:rsid w:val="0038460B"/>
    <w:rsid w:val="0038484E"/>
    <w:rsid w:val="00384A21"/>
    <w:rsid w:val="003854DF"/>
    <w:rsid w:val="003856A2"/>
    <w:rsid w:val="00385C60"/>
    <w:rsid w:val="00385D1F"/>
    <w:rsid w:val="00385EAB"/>
    <w:rsid w:val="0038603B"/>
    <w:rsid w:val="0038603E"/>
    <w:rsid w:val="00386599"/>
    <w:rsid w:val="00386734"/>
    <w:rsid w:val="00386C3C"/>
    <w:rsid w:val="00386D96"/>
    <w:rsid w:val="00387043"/>
    <w:rsid w:val="0038798E"/>
    <w:rsid w:val="00387DFA"/>
    <w:rsid w:val="0039014F"/>
    <w:rsid w:val="00390365"/>
    <w:rsid w:val="0039057C"/>
    <w:rsid w:val="00390591"/>
    <w:rsid w:val="00390831"/>
    <w:rsid w:val="00390AC8"/>
    <w:rsid w:val="00391180"/>
    <w:rsid w:val="0039128E"/>
    <w:rsid w:val="00391626"/>
    <w:rsid w:val="003917C3"/>
    <w:rsid w:val="0039196D"/>
    <w:rsid w:val="00391A1A"/>
    <w:rsid w:val="00391D1B"/>
    <w:rsid w:val="003922C4"/>
    <w:rsid w:val="00392822"/>
    <w:rsid w:val="0039307C"/>
    <w:rsid w:val="00393380"/>
    <w:rsid w:val="00393608"/>
    <w:rsid w:val="00393A31"/>
    <w:rsid w:val="00393D36"/>
    <w:rsid w:val="00394B3A"/>
    <w:rsid w:val="00394B79"/>
    <w:rsid w:val="00394D6F"/>
    <w:rsid w:val="00395810"/>
    <w:rsid w:val="00395C9F"/>
    <w:rsid w:val="0039678F"/>
    <w:rsid w:val="0039687E"/>
    <w:rsid w:val="0039688F"/>
    <w:rsid w:val="00396994"/>
    <w:rsid w:val="00396A3A"/>
    <w:rsid w:val="00396C2F"/>
    <w:rsid w:val="00396E65"/>
    <w:rsid w:val="00396E8F"/>
    <w:rsid w:val="00396FE7"/>
    <w:rsid w:val="0039724A"/>
    <w:rsid w:val="0039776F"/>
    <w:rsid w:val="00397EF0"/>
    <w:rsid w:val="003A0352"/>
    <w:rsid w:val="003A056E"/>
    <w:rsid w:val="003A07A0"/>
    <w:rsid w:val="003A0AE8"/>
    <w:rsid w:val="003A0E9F"/>
    <w:rsid w:val="003A11AC"/>
    <w:rsid w:val="003A12E6"/>
    <w:rsid w:val="003A14A2"/>
    <w:rsid w:val="003A1828"/>
    <w:rsid w:val="003A1AC7"/>
    <w:rsid w:val="003A2082"/>
    <w:rsid w:val="003A21F3"/>
    <w:rsid w:val="003A30AE"/>
    <w:rsid w:val="003A36A1"/>
    <w:rsid w:val="003A3A46"/>
    <w:rsid w:val="003A3D2F"/>
    <w:rsid w:val="003A3E85"/>
    <w:rsid w:val="003A450B"/>
    <w:rsid w:val="003A48A9"/>
    <w:rsid w:val="003A5272"/>
    <w:rsid w:val="003A55FB"/>
    <w:rsid w:val="003A5A1D"/>
    <w:rsid w:val="003A5D3C"/>
    <w:rsid w:val="003B022B"/>
    <w:rsid w:val="003B04DD"/>
    <w:rsid w:val="003B0612"/>
    <w:rsid w:val="003B0822"/>
    <w:rsid w:val="003B0A52"/>
    <w:rsid w:val="003B1111"/>
    <w:rsid w:val="003B1E95"/>
    <w:rsid w:val="003B1F94"/>
    <w:rsid w:val="003B2490"/>
    <w:rsid w:val="003B2AEB"/>
    <w:rsid w:val="003B3748"/>
    <w:rsid w:val="003B37DA"/>
    <w:rsid w:val="003B3CA0"/>
    <w:rsid w:val="003B3D8A"/>
    <w:rsid w:val="003B3E53"/>
    <w:rsid w:val="003B4163"/>
    <w:rsid w:val="003B4836"/>
    <w:rsid w:val="003B528D"/>
    <w:rsid w:val="003B530B"/>
    <w:rsid w:val="003B5368"/>
    <w:rsid w:val="003B53BC"/>
    <w:rsid w:val="003B5736"/>
    <w:rsid w:val="003B60A6"/>
    <w:rsid w:val="003B6367"/>
    <w:rsid w:val="003B63BD"/>
    <w:rsid w:val="003B6418"/>
    <w:rsid w:val="003B6812"/>
    <w:rsid w:val="003B6AB2"/>
    <w:rsid w:val="003B6EDE"/>
    <w:rsid w:val="003B7227"/>
    <w:rsid w:val="003B738A"/>
    <w:rsid w:val="003B7D2E"/>
    <w:rsid w:val="003C0641"/>
    <w:rsid w:val="003C0FA6"/>
    <w:rsid w:val="003C1138"/>
    <w:rsid w:val="003C121B"/>
    <w:rsid w:val="003C136F"/>
    <w:rsid w:val="003C13BA"/>
    <w:rsid w:val="003C15DA"/>
    <w:rsid w:val="003C1804"/>
    <w:rsid w:val="003C1AA6"/>
    <w:rsid w:val="003C1B7F"/>
    <w:rsid w:val="003C202E"/>
    <w:rsid w:val="003C210D"/>
    <w:rsid w:val="003C2372"/>
    <w:rsid w:val="003C23E5"/>
    <w:rsid w:val="003C247A"/>
    <w:rsid w:val="003C2675"/>
    <w:rsid w:val="003C283E"/>
    <w:rsid w:val="003C2AC1"/>
    <w:rsid w:val="003C2C35"/>
    <w:rsid w:val="003C2F32"/>
    <w:rsid w:val="003C3B8E"/>
    <w:rsid w:val="003C42FD"/>
    <w:rsid w:val="003C4413"/>
    <w:rsid w:val="003C4C3B"/>
    <w:rsid w:val="003C516C"/>
    <w:rsid w:val="003C552B"/>
    <w:rsid w:val="003C5F4B"/>
    <w:rsid w:val="003C61B0"/>
    <w:rsid w:val="003C631A"/>
    <w:rsid w:val="003C6603"/>
    <w:rsid w:val="003C70C7"/>
    <w:rsid w:val="003C72B9"/>
    <w:rsid w:val="003C74DB"/>
    <w:rsid w:val="003C7A47"/>
    <w:rsid w:val="003C7C9F"/>
    <w:rsid w:val="003C7CEE"/>
    <w:rsid w:val="003D010E"/>
    <w:rsid w:val="003D036C"/>
    <w:rsid w:val="003D0488"/>
    <w:rsid w:val="003D0EE7"/>
    <w:rsid w:val="003D1599"/>
    <w:rsid w:val="003D280F"/>
    <w:rsid w:val="003D2EE7"/>
    <w:rsid w:val="003D3046"/>
    <w:rsid w:val="003D3266"/>
    <w:rsid w:val="003D34DA"/>
    <w:rsid w:val="003D36B5"/>
    <w:rsid w:val="003D39EF"/>
    <w:rsid w:val="003D3DB7"/>
    <w:rsid w:val="003D47A7"/>
    <w:rsid w:val="003D4891"/>
    <w:rsid w:val="003D4EBD"/>
    <w:rsid w:val="003D583C"/>
    <w:rsid w:val="003D59A0"/>
    <w:rsid w:val="003D5CB1"/>
    <w:rsid w:val="003D5DF0"/>
    <w:rsid w:val="003D60D6"/>
    <w:rsid w:val="003D6950"/>
    <w:rsid w:val="003D6C10"/>
    <w:rsid w:val="003D6E8B"/>
    <w:rsid w:val="003D702F"/>
    <w:rsid w:val="003D7215"/>
    <w:rsid w:val="003D73A0"/>
    <w:rsid w:val="003D7428"/>
    <w:rsid w:val="003D74EE"/>
    <w:rsid w:val="003E0FFA"/>
    <w:rsid w:val="003E1350"/>
    <w:rsid w:val="003E1434"/>
    <w:rsid w:val="003E1502"/>
    <w:rsid w:val="003E17D2"/>
    <w:rsid w:val="003E1DB5"/>
    <w:rsid w:val="003E237F"/>
    <w:rsid w:val="003E29E6"/>
    <w:rsid w:val="003E2AF7"/>
    <w:rsid w:val="003E3D39"/>
    <w:rsid w:val="003E3DD1"/>
    <w:rsid w:val="003E3DD9"/>
    <w:rsid w:val="003E3E13"/>
    <w:rsid w:val="003E4212"/>
    <w:rsid w:val="003E4ACE"/>
    <w:rsid w:val="003E4D0E"/>
    <w:rsid w:val="003E4D9B"/>
    <w:rsid w:val="003E55D6"/>
    <w:rsid w:val="003E5BB0"/>
    <w:rsid w:val="003E64E9"/>
    <w:rsid w:val="003E6602"/>
    <w:rsid w:val="003E681F"/>
    <w:rsid w:val="003E69E7"/>
    <w:rsid w:val="003E6DA9"/>
    <w:rsid w:val="003E6DCE"/>
    <w:rsid w:val="003E73E4"/>
    <w:rsid w:val="003E7A94"/>
    <w:rsid w:val="003E7DA8"/>
    <w:rsid w:val="003F03D3"/>
    <w:rsid w:val="003F0CB1"/>
    <w:rsid w:val="003F0EC2"/>
    <w:rsid w:val="003F135C"/>
    <w:rsid w:val="003F2196"/>
    <w:rsid w:val="003F24D8"/>
    <w:rsid w:val="003F24DB"/>
    <w:rsid w:val="003F2AF4"/>
    <w:rsid w:val="003F2B36"/>
    <w:rsid w:val="003F2D51"/>
    <w:rsid w:val="003F2E19"/>
    <w:rsid w:val="003F37DC"/>
    <w:rsid w:val="003F3B24"/>
    <w:rsid w:val="003F40AE"/>
    <w:rsid w:val="003F488B"/>
    <w:rsid w:val="003F497A"/>
    <w:rsid w:val="003F499A"/>
    <w:rsid w:val="003F4D94"/>
    <w:rsid w:val="003F575D"/>
    <w:rsid w:val="003F5D51"/>
    <w:rsid w:val="003F696F"/>
    <w:rsid w:val="003F6E60"/>
    <w:rsid w:val="003F7063"/>
    <w:rsid w:val="003F7908"/>
    <w:rsid w:val="00400437"/>
    <w:rsid w:val="00400ED2"/>
    <w:rsid w:val="00401150"/>
    <w:rsid w:val="0040116E"/>
    <w:rsid w:val="004017B2"/>
    <w:rsid w:val="004019E5"/>
    <w:rsid w:val="00401A74"/>
    <w:rsid w:val="00402447"/>
    <w:rsid w:val="00402712"/>
    <w:rsid w:val="00402AEB"/>
    <w:rsid w:val="00402B21"/>
    <w:rsid w:val="0040359D"/>
    <w:rsid w:val="0040373F"/>
    <w:rsid w:val="00404F3C"/>
    <w:rsid w:val="00405FBA"/>
    <w:rsid w:val="00406FB0"/>
    <w:rsid w:val="004100A0"/>
    <w:rsid w:val="004100E4"/>
    <w:rsid w:val="0041028C"/>
    <w:rsid w:val="004102C6"/>
    <w:rsid w:val="004113AF"/>
    <w:rsid w:val="00411493"/>
    <w:rsid w:val="004114D6"/>
    <w:rsid w:val="004118DF"/>
    <w:rsid w:val="00411DB2"/>
    <w:rsid w:val="00411E87"/>
    <w:rsid w:val="0041297A"/>
    <w:rsid w:val="00412A15"/>
    <w:rsid w:val="00412B15"/>
    <w:rsid w:val="00412B5C"/>
    <w:rsid w:val="00412E81"/>
    <w:rsid w:val="0041365D"/>
    <w:rsid w:val="00413ACD"/>
    <w:rsid w:val="00413B47"/>
    <w:rsid w:val="00413BE3"/>
    <w:rsid w:val="00413D70"/>
    <w:rsid w:val="00413ED5"/>
    <w:rsid w:val="004141AA"/>
    <w:rsid w:val="00414BBA"/>
    <w:rsid w:val="00414E0D"/>
    <w:rsid w:val="00415601"/>
    <w:rsid w:val="004156BB"/>
    <w:rsid w:val="00415750"/>
    <w:rsid w:val="00415D04"/>
    <w:rsid w:val="00415FB9"/>
    <w:rsid w:val="004163B2"/>
    <w:rsid w:val="00416D43"/>
    <w:rsid w:val="00416D57"/>
    <w:rsid w:val="00417132"/>
    <w:rsid w:val="00417899"/>
    <w:rsid w:val="00417AFC"/>
    <w:rsid w:val="00417C27"/>
    <w:rsid w:val="0042045D"/>
    <w:rsid w:val="004204EC"/>
    <w:rsid w:val="004207E5"/>
    <w:rsid w:val="00420842"/>
    <w:rsid w:val="0042100A"/>
    <w:rsid w:val="00421628"/>
    <w:rsid w:val="0042198C"/>
    <w:rsid w:val="00421AA8"/>
    <w:rsid w:val="00421C6D"/>
    <w:rsid w:val="00421CBF"/>
    <w:rsid w:val="00421FF0"/>
    <w:rsid w:val="0042255B"/>
    <w:rsid w:val="00422928"/>
    <w:rsid w:val="00422C07"/>
    <w:rsid w:val="004233ED"/>
    <w:rsid w:val="00423508"/>
    <w:rsid w:val="00423BB2"/>
    <w:rsid w:val="00423F68"/>
    <w:rsid w:val="0042406D"/>
    <w:rsid w:val="004240AD"/>
    <w:rsid w:val="004246A4"/>
    <w:rsid w:val="004251D2"/>
    <w:rsid w:val="004254ED"/>
    <w:rsid w:val="00426254"/>
    <w:rsid w:val="00426362"/>
    <w:rsid w:val="00426B36"/>
    <w:rsid w:val="00427776"/>
    <w:rsid w:val="00430222"/>
    <w:rsid w:val="00430EA5"/>
    <w:rsid w:val="00431ADA"/>
    <w:rsid w:val="00431B0D"/>
    <w:rsid w:val="00431EA0"/>
    <w:rsid w:val="00432082"/>
    <w:rsid w:val="00432911"/>
    <w:rsid w:val="00432CD9"/>
    <w:rsid w:val="00432E78"/>
    <w:rsid w:val="0043307B"/>
    <w:rsid w:val="004338D8"/>
    <w:rsid w:val="00433CEC"/>
    <w:rsid w:val="00433F7C"/>
    <w:rsid w:val="00434686"/>
    <w:rsid w:val="004346A1"/>
    <w:rsid w:val="004352FE"/>
    <w:rsid w:val="004357D6"/>
    <w:rsid w:val="00435DA3"/>
    <w:rsid w:val="004360D0"/>
    <w:rsid w:val="004402F4"/>
    <w:rsid w:val="004405CF"/>
    <w:rsid w:val="00441081"/>
    <w:rsid w:val="004417C1"/>
    <w:rsid w:val="00441E27"/>
    <w:rsid w:val="004429A9"/>
    <w:rsid w:val="00442C66"/>
    <w:rsid w:val="00442EC5"/>
    <w:rsid w:val="004430AD"/>
    <w:rsid w:val="00443370"/>
    <w:rsid w:val="004434B4"/>
    <w:rsid w:val="004438B6"/>
    <w:rsid w:val="00443CF2"/>
    <w:rsid w:val="00443E4F"/>
    <w:rsid w:val="00444120"/>
    <w:rsid w:val="00444222"/>
    <w:rsid w:val="0044457F"/>
    <w:rsid w:val="0044468F"/>
    <w:rsid w:val="0044472C"/>
    <w:rsid w:val="00444EFE"/>
    <w:rsid w:val="00444F3A"/>
    <w:rsid w:val="004452B2"/>
    <w:rsid w:val="0044584D"/>
    <w:rsid w:val="00445AD3"/>
    <w:rsid w:val="00445B76"/>
    <w:rsid w:val="00445D9B"/>
    <w:rsid w:val="00445FDB"/>
    <w:rsid w:val="00446910"/>
    <w:rsid w:val="00446D26"/>
    <w:rsid w:val="004474B8"/>
    <w:rsid w:val="0045030B"/>
    <w:rsid w:val="004505FA"/>
    <w:rsid w:val="00451523"/>
    <w:rsid w:val="00451C12"/>
    <w:rsid w:val="00451E66"/>
    <w:rsid w:val="00451E96"/>
    <w:rsid w:val="00451F8F"/>
    <w:rsid w:val="004524A0"/>
    <w:rsid w:val="004529BF"/>
    <w:rsid w:val="00452A2A"/>
    <w:rsid w:val="00452FB0"/>
    <w:rsid w:val="004530A0"/>
    <w:rsid w:val="004536C0"/>
    <w:rsid w:val="004536ED"/>
    <w:rsid w:val="00453B52"/>
    <w:rsid w:val="00453E79"/>
    <w:rsid w:val="00454DB9"/>
    <w:rsid w:val="00455009"/>
    <w:rsid w:val="00455106"/>
    <w:rsid w:val="00455A69"/>
    <w:rsid w:val="00455ACD"/>
    <w:rsid w:val="00455C2F"/>
    <w:rsid w:val="004562E1"/>
    <w:rsid w:val="0045735C"/>
    <w:rsid w:val="004574CD"/>
    <w:rsid w:val="00457E9C"/>
    <w:rsid w:val="004603BF"/>
    <w:rsid w:val="00460629"/>
    <w:rsid w:val="004606DA"/>
    <w:rsid w:val="00460CEA"/>
    <w:rsid w:val="00461920"/>
    <w:rsid w:val="0046203E"/>
    <w:rsid w:val="004622D8"/>
    <w:rsid w:val="00462389"/>
    <w:rsid w:val="00462595"/>
    <w:rsid w:val="004626B5"/>
    <w:rsid w:val="0046272B"/>
    <w:rsid w:val="00462959"/>
    <w:rsid w:val="00462BD7"/>
    <w:rsid w:val="00462C86"/>
    <w:rsid w:val="00463074"/>
    <w:rsid w:val="0046327E"/>
    <w:rsid w:val="0046366F"/>
    <w:rsid w:val="00463A64"/>
    <w:rsid w:val="00463C96"/>
    <w:rsid w:val="004640E7"/>
    <w:rsid w:val="0046513B"/>
    <w:rsid w:val="004651D7"/>
    <w:rsid w:val="004653BA"/>
    <w:rsid w:val="00465421"/>
    <w:rsid w:val="004656F4"/>
    <w:rsid w:val="00466739"/>
    <w:rsid w:val="00466C56"/>
    <w:rsid w:val="00466DC3"/>
    <w:rsid w:val="004671DB"/>
    <w:rsid w:val="0046736B"/>
    <w:rsid w:val="00467AE7"/>
    <w:rsid w:val="00467BF2"/>
    <w:rsid w:val="0047011E"/>
    <w:rsid w:val="0047089F"/>
    <w:rsid w:val="00470990"/>
    <w:rsid w:val="00470E7E"/>
    <w:rsid w:val="00471186"/>
    <w:rsid w:val="0047140E"/>
    <w:rsid w:val="004718EE"/>
    <w:rsid w:val="00471926"/>
    <w:rsid w:val="004719F1"/>
    <w:rsid w:val="00471CE7"/>
    <w:rsid w:val="004720E4"/>
    <w:rsid w:val="00472819"/>
    <w:rsid w:val="00472988"/>
    <w:rsid w:val="00472B4E"/>
    <w:rsid w:val="00472BA9"/>
    <w:rsid w:val="0047356E"/>
    <w:rsid w:val="00473676"/>
    <w:rsid w:val="00473AEB"/>
    <w:rsid w:val="00473ECB"/>
    <w:rsid w:val="00473F47"/>
    <w:rsid w:val="004744F2"/>
    <w:rsid w:val="004749FC"/>
    <w:rsid w:val="00474AA1"/>
    <w:rsid w:val="00474DAE"/>
    <w:rsid w:val="00474E4B"/>
    <w:rsid w:val="00475157"/>
    <w:rsid w:val="0047523C"/>
    <w:rsid w:val="0047542F"/>
    <w:rsid w:val="00475A1E"/>
    <w:rsid w:val="00475EDF"/>
    <w:rsid w:val="00476682"/>
    <w:rsid w:val="00476C7E"/>
    <w:rsid w:val="00477171"/>
    <w:rsid w:val="00477699"/>
    <w:rsid w:val="00477C4A"/>
    <w:rsid w:val="00477EA1"/>
    <w:rsid w:val="004806D0"/>
    <w:rsid w:val="004808C3"/>
    <w:rsid w:val="00480D36"/>
    <w:rsid w:val="0048196C"/>
    <w:rsid w:val="00481F32"/>
    <w:rsid w:val="004828C0"/>
    <w:rsid w:val="00483222"/>
    <w:rsid w:val="00483406"/>
    <w:rsid w:val="00483969"/>
    <w:rsid w:val="004839D9"/>
    <w:rsid w:val="004843EC"/>
    <w:rsid w:val="0048517A"/>
    <w:rsid w:val="00485BBC"/>
    <w:rsid w:val="00485CF5"/>
    <w:rsid w:val="004860B2"/>
    <w:rsid w:val="00486174"/>
    <w:rsid w:val="0048661F"/>
    <w:rsid w:val="00487740"/>
    <w:rsid w:val="00487A59"/>
    <w:rsid w:val="00487C4D"/>
    <w:rsid w:val="00487F4E"/>
    <w:rsid w:val="00490675"/>
    <w:rsid w:val="00490809"/>
    <w:rsid w:val="004909ED"/>
    <w:rsid w:val="00490EF1"/>
    <w:rsid w:val="004912F3"/>
    <w:rsid w:val="00491D2F"/>
    <w:rsid w:val="00492155"/>
    <w:rsid w:val="00492474"/>
    <w:rsid w:val="00492484"/>
    <w:rsid w:val="00492C57"/>
    <w:rsid w:val="0049304A"/>
    <w:rsid w:val="004931E0"/>
    <w:rsid w:val="00494355"/>
    <w:rsid w:val="00494EE5"/>
    <w:rsid w:val="0049571F"/>
    <w:rsid w:val="0049635B"/>
    <w:rsid w:val="00496576"/>
    <w:rsid w:val="004965EB"/>
    <w:rsid w:val="00497072"/>
    <w:rsid w:val="004979AE"/>
    <w:rsid w:val="00497CF3"/>
    <w:rsid w:val="004A00E6"/>
    <w:rsid w:val="004A02C0"/>
    <w:rsid w:val="004A0CDE"/>
    <w:rsid w:val="004A0D03"/>
    <w:rsid w:val="004A115D"/>
    <w:rsid w:val="004A1B5C"/>
    <w:rsid w:val="004A1D68"/>
    <w:rsid w:val="004A1FCA"/>
    <w:rsid w:val="004A1FDE"/>
    <w:rsid w:val="004A21BF"/>
    <w:rsid w:val="004A2B97"/>
    <w:rsid w:val="004A2D55"/>
    <w:rsid w:val="004A3741"/>
    <w:rsid w:val="004A37AA"/>
    <w:rsid w:val="004A3A6F"/>
    <w:rsid w:val="004A440E"/>
    <w:rsid w:val="004A44D1"/>
    <w:rsid w:val="004A498D"/>
    <w:rsid w:val="004A5109"/>
    <w:rsid w:val="004A58F3"/>
    <w:rsid w:val="004A62EA"/>
    <w:rsid w:val="004A67E8"/>
    <w:rsid w:val="004A69D3"/>
    <w:rsid w:val="004A6A5D"/>
    <w:rsid w:val="004A6D43"/>
    <w:rsid w:val="004A6F6A"/>
    <w:rsid w:val="004A7269"/>
    <w:rsid w:val="004A78CC"/>
    <w:rsid w:val="004A7ECD"/>
    <w:rsid w:val="004A7EFB"/>
    <w:rsid w:val="004B02FB"/>
    <w:rsid w:val="004B0A8C"/>
    <w:rsid w:val="004B0D4A"/>
    <w:rsid w:val="004B0E44"/>
    <w:rsid w:val="004B1186"/>
    <w:rsid w:val="004B1944"/>
    <w:rsid w:val="004B197B"/>
    <w:rsid w:val="004B1AD2"/>
    <w:rsid w:val="004B1FEC"/>
    <w:rsid w:val="004B2768"/>
    <w:rsid w:val="004B2F3D"/>
    <w:rsid w:val="004B30E8"/>
    <w:rsid w:val="004B3192"/>
    <w:rsid w:val="004B33B8"/>
    <w:rsid w:val="004B4DE5"/>
    <w:rsid w:val="004B513D"/>
    <w:rsid w:val="004B519F"/>
    <w:rsid w:val="004B5CE2"/>
    <w:rsid w:val="004B5DA3"/>
    <w:rsid w:val="004B64E2"/>
    <w:rsid w:val="004B6829"/>
    <w:rsid w:val="004B7577"/>
    <w:rsid w:val="004B757D"/>
    <w:rsid w:val="004B75D4"/>
    <w:rsid w:val="004B7B30"/>
    <w:rsid w:val="004C022A"/>
    <w:rsid w:val="004C0378"/>
    <w:rsid w:val="004C0A18"/>
    <w:rsid w:val="004C13B5"/>
    <w:rsid w:val="004C13D2"/>
    <w:rsid w:val="004C1703"/>
    <w:rsid w:val="004C18BE"/>
    <w:rsid w:val="004C1D8A"/>
    <w:rsid w:val="004C1E94"/>
    <w:rsid w:val="004C2003"/>
    <w:rsid w:val="004C23D1"/>
    <w:rsid w:val="004C25DD"/>
    <w:rsid w:val="004C2E72"/>
    <w:rsid w:val="004C2EEF"/>
    <w:rsid w:val="004C3107"/>
    <w:rsid w:val="004C37C6"/>
    <w:rsid w:val="004C3CB6"/>
    <w:rsid w:val="004C433D"/>
    <w:rsid w:val="004C4805"/>
    <w:rsid w:val="004C4872"/>
    <w:rsid w:val="004C4A45"/>
    <w:rsid w:val="004C4B68"/>
    <w:rsid w:val="004C4D00"/>
    <w:rsid w:val="004C4EA7"/>
    <w:rsid w:val="004C51C9"/>
    <w:rsid w:val="004C5376"/>
    <w:rsid w:val="004C578B"/>
    <w:rsid w:val="004C5AF8"/>
    <w:rsid w:val="004C5C6C"/>
    <w:rsid w:val="004C67F8"/>
    <w:rsid w:val="004C6A49"/>
    <w:rsid w:val="004C73B5"/>
    <w:rsid w:val="004D0346"/>
    <w:rsid w:val="004D03F5"/>
    <w:rsid w:val="004D0BEB"/>
    <w:rsid w:val="004D1066"/>
    <w:rsid w:val="004D1407"/>
    <w:rsid w:val="004D17D3"/>
    <w:rsid w:val="004D1C2E"/>
    <w:rsid w:val="004D2653"/>
    <w:rsid w:val="004D2BCF"/>
    <w:rsid w:val="004D36C5"/>
    <w:rsid w:val="004D37F4"/>
    <w:rsid w:val="004D3A5C"/>
    <w:rsid w:val="004D3B3B"/>
    <w:rsid w:val="004D3D6A"/>
    <w:rsid w:val="004D46B0"/>
    <w:rsid w:val="004D4BF5"/>
    <w:rsid w:val="004D4C10"/>
    <w:rsid w:val="004D54BF"/>
    <w:rsid w:val="004D6887"/>
    <w:rsid w:val="004D6945"/>
    <w:rsid w:val="004D70B3"/>
    <w:rsid w:val="004D76E5"/>
    <w:rsid w:val="004D7DAD"/>
    <w:rsid w:val="004E0349"/>
    <w:rsid w:val="004E07DD"/>
    <w:rsid w:val="004E118B"/>
    <w:rsid w:val="004E1743"/>
    <w:rsid w:val="004E1D7D"/>
    <w:rsid w:val="004E1F5B"/>
    <w:rsid w:val="004E20DB"/>
    <w:rsid w:val="004E27DB"/>
    <w:rsid w:val="004E2908"/>
    <w:rsid w:val="004E3D09"/>
    <w:rsid w:val="004E4887"/>
    <w:rsid w:val="004E4DCA"/>
    <w:rsid w:val="004E4E46"/>
    <w:rsid w:val="004E571D"/>
    <w:rsid w:val="004E5A01"/>
    <w:rsid w:val="004E5D8F"/>
    <w:rsid w:val="004E61E1"/>
    <w:rsid w:val="004E6D73"/>
    <w:rsid w:val="004E6E2E"/>
    <w:rsid w:val="004E6EDA"/>
    <w:rsid w:val="004E72A8"/>
    <w:rsid w:val="004E73E0"/>
    <w:rsid w:val="004E741D"/>
    <w:rsid w:val="004E7883"/>
    <w:rsid w:val="004E797D"/>
    <w:rsid w:val="004F0505"/>
    <w:rsid w:val="004F05BB"/>
    <w:rsid w:val="004F0F88"/>
    <w:rsid w:val="004F1391"/>
    <w:rsid w:val="004F1B3B"/>
    <w:rsid w:val="004F2A86"/>
    <w:rsid w:val="004F30FF"/>
    <w:rsid w:val="004F33A7"/>
    <w:rsid w:val="004F3540"/>
    <w:rsid w:val="004F38D7"/>
    <w:rsid w:val="004F38EA"/>
    <w:rsid w:val="004F42A8"/>
    <w:rsid w:val="004F456B"/>
    <w:rsid w:val="004F46FE"/>
    <w:rsid w:val="004F4AC8"/>
    <w:rsid w:val="004F51CB"/>
    <w:rsid w:val="004F56DD"/>
    <w:rsid w:val="004F56E8"/>
    <w:rsid w:val="004F591D"/>
    <w:rsid w:val="004F5DA1"/>
    <w:rsid w:val="004F60C0"/>
    <w:rsid w:val="004F6157"/>
    <w:rsid w:val="004F66A4"/>
    <w:rsid w:val="004F6A5A"/>
    <w:rsid w:val="004F6ABD"/>
    <w:rsid w:val="004F6B12"/>
    <w:rsid w:val="004F7542"/>
    <w:rsid w:val="004F7549"/>
    <w:rsid w:val="004F75C2"/>
    <w:rsid w:val="004F76D0"/>
    <w:rsid w:val="00500074"/>
    <w:rsid w:val="00500943"/>
    <w:rsid w:val="005009F7"/>
    <w:rsid w:val="00500A07"/>
    <w:rsid w:val="00500BE5"/>
    <w:rsid w:val="00500C08"/>
    <w:rsid w:val="00501177"/>
    <w:rsid w:val="00501218"/>
    <w:rsid w:val="00501BF2"/>
    <w:rsid w:val="0050219D"/>
    <w:rsid w:val="00502DFA"/>
    <w:rsid w:val="0050347E"/>
    <w:rsid w:val="00503FC7"/>
    <w:rsid w:val="00504755"/>
    <w:rsid w:val="00504C07"/>
    <w:rsid w:val="00504F62"/>
    <w:rsid w:val="0050559B"/>
    <w:rsid w:val="005059CC"/>
    <w:rsid w:val="00505C2A"/>
    <w:rsid w:val="00505F17"/>
    <w:rsid w:val="00505FC5"/>
    <w:rsid w:val="005065D6"/>
    <w:rsid w:val="00506AB3"/>
    <w:rsid w:val="00507001"/>
    <w:rsid w:val="00507913"/>
    <w:rsid w:val="0051075F"/>
    <w:rsid w:val="00510AE0"/>
    <w:rsid w:val="00510DB6"/>
    <w:rsid w:val="005115DE"/>
    <w:rsid w:val="00511E51"/>
    <w:rsid w:val="00511FAA"/>
    <w:rsid w:val="005126A0"/>
    <w:rsid w:val="00512A82"/>
    <w:rsid w:val="00512FE3"/>
    <w:rsid w:val="00513773"/>
    <w:rsid w:val="005138C2"/>
    <w:rsid w:val="00513D1B"/>
    <w:rsid w:val="0051413C"/>
    <w:rsid w:val="005144A8"/>
    <w:rsid w:val="005144A9"/>
    <w:rsid w:val="00514E80"/>
    <w:rsid w:val="00515006"/>
    <w:rsid w:val="00515153"/>
    <w:rsid w:val="005151FD"/>
    <w:rsid w:val="00515B92"/>
    <w:rsid w:val="00515CBF"/>
    <w:rsid w:val="0051626F"/>
    <w:rsid w:val="00516532"/>
    <w:rsid w:val="00516E1E"/>
    <w:rsid w:val="005171FA"/>
    <w:rsid w:val="00517AB8"/>
    <w:rsid w:val="00517C59"/>
    <w:rsid w:val="00517E9D"/>
    <w:rsid w:val="00520058"/>
    <w:rsid w:val="00520650"/>
    <w:rsid w:val="0052082C"/>
    <w:rsid w:val="00520CC2"/>
    <w:rsid w:val="00520DD9"/>
    <w:rsid w:val="00520E12"/>
    <w:rsid w:val="005213A1"/>
    <w:rsid w:val="0052150D"/>
    <w:rsid w:val="00521521"/>
    <w:rsid w:val="00521A70"/>
    <w:rsid w:val="00521A84"/>
    <w:rsid w:val="005222A0"/>
    <w:rsid w:val="005230A1"/>
    <w:rsid w:val="005230E6"/>
    <w:rsid w:val="005235B1"/>
    <w:rsid w:val="0052375C"/>
    <w:rsid w:val="00523A69"/>
    <w:rsid w:val="00523E29"/>
    <w:rsid w:val="005240CC"/>
    <w:rsid w:val="00524408"/>
    <w:rsid w:val="00524695"/>
    <w:rsid w:val="00524AEA"/>
    <w:rsid w:val="00524C05"/>
    <w:rsid w:val="00524E72"/>
    <w:rsid w:val="0052532E"/>
    <w:rsid w:val="00525A0C"/>
    <w:rsid w:val="00526491"/>
    <w:rsid w:val="00526C7A"/>
    <w:rsid w:val="00526EF8"/>
    <w:rsid w:val="00527096"/>
    <w:rsid w:val="00527599"/>
    <w:rsid w:val="0052763F"/>
    <w:rsid w:val="00527746"/>
    <w:rsid w:val="00527E07"/>
    <w:rsid w:val="005305FC"/>
    <w:rsid w:val="0053083F"/>
    <w:rsid w:val="00530CCF"/>
    <w:rsid w:val="00530FB0"/>
    <w:rsid w:val="0053138D"/>
    <w:rsid w:val="005318C3"/>
    <w:rsid w:val="00531A76"/>
    <w:rsid w:val="00531AD2"/>
    <w:rsid w:val="00531D91"/>
    <w:rsid w:val="005323DB"/>
    <w:rsid w:val="005324A6"/>
    <w:rsid w:val="005327D5"/>
    <w:rsid w:val="00532987"/>
    <w:rsid w:val="0053328A"/>
    <w:rsid w:val="00533621"/>
    <w:rsid w:val="00533E73"/>
    <w:rsid w:val="00533FF6"/>
    <w:rsid w:val="00534A07"/>
    <w:rsid w:val="00534A1A"/>
    <w:rsid w:val="00534C7D"/>
    <w:rsid w:val="00535296"/>
    <w:rsid w:val="0053540C"/>
    <w:rsid w:val="0053565D"/>
    <w:rsid w:val="00535D1B"/>
    <w:rsid w:val="00535D5F"/>
    <w:rsid w:val="005364EF"/>
    <w:rsid w:val="005367CB"/>
    <w:rsid w:val="00536FD6"/>
    <w:rsid w:val="00537051"/>
    <w:rsid w:val="005371E6"/>
    <w:rsid w:val="005406CA"/>
    <w:rsid w:val="00540F1C"/>
    <w:rsid w:val="0054170B"/>
    <w:rsid w:val="005419DE"/>
    <w:rsid w:val="005421CA"/>
    <w:rsid w:val="0054249E"/>
    <w:rsid w:val="00542988"/>
    <w:rsid w:val="005430CA"/>
    <w:rsid w:val="0054332B"/>
    <w:rsid w:val="00543D20"/>
    <w:rsid w:val="0054402D"/>
    <w:rsid w:val="00544323"/>
    <w:rsid w:val="00544394"/>
    <w:rsid w:val="0054451F"/>
    <w:rsid w:val="00544AD2"/>
    <w:rsid w:val="00544B62"/>
    <w:rsid w:val="0054513A"/>
    <w:rsid w:val="00545396"/>
    <w:rsid w:val="00545850"/>
    <w:rsid w:val="00545EC7"/>
    <w:rsid w:val="005461B1"/>
    <w:rsid w:val="0054695C"/>
    <w:rsid w:val="00546D5B"/>
    <w:rsid w:val="00546EF5"/>
    <w:rsid w:val="0054716F"/>
    <w:rsid w:val="005471C8"/>
    <w:rsid w:val="005475BC"/>
    <w:rsid w:val="00547ECA"/>
    <w:rsid w:val="00550008"/>
    <w:rsid w:val="00550082"/>
    <w:rsid w:val="0055071F"/>
    <w:rsid w:val="00550BD2"/>
    <w:rsid w:val="00551015"/>
    <w:rsid w:val="0055170F"/>
    <w:rsid w:val="00551A5D"/>
    <w:rsid w:val="00551D17"/>
    <w:rsid w:val="00552117"/>
    <w:rsid w:val="00552119"/>
    <w:rsid w:val="005523FC"/>
    <w:rsid w:val="00552AEE"/>
    <w:rsid w:val="00552F8B"/>
    <w:rsid w:val="005532F1"/>
    <w:rsid w:val="005534A6"/>
    <w:rsid w:val="005535FD"/>
    <w:rsid w:val="0055369E"/>
    <w:rsid w:val="005538B0"/>
    <w:rsid w:val="00553C23"/>
    <w:rsid w:val="00554258"/>
    <w:rsid w:val="005545D8"/>
    <w:rsid w:val="005550ED"/>
    <w:rsid w:val="0055571B"/>
    <w:rsid w:val="00556150"/>
    <w:rsid w:val="005567FE"/>
    <w:rsid w:val="00556A1C"/>
    <w:rsid w:val="00556A8A"/>
    <w:rsid w:val="00556F5E"/>
    <w:rsid w:val="00557048"/>
    <w:rsid w:val="00557529"/>
    <w:rsid w:val="005575B1"/>
    <w:rsid w:val="00557AAF"/>
    <w:rsid w:val="00557B9B"/>
    <w:rsid w:val="00560341"/>
    <w:rsid w:val="005604E5"/>
    <w:rsid w:val="005605B7"/>
    <w:rsid w:val="00560844"/>
    <w:rsid w:val="00560995"/>
    <w:rsid w:val="00560DC5"/>
    <w:rsid w:val="00560F30"/>
    <w:rsid w:val="00561063"/>
    <w:rsid w:val="005618D3"/>
    <w:rsid w:val="00561EA2"/>
    <w:rsid w:val="00562500"/>
    <w:rsid w:val="005629A6"/>
    <w:rsid w:val="00562CA1"/>
    <w:rsid w:val="00562D6F"/>
    <w:rsid w:val="00562E04"/>
    <w:rsid w:val="00562F8C"/>
    <w:rsid w:val="0056408C"/>
    <w:rsid w:val="0056468C"/>
    <w:rsid w:val="005646D1"/>
    <w:rsid w:val="00564EB5"/>
    <w:rsid w:val="00564F92"/>
    <w:rsid w:val="0056534E"/>
    <w:rsid w:val="00565E19"/>
    <w:rsid w:val="00565F32"/>
    <w:rsid w:val="00566D36"/>
    <w:rsid w:val="00566F1E"/>
    <w:rsid w:val="00567188"/>
    <w:rsid w:val="005678C4"/>
    <w:rsid w:val="00567D50"/>
    <w:rsid w:val="005708A6"/>
    <w:rsid w:val="00570BFF"/>
    <w:rsid w:val="00570C7A"/>
    <w:rsid w:val="005713EC"/>
    <w:rsid w:val="0057149C"/>
    <w:rsid w:val="005714DE"/>
    <w:rsid w:val="00571B16"/>
    <w:rsid w:val="00572AA2"/>
    <w:rsid w:val="00572D91"/>
    <w:rsid w:val="00572E08"/>
    <w:rsid w:val="0057359C"/>
    <w:rsid w:val="005735CA"/>
    <w:rsid w:val="00573A8D"/>
    <w:rsid w:val="0057454B"/>
    <w:rsid w:val="005750A9"/>
    <w:rsid w:val="0057540A"/>
    <w:rsid w:val="005757F7"/>
    <w:rsid w:val="00575DC7"/>
    <w:rsid w:val="00576082"/>
    <w:rsid w:val="005760DB"/>
    <w:rsid w:val="00576621"/>
    <w:rsid w:val="00576931"/>
    <w:rsid w:val="00576F0D"/>
    <w:rsid w:val="00577009"/>
    <w:rsid w:val="00577091"/>
    <w:rsid w:val="00577116"/>
    <w:rsid w:val="0057797E"/>
    <w:rsid w:val="00577CD8"/>
    <w:rsid w:val="005800CD"/>
    <w:rsid w:val="005801C9"/>
    <w:rsid w:val="00580C40"/>
    <w:rsid w:val="00580C76"/>
    <w:rsid w:val="00580E8F"/>
    <w:rsid w:val="0058116F"/>
    <w:rsid w:val="0058138B"/>
    <w:rsid w:val="005817D5"/>
    <w:rsid w:val="0058181D"/>
    <w:rsid w:val="00581C26"/>
    <w:rsid w:val="00581C93"/>
    <w:rsid w:val="00581E7B"/>
    <w:rsid w:val="0058232C"/>
    <w:rsid w:val="00582939"/>
    <w:rsid w:val="00582D9B"/>
    <w:rsid w:val="00582E6D"/>
    <w:rsid w:val="005830E9"/>
    <w:rsid w:val="00583595"/>
    <w:rsid w:val="00583620"/>
    <w:rsid w:val="00583A00"/>
    <w:rsid w:val="00583CA5"/>
    <w:rsid w:val="00584EBD"/>
    <w:rsid w:val="00584FF8"/>
    <w:rsid w:val="00585470"/>
    <w:rsid w:val="0058565E"/>
    <w:rsid w:val="005856CC"/>
    <w:rsid w:val="005864EE"/>
    <w:rsid w:val="00586783"/>
    <w:rsid w:val="00586C99"/>
    <w:rsid w:val="00586D14"/>
    <w:rsid w:val="00586EB8"/>
    <w:rsid w:val="00587076"/>
    <w:rsid w:val="0058729D"/>
    <w:rsid w:val="00590049"/>
    <w:rsid w:val="005900FD"/>
    <w:rsid w:val="005903B1"/>
    <w:rsid w:val="005905FF"/>
    <w:rsid w:val="00590E38"/>
    <w:rsid w:val="00591ADA"/>
    <w:rsid w:val="00591C2F"/>
    <w:rsid w:val="00591E31"/>
    <w:rsid w:val="00593B21"/>
    <w:rsid w:val="0059471F"/>
    <w:rsid w:val="00594725"/>
    <w:rsid w:val="005952B1"/>
    <w:rsid w:val="005955A8"/>
    <w:rsid w:val="00595CCE"/>
    <w:rsid w:val="00595D87"/>
    <w:rsid w:val="005961BA"/>
    <w:rsid w:val="0059639B"/>
    <w:rsid w:val="00596507"/>
    <w:rsid w:val="00596782"/>
    <w:rsid w:val="0059683F"/>
    <w:rsid w:val="00596B39"/>
    <w:rsid w:val="00596CB9"/>
    <w:rsid w:val="00597867"/>
    <w:rsid w:val="005A0032"/>
    <w:rsid w:val="005A01DD"/>
    <w:rsid w:val="005A0449"/>
    <w:rsid w:val="005A1994"/>
    <w:rsid w:val="005A2105"/>
    <w:rsid w:val="005A261E"/>
    <w:rsid w:val="005A2A59"/>
    <w:rsid w:val="005A2B35"/>
    <w:rsid w:val="005A3004"/>
    <w:rsid w:val="005A3226"/>
    <w:rsid w:val="005A3234"/>
    <w:rsid w:val="005A36A0"/>
    <w:rsid w:val="005A3AC9"/>
    <w:rsid w:val="005A426B"/>
    <w:rsid w:val="005A4413"/>
    <w:rsid w:val="005A4CF1"/>
    <w:rsid w:val="005A579B"/>
    <w:rsid w:val="005A593B"/>
    <w:rsid w:val="005A6708"/>
    <w:rsid w:val="005A706A"/>
    <w:rsid w:val="005A707B"/>
    <w:rsid w:val="005A7681"/>
    <w:rsid w:val="005A7738"/>
    <w:rsid w:val="005A7969"/>
    <w:rsid w:val="005A7AAE"/>
    <w:rsid w:val="005A7AF4"/>
    <w:rsid w:val="005A7B15"/>
    <w:rsid w:val="005A7C48"/>
    <w:rsid w:val="005A7D6A"/>
    <w:rsid w:val="005A7ED8"/>
    <w:rsid w:val="005B03C0"/>
    <w:rsid w:val="005B0B4C"/>
    <w:rsid w:val="005B0C50"/>
    <w:rsid w:val="005B0D17"/>
    <w:rsid w:val="005B0F8E"/>
    <w:rsid w:val="005B107F"/>
    <w:rsid w:val="005B1120"/>
    <w:rsid w:val="005B16DC"/>
    <w:rsid w:val="005B16F7"/>
    <w:rsid w:val="005B184B"/>
    <w:rsid w:val="005B18AD"/>
    <w:rsid w:val="005B1BB3"/>
    <w:rsid w:val="005B1E12"/>
    <w:rsid w:val="005B2177"/>
    <w:rsid w:val="005B21E4"/>
    <w:rsid w:val="005B2D50"/>
    <w:rsid w:val="005B3084"/>
    <w:rsid w:val="005B308C"/>
    <w:rsid w:val="005B33A5"/>
    <w:rsid w:val="005B418C"/>
    <w:rsid w:val="005B4192"/>
    <w:rsid w:val="005B4E96"/>
    <w:rsid w:val="005B5121"/>
    <w:rsid w:val="005B55B9"/>
    <w:rsid w:val="005B5A19"/>
    <w:rsid w:val="005B5E44"/>
    <w:rsid w:val="005B6239"/>
    <w:rsid w:val="005B670C"/>
    <w:rsid w:val="005B6B7C"/>
    <w:rsid w:val="005C00DA"/>
    <w:rsid w:val="005C04D4"/>
    <w:rsid w:val="005C05A5"/>
    <w:rsid w:val="005C0988"/>
    <w:rsid w:val="005C10CD"/>
    <w:rsid w:val="005C1307"/>
    <w:rsid w:val="005C132F"/>
    <w:rsid w:val="005C14E4"/>
    <w:rsid w:val="005C15D8"/>
    <w:rsid w:val="005C2344"/>
    <w:rsid w:val="005C32E6"/>
    <w:rsid w:val="005C330E"/>
    <w:rsid w:val="005C37ED"/>
    <w:rsid w:val="005C3949"/>
    <w:rsid w:val="005C3967"/>
    <w:rsid w:val="005C3E91"/>
    <w:rsid w:val="005C4C56"/>
    <w:rsid w:val="005C4DB4"/>
    <w:rsid w:val="005C5281"/>
    <w:rsid w:val="005C55EE"/>
    <w:rsid w:val="005C5B31"/>
    <w:rsid w:val="005C5D03"/>
    <w:rsid w:val="005C5E5E"/>
    <w:rsid w:val="005C6524"/>
    <w:rsid w:val="005C65F4"/>
    <w:rsid w:val="005C6AE3"/>
    <w:rsid w:val="005C7123"/>
    <w:rsid w:val="005C7BAE"/>
    <w:rsid w:val="005C7E86"/>
    <w:rsid w:val="005D0B83"/>
    <w:rsid w:val="005D1005"/>
    <w:rsid w:val="005D1656"/>
    <w:rsid w:val="005D172E"/>
    <w:rsid w:val="005D1830"/>
    <w:rsid w:val="005D188E"/>
    <w:rsid w:val="005D21B2"/>
    <w:rsid w:val="005D22B4"/>
    <w:rsid w:val="005D22FD"/>
    <w:rsid w:val="005D2A82"/>
    <w:rsid w:val="005D3376"/>
    <w:rsid w:val="005D3772"/>
    <w:rsid w:val="005D3A09"/>
    <w:rsid w:val="005D3B52"/>
    <w:rsid w:val="005D441A"/>
    <w:rsid w:val="005D4629"/>
    <w:rsid w:val="005D46B3"/>
    <w:rsid w:val="005D49D9"/>
    <w:rsid w:val="005D4E85"/>
    <w:rsid w:val="005D5A7A"/>
    <w:rsid w:val="005D5CCB"/>
    <w:rsid w:val="005D5D70"/>
    <w:rsid w:val="005D5EA5"/>
    <w:rsid w:val="005D5FB0"/>
    <w:rsid w:val="005D5FCC"/>
    <w:rsid w:val="005D5FD6"/>
    <w:rsid w:val="005D650A"/>
    <w:rsid w:val="005D65A7"/>
    <w:rsid w:val="005D693B"/>
    <w:rsid w:val="005D6983"/>
    <w:rsid w:val="005D6D67"/>
    <w:rsid w:val="005D7107"/>
    <w:rsid w:val="005D774A"/>
    <w:rsid w:val="005D7843"/>
    <w:rsid w:val="005D78B4"/>
    <w:rsid w:val="005D7A08"/>
    <w:rsid w:val="005D7B3F"/>
    <w:rsid w:val="005D7D8A"/>
    <w:rsid w:val="005D7DFA"/>
    <w:rsid w:val="005E003C"/>
    <w:rsid w:val="005E0079"/>
    <w:rsid w:val="005E032C"/>
    <w:rsid w:val="005E06C1"/>
    <w:rsid w:val="005E1068"/>
    <w:rsid w:val="005E1143"/>
    <w:rsid w:val="005E1446"/>
    <w:rsid w:val="005E1B66"/>
    <w:rsid w:val="005E1CB0"/>
    <w:rsid w:val="005E2290"/>
    <w:rsid w:val="005E2620"/>
    <w:rsid w:val="005E2749"/>
    <w:rsid w:val="005E2BDD"/>
    <w:rsid w:val="005E3383"/>
    <w:rsid w:val="005E3529"/>
    <w:rsid w:val="005E3D56"/>
    <w:rsid w:val="005E3E38"/>
    <w:rsid w:val="005E443E"/>
    <w:rsid w:val="005E4EEC"/>
    <w:rsid w:val="005E5598"/>
    <w:rsid w:val="005E5C88"/>
    <w:rsid w:val="005E5E7D"/>
    <w:rsid w:val="005E6C46"/>
    <w:rsid w:val="005E6E1D"/>
    <w:rsid w:val="005E6F40"/>
    <w:rsid w:val="005E7460"/>
    <w:rsid w:val="005E79F2"/>
    <w:rsid w:val="005F0111"/>
    <w:rsid w:val="005F0153"/>
    <w:rsid w:val="005F01E3"/>
    <w:rsid w:val="005F04E2"/>
    <w:rsid w:val="005F0A00"/>
    <w:rsid w:val="005F0AA6"/>
    <w:rsid w:val="005F1461"/>
    <w:rsid w:val="005F1EE2"/>
    <w:rsid w:val="005F21C0"/>
    <w:rsid w:val="005F280F"/>
    <w:rsid w:val="005F2AD0"/>
    <w:rsid w:val="005F2E31"/>
    <w:rsid w:val="005F3338"/>
    <w:rsid w:val="005F33AE"/>
    <w:rsid w:val="005F3688"/>
    <w:rsid w:val="005F38BB"/>
    <w:rsid w:val="005F3C37"/>
    <w:rsid w:val="005F41C5"/>
    <w:rsid w:val="005F48AF"/>
    <w:rsid w:val="005F4B1C"/>
    <w:rsid w:val="005F4CD6"/>
    <w:rsid w:val="005F502D"/>
    <w:rsid w:val="005F51E0"/>
    <w:rsid w:val="005F54C9"/>
    <w:rsid w:val="005F5619"/>
    <w:rsid w:val="005F62A9"/>
    <w:rsid w:val="005F6BF6"/>
    <w:rsid w:val="005F6C20"/>
    <w:rsid w:val="005F6C9D"/>
    <w:rsid w:val="005F6DAF"/>
    <w:rsid w:val="005F6EEE"/>
    <w:rsid w:val="005F6F43"/>
    <w:rsid w:val="005F7447"/>
    <w:rsid w:val="005F7DC7"/>
    <w:rsid w:val="005F7E89"/>
    <w:rsid w:val="0060027D"/>
    <w:rsid w:val="0060057C"/>
    <w:rsid w:val="006008A0"/>
    <w:rsid w:val="006008A5"/>
    <w:rsid w:val="006018D7"/>
    <w:rsid w:val="00601BFA"/>
    <w:rsid w:val="00601E82"/>
    <w:rsid w:val="00601F88"/>
    <w:rsid w:val="0060224D"/>
    <w:rsid w:val="00602535"/>
    <w:rsid w:val="00602ABC"/>
    <w:rsid w:val="00602F86"/>
    <w:rsid w:val="00602F9F"/>
    <w:rsid w:val="00603833"/>
    <w:rsid w:val="00604126"/>
    <w:rsid w:val="00605664"/>
    <w:rsid w:val="00606069"/>
    <w:rsid w:val="006069E8"/>
    <w:rsid w:val="00606BB1"/>
    <w:rsid w:val="00606BED"/>
    <w:rsid w:val="00606C95"/>
    <w:rsid w:val="00606CAC"/>
    <w:rsid w:val="00606E77"/>
    <w:rsid w:val="00606F8E"/>
    <w:rsid w:val="006073B6"/>
    <w:rsid w:val="006074B9"/>
    <w:rsid w:val="0060787D"/>
    <w:rsid w:val="00607A82"/>
    <w:rsid w:val="00607F83"/>
    <w:rsid w:val="006102ED"/>
    <w:rsid w:val="00610559"/>
    <w:rsid w:val="0061096A"/>
    <w:rsid w:val="00611129"/>
    <w:rsid w:val="0061129A"/>
    <w:rsid w:val="006115FE"/>
    <w:rsid w:val="00611D01"/>
    <w:rsid w:val="00612141"/>
    <w:rsid w:val="00612E37"/>
    <w:rsid w:val="00612EF0"/>
    <w:rsid w:val="0061311A"/>
    <w:rsid w:val="00613195"/>
    <w:rsid w:val="00613993"/>
    <w:rsid w:val="00613C90"/>
    <w:rsid w:val="00613E86"/>
    <w:rsid w:val="00613E9D"/>
    <w:rsid w:val="00613F24"/>
    <w:rsid w:val="00614297"/>
    <w:rsid w:val="00615286"/>
    <w:rsid w:val="00615295"/>
    <w:rsid w:val="00615570"/>
    <w:rsid w:val="00615633"/>
    <w:rsid w:val="00615A71"/>
    <w:rsid w:val="00615C06"/>
    <w:rsid w:val="00615D8E"/>
    <w:rsid w:val="0061652F"/>
    <w:rsid w:val="00616706"/>
    <w:rsid w:val="006167C4"/>
    <w:rsid w:val="0061686D"/>
    <w:rsid w:val="0061687C"/>
    <w:rsid w:val="00616A78"/>
    <w:rsid w:val="00616AF0"/>
    <w:rsid w:val="00616E66"/>
    <w:rsid w:val="006170DF"/>
    <w:rsid w:val="006172C4"/>
    <w:rsid w:val="0061733B"/>
    <w:rsid w:val="00617F5F"/>
    <w:rsid w:val="00620121"/>
    <w:rsid w:val="0062050D"/>
    <w:rsid w:val="00620752"/>
    <w:rsid w:val="006209F1"/>
    <w:rsid w:val="00621A26"/>
    <w:rsid w:val="00621DCC"/>
    <w:rsid w:val="00622C2C"/>
    <w:rsid w:val="00622D42"/>
    <w:rsid w:val="0062338E"/>
    <w:rsid w:val="006236D9"/>
    <w:rsid w:val="0062392A"/>
    <w:rsid w:val="00623BC2"/>
    <w:rsid w:val="00623E51"/>
    <w:rsid w:val="006241B3"/>
    <w:rsid w:val="006245CF"/>
    <w:rsid w:val="0062486B"/>
    <w:rsid w:val="006249C1"/>
    <w:rsid w:val="0062538C"/>
    <w:rsid w:val="00625965"/>
    <w:rsid w:val="00625BA9"/>
    <w:rsid w:val="00625E76"/>
    <w:rsid w:val="00626F9C"/>
    <w:rsid w:val="00627380"/>
    <w:rsid w:val="00627B11"/>
    <w:rsid w:val="00627B7B"/>
    <w:rsid w:val="00627D4F"/>
    <w:rsid w:val="006303CC"/>
    <w:rsid w:val="006303E8"/>
    <w:rsid w:val="00630728"/>
    <w:rsid w:val="0063131E"/>
    <w:rsid w:val="006316B4"/>
    <w:rsid w:val="00631E91"/>
    <w:rsid w:val="0063202C"/>
    <w:rsid w:val="0063236F"/>
    <w:rsid w:val="0063252E"/>
    <w:rsid w:val="0063276A"/>
    <w:rsid w:val="00632836"/>
    <w:rsid w:val="00632F34"/>
    <w:rsid w:val="00633514"/>
    <w:rsid w:val="0063367E"/>
    <w:rsid w:val="006336D5"/>
    <w:rsid w:val="0063424D"/>
    <w:rsid w:val="006346C6"/>
    <w:rsid w:val="0063508C"/>
    <w:rsid w:val="006350F5"/>
    <w:rsid w:val="0063523E"/>
    <w:rsid w:val="00635349"/>
    <w:rsid w:val="00635C50"/>
    <w:rsid w:val="00635DEF"/>
    <w:rsid w:val="00635F16"/>
    <w:rsid w:val="00636474"/>
    <w:rsid w:val="00637429"/>
    <w:rsid w:val="0063764E"/>
    <w:rsid w:val="00637A27"/>
    <w:rsid w:val="00637F71"/>
    <w:rsid w:val="00640207"/>
    <w:rsid w:val="006404CF"/>
    <w:rsid w:val="00640641"/>
    <w:rsid w:val="00640E49"/>
    <w:rsid w:val="00641659"/>
    <w:rsid w:val="00641829"/>
    <w:rsid w:val="00641939"/>
    <w:rsid w:val="00641A48"/>
    <w:rsid w:val="00641AA3"/>
    <w:rsid w:val="00641AE9"/>
    <w:rsid w:val="00641CF2"/>
    <w:rsid w:val="006424A3"/>
    <w:rsid w:val="00642677"/>
    <w:rsid w:val="00642A80"/>
    <w:rsid w:val="006431DB"/>
    <w:rsid w:val="00643236"/>
    <w:rsid w:val="006432B1"/>
    <w:rsid w:val="006433E6"/>
    <w:rsid w:val="0064351B"/>
    <w:rsid w:val="006439F5"/>
    <w:rsid w:val="006440EC"/>
    <w:rsid w:val="0064494C"/>
    <w:rsid w:val="00644A36"/>
    <w:rsid w:val="00644C87"/>
    <w:rsid w:val="006450FC"/>
    <w:rsid w:val="00645279"/>
    <w:rsid w:val="006455B6"/>
    <w:rsid w:val="00645690"/>
    <w:rsid w:val="00645969"/>
    <w:rsid w:val="00645A7A"/>
    <w:rsid w:val="00645DF0"/>
    <w:rsid w:val="0064684B"/>
    <w:rsid w:val="006468A6"/>
    <w:rsid w:val="00647CD0"/>
    <w:rsid w:val="00647EF3"/>
    <w:rsid w:val="006503E5"/>
    <w:rsid w:val="00650938"/>
    <w:rsid w:val="00650AAD"/>
    <w:rsid w:val="00650DFA"/>
    <w:rsid w:val="0065170F"/>
    <w:rsid w:val="00652294"/>
    <w:rsid w:val="0065289E"/>
    <w:rsid w:val="00652B8E"/>
    <w:rsid w:val="0065303F"/>
    <w:rsid w:val="00653644"/>
    <w:rsid w:val="00653ADA"/>
    <w:rsid w:val="00653FCA"/>
    <w:rsid w:val="00654122"/>
    <w:rsid w:val="006545EC"/>
    <w:rsid w:val="0065586D"/>
    <w:rsid w:val="00655904"/>
    <w:rsid w:val="00655BCE"/>
    <w:rsid w:val="00656755"/>
    <w:rsid w:val="00660553"/>
    <w:rsid w:val="006608DA"/>
    <w:rsid w:val="00661A84"/>
    <w:rsid w:val="00661AB9"/>
    <w:rsid w:val="00661E76"/>
    <w:rsid w:val="006624B2"/>
    <w:rsid w:val="0066288B"/>
    <w:rsid w:val="0066289D"/>
    <w:rsid w:val="00662D8B"/>
    <w:rsid w:val="00663123"/>
    <w:rsid w:val="0066380A"/>
    <w:rsid w:val="00663CE5"/>
    <w:rsid w:val="00663F7B"/>
    <w:rsid w:val="006645DC"/>
    <w:rsid w:val="006645E3"/>
    <w:rsid w:val="00664785"/>
    <w:rsid w:val="00664AA8"/>
    <w:rsid w:val="00664B13"/>
    <w:rsid w:val="00664C9A"/>
    <w:rsid w:val="00665360"/>
    <w:rsid w:val="00665836"/>
    <w:rsid w:val="006661E2"/>
    <w:rsid w:val="0066698F"/>
    <w:rsid w:val="00666A64"/>
    <w:rsid w:val="00666E80"/>
    <w:rsid w:val="00666FBA"/>
    <w:rsid w:val="0066713F"/>
    <w:rsid w:val="00667D64"/>
    <w:rsid w:val="00670C37"/>
    <w:rsid w:val="00670C9F"/>
    <w:rsid w:val="00671CA8"/>
    <w:rsid w:val="00671CFD"/>
    <w:rsid w:val="00671EEE"/>
    <w:rsid w:val="006720EA"/>
    <w:rsid w:val="0067228F"/>
    <w:rsid w:val="006728A0"/>
    <w:rsid w:val="00672AEA"/>
    <w:rsid w:val="00672C16"/>
    <w:rsid w:val="0067309B"/>
    <w:rsid w:val="006731B5"/>
    <w:rsid w:val="0067357A"/>
    <w:rsid w:val="0067357B"/>
    <w:rsid w:val="00673742"/>
    <w:rsid w:val="00673A78"/>
    <w:rsid w:val="0067439C"/>
    <w:rsid w:val="00674469"/>
    <w:rsid w:val="0067460C"/>
    <w:rsid w:val="006746DC"/>
    <w:rsid w:val="00674D7C"/>
    <w:rsid w:val="0067516D"/>
    <w:rsid w:val="00675171"/>
    <w:rsid w:val="00675FA4"/>
    <w:rsid w:val="00675FB7"/>
    <w:rsid w:val="0067617E"/>
    <w:rsid w:val="00676312"/>
    <w:rsid w:val="00676CDE"/>
    <w:rsid w:val="006771E9"/>
    <w:rsid w:val="0067797A"/>
    <w:rsid w:val="00677BBE"/>
    <w:rsid w:val="00677DA9"/>
    <w:rsid w:val="00677F9D"/>
    <w:rsid w:val="0068068A"/>
    <w:rsid w:val="0068096D"/>
    <w:rsid w:val="0068098C"/>
    <w:rsid w:val="00681073"/>
    <w:rsid w:val="006813A8"/>
    <w:rsid w:val="0068141B"/>
    <w:rsid w:val="00681494"/>
    <w:rsid w:val="006815B5"/>
    <w:rsid w:val="00681AB8"/>
    <w:rsid w:val="00681C10"/>
    <w:rsid w:val="00681CB5"/>
    <w:rsid w:val="006823A1"/>
    <w:rsid w:val="006825A9"/>
    <w:rsid w:val="006828F1"/>
    <w:rsid w:val="00682D56"/>
    <w:rsid w:val="00683361"/>
    <w:rsid w:val="00683367"/>
    <w:rsid w:val="00683AE5"/>
    <w:rsid w:val="00683DF6"/>
    <w:rsid w:val="0068461E"/>
    <w:rsid w:val="00684627"/>
    <w:rsid w:val="00684B89"/>
    <w:rsid w:val="00684D2A"/>
    <w:rsid w:val="006854E5"/>
    <w:rsid w:val="0068552A"/>
    <w:rsid w:val="00685A5A"/>
    <w:rsid w:val="00685DFE"/>
    <w:rsid w:val="00685EDC"/>
    <w:rsid w:val="00686150"/>
    <w:rsid w:val="0068727E"/>
    <w:rsid w:val="006875BB"/>
    <w:rsid w:val="00687633"/>
    <w:rsid w:val="006879C0"/>
    <w:rsid w:val="006910E5"/>
    <w:rsid w:val="00691B60"/>
    <w:rsid w:val="00691CA4"/>
    <w:rsid w:val="00691D12"/>
    <w:rsid w:val="00692358"/>
    <w:rsid w:val="006923F8"/>
    <w:rsid w:val="006926D2"/>
    <w:rsid w:val="006933A1"/>
    <w:rsid w:val="006936AB"/>
    <w:rsid w:val="00693AC4"/>
    <w:rsid w:val="00693AD1"/>
    <w:rsid w:val="00693F58"/>
    <w:rsid w:val="00694237"/>
    <w:rsid w:val="006943B4"/>
    <w:rsid w:val="006948FC"/>
    <w:rsid w:val="00694EE0"/>
    <w:rsid w:val="006954EC"/>
    <w:rsid w:val="00696BCA"/>
    <w:rsid w:val="00696F50"/>
    <w:rsid w:val="006970BA"/>
    <w:rsid w:val="0069725A"/>
    <w:rsid w:val="006975EC"/>
    <w:rsid w:val="0069766B"/>
    <w:rsid w:val="00697BD3"/>
    <w:rsid w:val="00697BE0"/>
    <w:rsid w:val="00697F2F"/>
    <w:rsid w:val="006A0188"/>
    <w:rsid w:val="006A021D"/>
    <w:rsid w:val="006A07FE"/>
    <w:rsid w:val="006A091B"/>
    <w:rsid w:val="006A1476"/>
    <w:rsid w:val="006A15AF"/>
    <w:rsid w:val="006A165A"/>
    <w:rsid w:val="006A17B1"/>
    <w:rsid w:val="006A216F"/>
    <w:rsid w:val="006A26ED"/>
    <w:rsid w:val="006A2AA0"/>
    <w:rsid w:val="006A2E25"/>
    <w:rsid w:val="006A2F4C"/>
    <w:rsid w:val="006A3321"/>
    <w:rsid w:val="006A349E"/>
    <w:rsid w:val="006A3CE7"/>
    <w:rsid w:val="006A4483"/>
    <w:rsid w:val="006A44C6"/>
    <w:rsid w:val="006A4598"/>
    <w:rsid w:val="006A473F"/>
    <w:rsid w:val="006A4DF0"/>
    <w:rsid w:val="006A4F38"/>
    <w:rsid w:val="006A585D"/>
    <w:rsid w:val="006A5AE7"/>
    <w:rsid w:val="006A616C"/>
    <w:rsid w:val="006A640C"/>
    <w:rsid w:val="006A6476"/>
    <w:rsid w:val="006A6C2B"/>
    <w:rsid w:val="006A6FEE"/>
    <w:rsid w:val="006A73CC"/>
    <w:rsid w:val="006A740C"/>
    <w:rsid w:val="006B0497"/>
    <w:rsid w:val="006B1145"/>
    <w:rsid w:val="006B13C3"/>
    <w:rsid w:val="006B149F"/>
    <w:rsid w:val="006B2814"/>
    <w:rsid w:val="006B2C18"/>
    <w:rsid w:val="006B2FBC"/>
    <w:rsid w:val="006B30F7"/>
    <w:rsid w:val="006B3479"/>
    <w:rsid w:val="006B34F7"/>
    <w:rsid w:val="006B3B90"/>
    <w:rsid w:val="006B3BC0"/>
    <w:rsid w:val="006B429B"/>
    <w:rsid w:val="006B4445"/>
    <w:rsid w:val="006B45B6"/>
    <w:rsid w:val="006B57CE"/>
    <w:rsid w:val="006B5DC2"/>
    <w:rsid w:val="006B666E"/>
    <w:rsid w:val="006B673A"/>
    <w:rsid w:val="006B6E37"/>
    <w:rsid w:val="006B6FD0"/>
    <w:rsid w:val="006B70EB"/>
    <w:rsid w:val="006B7614"/>
    <w:rsid w:val="006C004D"/>
    <w:rsid w:val="006C0390"/>
    <w:rsid w:val="006C051E"/>
    <w:rsid w:val="006C0F47"/>
    <w:rsid w:val="006C0FF3"/>
    <w:rsid w:val="006C1673"/>
    <w:rsid w:val="006C1F74"/>
    <w:rsid w:val="006C2467"/>
    <w:rsid w:val="006C2516"/>
    <w:rsid w:val="006C2A12"/>
    <w:rsid w:val="006C2F1C"/>
    <w:rsid w:val="006C31B8"/>
    <w:rsid w:val="006C31F1"/>
    <w:rsid w:val="006C3276"/>
    <w:rsid w:val="006C3EE9"/>
    <w:rsid w:val="006C3F6B"/>
    <w:rsid w:val="006C3FF4"/>
    <w:rsid w:val="006C41F2"/>
    <w:rsid w:val="006C477F"/>
    <w:rsid w:val="006C4B25"/>
    <w:rsid w:val="006C4E9C"/>
    <w:rsid w:val="006C5042"/>
    <w:rsid w:val="006C5B15"/>
    <w:rsid w:val="006C5C17"/>
    <w:rsid w:val="006C6AB2"/>
    <w:rsid w:val="006C6C7E"/>
    <w:rsid w:val="006C6FA1"/>
    <w:rsid w:val="006C7322"/>
    <w:rsid w:val="006C77AE"/>
    <w:rsid w:val="006C78C7"/>
    <w:rsid w:val="006C7DF0"/>
    <w:rsid w:val="006C7E26"/>
    <w:rsid w:val="006D0198"/>
    <w:rsid w:val="006D0261"/>
    <w:rsid w:val="006D14F1"/>
    <w:rsid w:val="006D15A3"/>
    <w:rsid w:val="006D1813"/>
    <w:rsid w:val="006D190B"/>
    <w:rsid w:val="006D1F1B"/>
    <w:rsid w:val="006D21D4"/>
    <w:rsid w:val="006D2228"/>
    <w:rsid w:val="006D26E3"/>
    <w:rsid w:val="006D2740"/>
    <w:rsid w:val="006D2DB3"/>
    <w:rsid w:val="006D3256"/>
    <w:rsid w:val="006D39C1"/>
    <w:rsid w:val="006D3D08"/>
    <w:rsid w:val="006D3EB3"/>
    <w:rsid w:val="006D3FB0"/>
    <w:rsid w:val="006D4437"/>
    <w:rsid w:val="006D5253"/>
    <w:rsid w:val="006D563C"/>
    <w:rsid w:val="006D5980"/>
    <w:rsid w:val="006D5B7B"/>
    <w:rsid w:val="006D66D9"/>
    <w:rsid w:val="006D6BF6"/>
    <w:rsid w:val="006D732D"/>
    <w:rsid w:val="006D76DC"/>
    <w:rsid w:val="006D7930"/>
    <w:rsid w:val="006D79A0"/>
    <w:rsid w:val="006D7A68"/>
    <w:rsid w:val="006D7DAC"/>
    <w:rsid w:val="006E00BC"/>
    <w:rsid w:val="006E082C"/>
    <w:rsid w:val="006E1237"/>
    <w:rsid w:val="006E14E7"/>
    <w:rsid w:val="006E16A4"/>
    <w:rsid w:val="006E18DD"/>
    <w:rsid w:val="006E18F7"/>
    <w:rsid w:val="006E1A65"/>
    <w:rsid w:val="006E1BC0"/>
    <w:rsid w:val="006E1CC3"/>
    <w:rsid w:val="006E200A"/>
    <w:rsid w:val="006E216B"/>
    <w:rsid w:val="006E24E3"/>
    <w:rsid w:val="006E259D"/>
    <w:rsid w:val="006E28A3"/>
    <w:rsid w:val="006E29A2"/>
    <w:rsid w:val="006E29CE"/>
    <w:rsid w:val="006E3036"/>
    <w:rsid w:val="006E3658"/>
    <w:rsid w:val="006E390D"/>
    <w:rsid w:val="006E3C8A"/>
    <w:rsid w:val="006E3F2C"/>
    <w:rsid w:val="006E3FAC"/>
    <w:rsid w:val="006E4312"/>
    <w:rsid w:val="006E44D4"/>
    <w:rsid w:val="006E4C83"/>
    <w:rsid w:val="006E50A1"/>
    <w:rsid w:val="006E50DF"/>
    <w:rsid w:val="006E54D4"/>
    <w:rsid w:val="006E5607"/>
    <w:rsid w:val="006E57BB"/>
    <w:rsid w:val="006E6236"/>
    <w:rsid w:val="006E70E7"/>
    <w:rsid w:val="006E750F"/>
    <w:rsid w:val="006F0209"/>
    <w:rsid w:val="006F07B8"/>
    <w:rsid w:val="006F0807"/>
    <w:rsid w:val="006F085E"/>
    <w:rsid w:val="006F0DB9"/>
    <w:rsid w:val="006F1065"/>
    <w:rsid w:val="006F1291"/>
    <w:rsid w:val="006F18AD"/>
    <w:rsid w:val="006F1D24"/>
    <w:rsid w:val="006F2E24"/>
    <w:rsid w:val="006F31C3"/>
    <w:rsid w:val="006F366D"/>
    <w:rsid w:val="006F3FBA"/>
    <w:rsid w:val="006F402D"/>
    <w:rsid w:val="006F415B"/>
    <w:rsid w:val="006F437D"/>
    <w:rsid w:val="006F5432"/>
    <w:rsid w:val="006F5B0E"/>
    <w:rsid w:val="006F5E93"/>
    <w:rsid w:val="006F69DD"/>
    <w:rsid w:val="006F6CB5"/>
    <w:rsid w:val="006F759D"/>
    <w:rsid w:val="006F75A1"/>
    <w:rsid w:val="007001AB"/>
    <w:rsid w:val="00700939"/>
    <w:rsid w:val="00700DBF"/>
    <w:rsid w:val="007018E0"/>
    <w:rsid w:val="00701947"/>
    <w:rsid w:val="00701949"/>
    <w:rsid w:val="00702106"/>
    <w:rsid w:val="00702418"/>
    <w:rsid w:val="007029AE"/>
    <w:rsid w:val="00702AC8"/>
    <w:rsid w:val="00702D1D"/>
    <w:rsid w:val="007030E3"/>
    <w:rsid w:val="0070365C"/>
    <w:rsid w:val="0070386B"/>
    <w:rsid w:val="007038CF"/>
    <w:rsid w:val="00704444"/>
    <w:rsid w:val="00704F75"/>
    <w:rsid w:val="0070513C"/>
    <w:rsid w:val="0070556C"/>
    <w:rsid w:val="00705A52"/>
    <w:rsid w:val="00705B06"/>
    <w:rsid w:val="00705DE9"/>
    <w:rsid w:val="00705E12"/>
    <w:rsid w:val="0070645B"/>
    <w:rsid w:val="00706C7E"/>
    <w:rsid w:val="00706DCB"/>
    <w:rsid w:val="0070763D"/>
    <w:rsid w:val="00707957"/>
    <w:rsid w:val="00707B70"/>
    <w:rsid w:val="0071085F"/>
    <w:rsid w:val="00711266"/>
    <w:rsid w:val="00711308"/>
    <w:rsid w:val="007115A8"/>
    <w:rsid w:val="00711676"/>
    <w:rsid w:val="00711790"/>
    <w:rsid w:val="00711B93"/>
    <w:rsid w:val="00711E18"/>
    <w:rsid w:val="007127F7"/>
    <w:rsid w:val="00712B57"/>
    <w:rsid w:val="00712E21"/>
    <w:rsid w:val="007131A5"/>
    <w:rsid w:val="00713208"/>
    <w:rsid w:val="007134F8"/>
    <w:rsid w:val="00713555"/>
    <w:rsid w:val="00713709"/>
    <w:rsid w:val="00713CAC"/>
    <w:rsid w:val="0071403A"/>
    <w:rsid w:val="007148DA"/>
    <w:rsid w:val="007149C0"/>
    <w:rsid w:val="00714AB2"/>
    <w:rsid w:val="00714BBE"/>
    <w:rsid w:val="00714D4A"/>
    <w:rsid w:val="00715AFB"/>
    <w:rsid w:val="00715B14"/>
    <w:rsid w:val="00716010"/>
    <w:rsid w:val="007163D8"/>
    <w:rsid w:val="00716A99"/>
    <w:rsid w:val="0071726A"/>
    <w:rsid w:val="00717489"/>
    <w:rsid w:val="0071752E"/>
    <w:rsid w:val="00717DB8"/>
    <w:rsid w:val="00717F11"/>
    <w:rsid w:val="007208A0"/>
    <w:rsid w:val="007208E4"/>
    <w:rsid w:val="007209F4"/>
    <w:rsid w:val="00720B08"/>
    <w:rsid w:val="00721698"/>
    <w:rsid w:val="0072169F"/>
    <w:rsid w:val="007218B9"/>
    <w:rsid w:val="007219D7"/>
    <w:rsid w:val="0072262E"/>
    <w:rsid w:val="00723502"/>
    <w:rsid w:val="00723CF6"/>
    <w:rsid w:val="00723DA1"/>
    <w:rsid w:val="00724247"/>
    <w:rsid w:val="00724278"/>
    <w:rsid w:val="0072564C"/>
    <w:rsid w:val="00725A5D"/>
    <w:rsid w:val="00726341"/>
    <w:rsid w:val="007267C3"/>
    <w:rsid w:val="00727886"/>
    <w:rsid w:val="00727B10"/>
    <w:rsid w:val="00727C32"/>
    <w:rsid w:val="00727D1B"/>
    <w:rsid w:val="007301DD"/>
    <w:rsid w:val="0073123D"/>
    <w:rsid w:val="00731456"/>
    <w:rsid w:val="00731475"/>
    <w:rsid w:val="00731AE0"/>
    <w:rsid w:val="00732530"/>
    <w:rsid w:val="00732750"/>
    <w:rsid w:val="00732834"/>
    <w:rsid w:val="0073286A"/>
    <w:rsid w:val="007333E0"/>
    <w:rsid w:val="00733930"/>
    <w:rsid w:val="00733B51"/>
    <w:rsid w:val="00733D4E"/>
    <w:rsid w:val="00733F19"/>
    <w:rsid w:val="0073431B"/>
    <w:rsid w:val="007343E3"/>
    <w:rsid w:val="00734B3A"/>
    <w:rsid w:val="00734EF7"/>
    <w:rsid w:val="00735572"/>
    <w:rsid w:val="00735823"/>
    <w:rsid w:val="00736377"/>
    <w:rsid w:val="00736C59"/>
    <w:rsid w:val="00736ED3"/>
    <w:rsid w:val="007372DC"/>
    <w:rsid w:val="00737A0E"/>
    <w:rsid w:val="00737BED"/>
    <w:rsid w:val="00737C92"/>
    <w:rsid w:val="00740005"/>
    <w:rsid w:val="00740955"/>
    <w:rsid w:val="00740FC3"/>
    <w:rsid w:val="00741046"/>
    <w:rsid w:val="0074140E"/>
    <w:rsid w:val="00741B1C"/>
    <w:rsid w:val="00741DB8"/>
    <w:rsid w:val="007426F1"/>
    <w:rsid w:val="00742C59"/>
    <w:rsid w:val="00742FF7"/>
    <w:rsid w:val="00743138"/>
    <w:rsid w:val="0074357D"/>
    <w:rsid w:val="007435DD"/>
    <w:rsid w:val="00744650"/>
    <w:rsid w:val="00744679"/>
    <w:rsid w:val="0074494B"/>
    <w:rsid w:val="007449A2"/>
    <w:rsid w:val="00745D08"/>
    <w:rsid w:val="00746138"/>
    <w:rsid w:val="00746267"/>
    <w:rsid w:val="00746B2D"/>
    <w:rsid w:val="00746EAC"/>
    <w:rsid w:val="00747135"/>
    <w:rsid w:val="00747280"/>
    <w:rsid w:val="00747F35"/>
    <w:rsid w:val="00750102"/>
    <w:rsid w:val="007502A2"/>
    <w:rsid w:val="007504AE"/>
    <w:rsid w:val="007507D5"/>
    <w:rsid w:val="00750A12"/>
    <w:rsid w:val="00750B72"/>
    <w:rsid w:val="00750BC5"/>
    <w:rsid w:val="00750D22"/>
    <w:rsid w:val="00750EF6"/>
    <w:rsid w:val="007510E3"/>
    <w:rsid w:val="007512A7"/>
    <w:rsid w:val="00751694"/>
    <w:rsid w:val="0075260C"/>
    <w:rsid w:val="007527F6"/>
    <w:rsid w:val="00752B7F"/>
    <w:rsid w:val="00753065"/>
    <w:rsid w:val="00753AEA"/>
    <w:rsid w:val="00753B41"/>
    <w:rsid w:val="007550A2"/>
    <w:rsid w:val="00755205"/>
    <w:rsid w:val="007555E5"/>
    <w:rsid w:val="007559F6"/>
    <w:rsid w:val="007563BE"/>
    <w:rsid w:val="00756B98"/>
    <w:rsid w:val="00757153"/>
    <w:rsid w:val="0075742E"/>
    <w:rsid w:val="00757477"/>
    <w:rsid w:val="007574F2"/>
    <w:rsid w:val="00757873"/>
    <w:rsid w:val="00757DA3"/>
    <w:rsid w:val="00760048"/>
    <w:rsid w:val="0076027B"/>
    <w:rsid w:val="00760547"/>
    <w:rsid w:val="00760555"/>
    <w:rsid w:val="00760DF6"/>
    <w:rsid w:val="0076197B"/>
    <w:rsid w:val="007620A3"/>
    <w:rsid w:val="0076214B"/>
    <w:rsid w:val="00762175"/>
    <w:rsid w:val="007629F3"/>
    <w:rsid w:val="00762A47"/>
    <w:rsid w:val="00762D81"/>
    <w:rsid w:val="00762E68"/>
    <w:rsid w:val="00763107"/>
    <w:rsid w:val="0076323D"/>
    <w:rsid w:val="00763399"/>
    <w:rsid w:val="0076358B"/>
    <w:rsid w:val="007640A0"/>
    <w:rsid w:val="007640BD"/>
    <w:rsid w:val="007642E6"/>
    <w:rsid w:val="00764536"/>
    <w:rsid w:val="007652A7"/>
    <w:rsid w:val="0076565C"/>
    <w:rsid w:val="00765711"/>
    <w:rsid w:val="00765B28"/>
    <w:rsid w:val="00765EC2"/>
    <w:rsid w:val="00766030"/>
    <w:rsid w:val="007660AA"/>
    <w:rsid w:val="007662F7"/>
    <w:rsid w:val="00766340"/>
    <w:rsid w:val="00766CD9"/>
    <w:rsid w:val="007678CA"/>
    <w:rsid w:val="00767D2C"/>
    <w:rsid w:val="00771B6C"/>
    <w:rsid w:val="00771E53"/>
    <w:rsid w:val="0077233E"/>
    <w:rsid w:val="00772365"/>
    <w:rsid w:val="00772521"/>
    <w:rsid w:val="007727AD"/>
    <w:rsid w:val="0077331B"/>
    <w:rsid w:val="0077388C"/>
    <w:rsid w:val="00773E07"/>
    <w:rsid w:val="0077420F"/>
    <w:rsid w:val="00774270"/>
    <w:rsid w:val="00774993"/>
    <w:rsid w:val="00775201"/>
    <w:rsid w:val="00775B02"/>
    <w:rsid w:val="00776541"/>
    <w:rsid w:val="00776804"/>
    <w:rsid w:val="00776A0C"/>
    <w:rsid w:val="00776B86"/>
    <w:rsid w:val="00776C27"/>
    <w:rsid w:val="00777507"/>
    <w:rsid w:val="00777751"/>
    <w:rsid w:val="00777B36"/>
    <w:rsid w:val="0078068C"/>
    <w:rsid w:val="00780862"/>
    <w:rsid w:val="00780987"/>
    <w:rsid w:val="00780E7E"/>
    <w:rsid w:val="00780FCB"/>
    <w:rsid w:val="00781343"/>
    <w:rsid w:val="0078163A"/>
    <w:rsid w:val="00781B65"/>
    <w:rsid w:val="00782434"/>
    <w:rsid w:val="0078273E"/>
    <w:rsid w:val="00782ADD"/>
    <w:rsid w:val="00782B88"/>
    <w:rsid w:val="00783208"/>
    <w:rsid w:val="00783983"/>
    <w:rsid w:val="00783E29"/>
    <w:rsid w:val="007840E1"/>
    <w:rsid w:val="0078432C"/>
    <w:rsid w:val="00784764"/>
    <w:rsid w:val="00784D18"/>
    <w:rsid w:val="00784F1D"/>
    <w:rsid w:val="0078543B"/>
    <w:rsid w:val="00785904"/>
    <w:rsid w:val="00786102"/>
    <w:rsid w:val="00786802"/>
    <w:rsid w:val="00786A7F"/>
    <w:rsid w:val="007878D6"/>
    <w:rsid w:val="00787AAB"/>
    <w:rsid w:val="00790132"/>
    <w:rsid w:val="007901A3"/>
    <w:rsid w:val="007901D1"/>
    <w:rsid w:val="007902F1"/>
    <w:rsid w:val="00790ADB"/>
    <w:rsid w:val="00790CFA"/>
    <w:rsid w:val="00791117"/>
    <w:rsid w:val="007919EA"/>
    <w:rsid w:val="00791B48"/>
    <w:rsid w:val="0079232E"/>
    <w:rsid w:val="00792612"/>
    <w:rsid w:val="007928BF"/>
    <w:rsid w:val="00792CE9"/>
    <w:rsid w:val="0079332C"/>
    <w:rsid w:val="007939BE"/>
    <w:rsid w:val="00793B07"/>
    <w:rsid w:val="007940AB"/>
    <w:rsid w:val="007941A5"/>
    <w:rsid w:val="00794BB4"/>
    <w:rsid w:val="00795094"/>
    <w:rsid w:val="00795147"/>
    <w:rsid w:val="007954A0"/>
    <w:rsid w:val="00795597"/>
    <w:rsid w:val="007957B1"/>
    <w:rsid w:val="007957F5"/>
    <w:rsid w:val="00795C43"/>
    <w:rsid w:val="0079683B"/>
    <w:rsid w:val="007969C2"/>
    <w:rsid w:val="00796ABF"/>
    <w:rsid w:val="00796AE4"/>
    <w:rsid w:val="0079752C"/>
    <w:rsid w:val="00797696"/>
    <w:rsid w:val="00797E19"/>
    <w:rsid w:val="00797FBA"/>
    <w:rsid w:val="007A035A"/>
    <w:rsid w:val="007A06E0"/>
    <w:rsid w:val="007A0BEE"/>
    <w:rsid w:val="007A0EBB"/>
    <w:rsid w:val="007A1641"/>
    <w:rsid w:val="007A166D"/>
    <w:rsid w:val="007A2509"/>
    <w:rsid w:val="007A2AB6"/>
    <w:rsid w:val="007A2CD9"/>
    <w:rsid w:val="007A2F10"/>
    <w:rsid w:val="007A31DB"/>
    <w:rsid w:val="007A3655"/>
    <w:rsid w:val="007A4238"/>
    <w:rsid w:val="007A428C"/>
    <w:rsid w:val="007A436D"/>
    <w:rsid w:val="007A464C"/>
    <w:rsid w:val="007A4A8D"/>
    <w:rsid w:val="007A4B21"/>
    <w:rsid w:val="007A4C64"/>
    <w:rsid w:val="007A4EF2"/>
    <w:rsid w:val="007A518F"/>
    <w:rsid w:val="007A5253"/>
    <w:rsid w:val="007A582A"/>
    <w:rsid w:val="007A5B32"/>
    <w:rsid w:val="007A650B"/>
    <w:rsid w:val="007A66EF"/>
    <w:rsid w:val="007A695B"/>
    <w:rsid w:val="007A69F3"/>
    <w:rsid w:val="007A6D3A"/>
    <w:rsid w:val="007A6E65"/>
    <w:rsid w:val="007A6ED7"/>
    <w:rsid w:val="007A6F39"/>
    <w:rsid w:val="007A763F"/>
    <w:rsid w:val="007B00C2"/>
    <w:rsid w:val="007B0468"/>
    <w:rsid w:val="007B091E"/>
    <w:rsid w:val="007B0E10"/>
    <w:rsid w:val="007B0FF2"/>
    <w:rsid w:val="007B1515"/>
    <w:rsid w:val="007B1601"/>
    <w:rsid w:val="007B17A0"/>
    <w:rsid w:val="007B18DF"/>
    <w:rsid w:val="007B2076"/>
    <w:rsid w:val="007B22E2"/>
    <w:rsid w:val="007B2823"/>
    <w:rsid w:val="007B29F6"/>
    <w:rsid w:val="007B2D4F"/>
    <w:rsid w:val="007B2DC4"/>
    <w:rsid w:val="007B2E4E"/>
    <w:rsid w:val="007B3CC8"/>
    <w:rsid w:val="007B3D3F"/>
    <w:rsid w:val="007B46D0"/>
    <w:rsid w:val="007B4E24"/>
    <w:rsid w:val="007B54BA"/>
    <w:rsid w:val="007B5AAD"/>
    <w:rsid w:val="007B603C"/>
    <w:rsid w:val="007B6400"/>
    <w:rsid w:val="007B68EE"/>
    <w:rsid w:val="007B6E33"/>
    <w:rsid w:val="007B777F"/>
    <w:rsid w:val="007C0055"/>
    <w:rsid w:val="007C0295"/>
    <w:rsid w:val="007C057D"/>
    <w:rsid w:val="007C07C8"/>
    <w:rsid w:val="007C0ECC"/>
    <w:rsid w:val="007C1AE3"/>
    <w:rsid w:val="007C1E2B"/>
    <w:rsid w:val="007C2051"/>
    <w:rsid w:val="007C2232"/>
    <w:rsid w:val="007C2416"/>
    <w:rsid w:val="007C2695"/>
    <w:rsid w:val="007C2B3D"/>
    <w:rsid w:val="007C2E38"/>
    <w:rsid w:val="007C37E1"/>
    <w:rsid w:val="007C3FC4"/>
    <w:rsid w:val="007C4B54"/>
    <w:rsid w:val="007C5D77"/>
    <w:rsid w:val="007C6369"/>
    <w:rsid w:val="007C64F9"/>
    <w:rsid w:val="007C65E9"/>
    <w:rsid w:val="007C68FC"/>
    <w:rsid w:val="007C6AB1"/>
    <w:rsid w:val="007C6D4A"/>
    <w:rsid w:val="007C6D77"/>
    <w:rsid w:val="007C6D9B"/>
    <w:rsid w:val="007C7CB7"/>
    <w:rsid w:val="007D08E8"/>
    <w:rsid w:val="007D0FD8"/>
    <w:rsid w:val="007D12FF"/>
    <w:rsid w:val="007D1849"/>
    <w:rsid w:val="007D19D7"/>
    <w:rsid w:val="007D1D91"/>
    <w:rsid w:val="007D240B"/>
    <w:rsid w:val="007D32DD"/>
    <w:rsid w:val="007D3826"/>
    <w:rsid w:val="007D3899"/>
    <w:rsid w:val="007D3E60"/>
    <w:rsid w:val="007D4AE3"/>
    <w:rsid w:val="007D5232"/>
    <w:rsid w:val="007D55CE"/>
    <w:rsid w:val="007D58B4"/>
    <w:rsid w:val="007D6340"/>
    <w:rsid w:val="007D6384"/>
    <w:rsid w:val="007D6485"/>
    <w:rsid w:val="007D6603"/>
    <w:rsid w:val="007D6E59"/>
    <w:rsid w:val="007D6E92"/>
    <w:rsid w:val="007D7343"/>
    <w:rsid w:val="007D796C"/>
    <w:rsid w:val="007E0199"/>
    <w:rsid w:val="007E01EC"/>
    <w:rsid w:val="007E023D"/>
    <w:rsid w:val="007E062C"/>
    <w:rsid w:val="007E0A7E"/>
    <w:rsid w:val="007E0C0E"/>
    <w:rsid w:val="007E0FD3"/>
    <w:rsid w:val="007E10EF"/>
    <w:rsid w:val="007E1483"/>
    <w:rsid w:val="007E15FA"/>
    <w:rsid w:val="007E1AAA"/>
    <w:rsid w:val="007E1B49"/>
    <w:rsid w:val="007E216F"/>
    <w:rsid w:val="007E291E"/>
    <w:rsid w:val="007E329B"/>
    <w:rsid w:val="007E38B8"/>
    <w:rsid w:val="007E3B13"/>
    <w:rsid w:val="007E3CAC"/>
    <w:rsid w:val="007E4D6A"/>
    <w:rsid w:val="007E4DDF"/>
    <w:rsid w:val="007E4F81"/>
    <w:rsid w:val="007E5151"/>
    <w:rsid w:val="007E5324"/>
    <w:rsid w:val="007E5A34"/>
    <w:rsid w:val="007E6613"/>
    <w:rsid w:val="007E66B2"/>
    <w:rsid w:val="007E71E6"/>
    <w:rsid w:val="007E79FE"/>
    <w:rsid w:val="007E7D24"/>
    <w:rsid w:val="007E7FA2"/>
    <w:rsid w:val="007F023C"/>
    <w:rsid w:val="007F0420"/>
    <w:rsid w:val="007F0601"/>
    <w:rsid w:val="007F0D53"/>
    <w:rsid w:val="007F1B39"/>
    <w:rsid w:val="007F1C42"/>
    <w:rsid w:val="007F1D51"/>
    <w:rsid w:val="007F1F3B"/>
    <w:rsid w:val="007F248F"/>
    <w:rsid w:val="007F2C69"/>
    <w:rsid w:val="007F2E64"/>
    <w:rsid w:val="007F3507"/>
    <w:rsid w:val="007F401E"/>
    <w:rsid w:val="007F40F4"/>
    <w:rsid w:val="007F41B0"/>
    <w:rsid w:val="007F4542"/>
    <w:rsid w:val="007F460A"/>
    <w:rsid w:val="007F46E2"/>
    <w:rsid w:val="007F491F"/>
    <w:rsid w:val="007F56F7"/>
    <w:rsid w:val="007F5C6C"/>
    <w:rsid w:val="007F6409"/>
    <w:rsid w:val="007F6591"/>
    <w:rsid w:val="007F696A"/>
    <w:rsid w:val="007F698C"/>
    <w:rsid w:val="007F6BAD"/>
    <w:rsid w:val="007F6D62"/>
    <w:rsid w:val="007F6FED"/>
    <w:rsid w:val="007F7D73"/>
    <w:rsid w:val="0080052E"/>
    <w:rsid w:val="008005E1"/>
    <w:rsid w:val="00800D7A"/>
    <w:rsid w:val="008010A8"/>
    <w:rsid w:val="008022BF"/>
    <w:rsid w:val="008029BE"/>
    <w:rsid w:val="00802D29"/>
    <w:rsid w:val="008036FC"/>
    <w:rsid w:val="008037FB"/>
    <w:rsid w:val="00803B56"/>
    <w:rsid w:val="00803ECA"/>
    <w:rsid w:val="0080414E"/>
    <w:rsid w:val="00804507"/>
    <w:rsid w:val="00804894"/>
    <w:rsid w:val="00804A4A"/>
    <w:rsid w:val="00804A68"/>
    <w:rsid w:val="00804BF0"/>
    <w:rsid w:val="00806125"/>
    <w:rsid w:val="00806986"/>
    <w:rsid w:val="00806A42"/>
    <w:rsid w:val="00806DD2"/>
    <w:rsid w:val="00807248"/>
    <w:rsid w:val="00807760"/>
    <w:rsid w:val="008079E1"/>
    <w:rsid w:val="00807D89"/>
    <w:rsid w:val="00810634"/>
    <w:rsid w:val="00810BC4"/>
    <w:rsid w:val="0081112B"/>
    <w:rsid w:val="0081119D"/>
    <w:rsid w:val="00811545"/>
    <w:rsid w:val="00811C0A"/>
    <w:rsid w:val="0081233D"/>
    <w:rsid w:val="00812609"/>
    <w:rsid w:val="00813385"/>
    <w:rsid w:val="00813433"/>
    <w:rsid w:val="008135D0"/>
    <w:rsid w:val="00813D00"/>
    <w:rsid w:val="00813EEA"/>
    <w:rsid w:val="008141A6"/>
    <w:rsid w:val="00814211"/>
    <w:rsid w:val="008143BF"/>
    <w:rsid w:val="00814EA2"/>
    <w:rsid w:val="008155E1"/>
    <w:rsid w:val="0081660B"/>
    <w:rsid w:val="00816A93"/>
    <w:rsid w:val="00816B10"/>
    <w:rsid w:val="00817066"/>
    <w:rsid w:val="0082000F"/>
    <w:rsid w:val="00820C46"/>
    <w:rsid w:val="00821E34"/>
    <w:rsid w:val="00821E7B"/>
    <w:rsid w:val="00821FBC"/>
    <w:rsid w:val="008227F1"/>
    <w:rsid w:val="00822837"/>
    <w:rsid w:val="00823026"/>
    <w:rsid w:val="00823661"/>
    <w:rsid w:val="0082380B"/>
    <w:rsid w:val="00823B67"/>
    <w:rsid w:val="00823CDE"/>
    <w:rsid w:val="00824C17"/>
    <w:rsid w:val="008253D3"/>
    <w:rsid w:val="0082549E"/>
    <w:rsid w:val="008254A8"/>
    <w:rsid w:val="008257FB"/>
    <w:rsid w:val="00825A19"/>
    <w:rsid w:val="00825F94"/>
    <w:rsid w:val="00825FBE"/>
    <w:rsid w:val="0082644A"/>
    <w:rsid w:val="00826582"/>
    <w:rsid w:val="00826583"/>
    <w:rsid w:val="00826617"/>
    <w:rsid w:val="00826658"/>
    <w:rsid w:val="00826989"/>
    <w:rsid w:val="00826D30"/>
    <w:rsid w:val="00826F70"/>
    <w:rsid w:val="008278FE"/>
    <w:rsid w:val="008304CA"/>
    <w:rsid w:val="008305CE"/>
    <w:rsid w:val="008305EA"/>
    <w:rsid w:val="008306A2"/>
    <w:rsid w:val="00831764"/>
    <w:rsid w:val="00831E5C"/>
    <w:rsid w:val="008328B0"/>
    <w:rsid w:val="0083296F"/>
    <w:rsid w:val="008329FC"/>
    <w:rsid w:val="00833940"/>
    <w:rsid w:val="00834061"/>
    <w:rsid w:val="00834175"/>
    <w:rsid w:val="008341F2"/>
    <w:rsid w:val="008343B8"/>
    <w:rsid w:val="008344CB"/>
    <w:rsid w:val="008346FB"/>
    <w:rsid w:val="008348C7"/>
    <w:rsid w:val="00834ACB"/>
    <w:rsid w:val="00834AFC"/>
    <w:rsid w:val="00834DC3"/>
    <w:rsid w:val="008352EE"/>
    <w:rsid w:val="00835520"/>
    <w:rsid w:val="008356B6"/>
    <w:rsid w:val="00836BD7"/>
    <w:rsid w:val="00837621"/>
    <w:rsid w:val="008379EC"/>
    <w:rsid w:val="008402D8"/>
    <w:rsid w:val="00840B3A"/>
    <w:rsid w:val="00840B4B"/>
    <w:rsid w:val="00840BBA"/>
    <w:rsid w:val="0084186A"/>
    <w:rsid w:val="0084197C"/>
    <w:rsid w:val="0084214E"/>
    <w:rsid w:val="0084222B"/>
    <w:rsid w:val="00842522"/>
    <w:rsid w:val="00842685"/>
    <w:rsid w:val="00842E4B"/>
    <w:rsid w:val="008430B9"/>
    <w:rsid w:val="00843211"/>
    <w:rsid w:val="00843622"/>
    <w:rsid w:val="00843CF2"/>
    <w:rsid w:val="008443C2"/>
    <w:rsid w:val="00844708"/>
    <w:rsid w:val="00844CEE"/>
    <w:rsid w:val="00844D50"/>
    <w:rsid w:val="00845283"/>
    <w:rsid w:val="00845DC4"/>
    <w:rsid w:val="0084695B"/>
    <w:rsid w:val="00846B7D"/>
    <w:rsid w:val="00846BC3"/>
    <w:rsid w:val="00846D86"/>
    <w:rsid w:val="00846DE9"/>
    <w:rsid w:val="00846DED"/>
    <w:rsid w:val="0084756D"/>
    <w:rsid w:val="00847A36"/>
    <w:rsid w:val="00847E6E"/>
    <w:rsid w:val="008507DA"/>
    <w:rsid w:val="008508EC"/>
    <w:rsid w:val="008517BD"/>
    <w:rsid w:val="00851C0E"/>
    <w:rsid w:val="00851EF3"/>
    <w:rsid w:val="00851F5C"/>
    <w:rsid w:val="00852130"/>
    <w:rsid w:val="00852663"/>
    <w:rsid w:val="0085290C"/>
    <w:rsid w:val="00852DE1"/>
    <w:rsid w:val="00853806"/>
    <w:rsid w:val="00853995"/>
    <w:rsid w:val="00853EA1"/>
    <w:rsid w:val="00853F75"/>
    <w:rsid w:val="00854426"/>
    <w:rsid w:val="008548C5"/>
    <w:rsid w:val="00854B94"/>
    <w:rsid w:val="00855AF1"/>
    <w:rsid w:val="00855C4E"/>
    <w:rsid w:val="008562EB"/>
    <w:rsid w:val="00856B3D"/>
    <w:rsid w:val="00856C95"/>
    <w:rsid w:val="00856E1E"/>
    <w:rsid w:val="00856EFB"/>
    <w:rsid w:val="0085739E"/>
    <w:rsid w:val="008574D0"/>
    <w:rsid w:val="0085765D"/>
    <w:rsid w:val="00857812"/>
    <w:rsid w:val="00857F3F"/>
    <w:rsid w:val="00860161"/>
    <w:rsid w:val="008608CE"/>
    <w:rsid w:val="00860950"/>
    <w:rsid w:val="008611E2"/>
    <w:rsid w:val="00861E5C"/>
    <w:rsid w:val="00861EA7"/>
    <w:rsid w:val="008629EB"/>
    <w:rsid w:val="00862B45"/>
    <w:rsid w:val="00862EE5"/>
    <w:rsid w:val="00863209"/>
    <w:rsid w:val="00863288"/>
    <w:rsid w:val="00863371"/>
    <w:rsid w:val="00863A94"/>
    <w:rsid w:val="00863B89"/>
    <w:rsid w:val="00863E4C"/>
    <w:rsid w:val="00864210"/>
    <w:rsid w:val="00864499"/>
    <w:rsid w:val="0086633E"/>
    <w:rsid w:val="0086658B"/>
    <w:rsid w:val="008666AC"/>
    <w:rsid w:val="008666B2"/>
    <w:rsid w:val="008667FC"/>
    <w:rsid w:val="00866826"/>
    <w:rsid w:val="00866891"/>
    <w:rsid w:val="00866921"/>
    <w:rsid w:val="00866C8B"/>
    <w:rsid w:val="00867D10"/>
    <w:rsid w:val="00867D81"/>
    <w:rsid w:val="00870627"/>
    <w:rsid w:val="0087127E"/>
    <w:rsid w:val="00872719"/>
    <w:rsid w:val="00872961"/>
    <w:rsid w:val="00872D16"/>
    <w:rsid w:val="00873B29"/>
    <w:rsid w:val="00874376"/>
    <w:rsid w:val="00874DD2"/>
    <w:rsid w:val="00874FB4"/>
    <w:rsid w:val="0087546C"/>
    <w:rsid w:val="008757AA"/>
    <w:rsid w:val="00875D8E"/>
    <w:rsid w:val="00876306"/>
    <w:rsid w:val="00876978"/>
    <w:rsid w:val="00876C6A"/>
    <w:rsid w:val="00876F12"/>
    <w:rsid w:val="00876FEA"/>
    <w:rsid w:val="00877513"/>
    <w:rsid w:val="00877F93"/>
    <w:rsid w:val="00877FF2"/>
    <w:rsid w:val="0088006F"/>
    <w:rsid w:val="00880296"/>
    <w:rsid w:val="00880644"/>
    <w:rsid w:val="0088070F"/>
    <w:rsid w:val="008808F2"/>
    <w:rsid w:val="008808F6"/>
    <w:rsid w:val="00880AEB"/>
    <w:rsid w:val="00880BAA"/>
    <w:rsid w:val="00880CCD"/>
    <w:rsid w:val="00880D8B"/>
    <w:rsid w:val="00881042"/>
    <w:rsid w:val="0088193B"/>
    <w:rsid w:val="008825F2"/>
    <w:rsid w:val="00882DBA"/>
    <w:rsid w:val="00883262"/>
    <w:rsid w:val="00883C80"/>
    <w:rsid w:val="008845CD"/>
    <w:rsid w:val="008847D6"/>
    <w:rsid w:val="00884AB0"/>
    <w:rsid w:val="00884BE6"/>
    <w:rsid w:val="00884C87"/>
    <w:rsid w:val="00884DE1"/>
    <w:rsid w:val="00885208"/>
    <w:rsid w:val="0088566D"/>
    <w:rsid w:val="00885CAC"/>
    <w:rsid w:val="008860C4"/>
    <w:rsid w:val="0088643D"/>
    <w:rsid w:val="0088650A"/>
    <w:rsid w:val="0088669F"/>
    <w:rsid w:val="00886763"/>
    <w:rsid w:val="00886789"/>
    <w:rsid w:val="008904A0"/>
    <w:rsid w:val="0089081F"/>
    <w:rsid w:val="008908DE"/>
    <w:rsid w:val="00890C07"/>
    <w:rsid w:val="00890D57"/>
    <w:rsid w:val="00890FD0"/>
    <w:rsid w:val="00891029"/>
    <w:rsid w:val="008912FE"/>
    <w:rsid w:val="0089140F"/>
    <w:rsid w:val="00891687"/>
    <w:rsid w:val="008916AB"/>
    <w:rsid w:val="00891DE8"/>
    <w:rsid w:val="00892CE7"/>
    <w:rsid w:val="0089325F"/>
    <w:rsid w:val="00893F3D"/>
    <w:rsid w:val="008941FC"/>
    <w:rsid w:val="00894454"/>
    <w:rsid w:val="00894FBF"/>
    <w:rsid w:val="00894FF3"/>
    <w:rsid w:val="0089505C"/>
    <w:rsid w:val="00895347"/>
    <w:rsid w:val="00896227"/>
    <w:rsid w:val="0089695D"/>
    <w:rsid w:val="00896E1F"/>
    <w:rsid w:val="00896F74"/>
    <w:rsid w:val="0089795D"/>
    <w:rsid w:val="00897C8B"/>
    <w:rsid w:val="008A0B29"/>
    <w:rsid w:val="008A0C78"/>
    <w:rsid w:val="008A12DC"/>
    <w:rsid w:val="008A221B"/>
    <w:rsid w:val="008A260C"/>
    <w:rsid w:val="008A298B"/>
    <w:rsid w:val="008A2E71"/>
    <w:rsid w:val="008A38F1"/>
    <w:rsid w:val="008A3B77"/>
    <w:rsid w:val="008A3C96"/>
    <w:rsid w:val="008A3DCE"/>
    <w:rsid w:val="008A4454"/>
    <w:rsid w:val="008A4A4C"/>
    <w:rsid w:val="008A4B40"/>
    <w:rsid w:val="008A4E26"/>
    <w:rsid w:val="008A50AA"/>
    <w:rsid w:val="008A5145"/>
    <w:rsid w:val="008A51ED"/>
    <w:rsid w:val="008A5225"/>
    <w:rsid w:val="008A52E5"/>
    <w:rsid w:val="008A52E6"/>
    <w:rsid w:val="008A5631"/>
    <w:rsid w:val="008A5688"/>
    <w:rsid w:val="008A5AC1"/>
    <w:rsid w:val="008A5BFC"/>
    <w:rsid w:val="008A5D5A"/>
    <w:rsid w:val="008A5DAA"/>
    <w:rsid w:val="008A5F16"/>
    <w:rsid w:val="008A6219"/>
    <w:rsid w:val="008A6250"/>
    <w:rsid w:val="008A6314"/>
    <w:rsid w:val="008A63A5"/>
    <w:rsid w:val="008A676D"/>
    <w:rsid w:val="008A6836"/>
    <w:rsid w:val="008A6CDC"/>
    <w:rsid w:val="008A6DE0"/>
    <w:rsid w:val="008A6DF4"/>
    <w:rsid w:val="008A7120"/>
    <w:rsid w:val="008A7187"/>
    <w:rsid w:val="008A73C8"/>
    <w:rsid w:val="008A7E2E"/>
    <w:rsid w:val="008A7F9D"/>
    <w:rsid w:val="008B00D2"/>
    <w:rsid w:val="008B060A"/>
    <w:rsid w:val="008B0BF5"/>
    <w:rsid w:val="008B117D"/>
    <w:rsid w:val="008B130F"/>
    <w:rsid w:val="008B1338"/>
    <w:rsid w:val="008B149E"/>
    <w:rsid w:val="008B1521"/>
    <w:rsid w:val="008B18BB"/>
    <w:rsid w:val="008B1951"/>
    <w:rsid w:val="008B1D67"/>
    <w:rsid w:val="008B2752"/>
    <w:rsid w:val="008B30EB"/>
    <w:rsid w:val="008B3172"/>
    <w:rsid w:val="008B3174"/>
    <w:rsid w:val="008B37E1"/>
    <w:rsid w:val="008B3B1C"/>
    <w:rsid w:val="008B4670"/>
    <w:rsid w:val="008B4877"/>
    <w:rsid w:val="008B4F85"/>
    <w:rsid w:val="008B53FD"/>
    <w:rsid w:val="008B56EF"/>
    <w:rsid w:val="008B66E0"/>
    <w:rsid w:val="008B67D2"/>
    <w:rsid w:val="008B6BC0"/>
    <w:rsid w:val="008B6CC2"/>
    <w:rsid w:val="008B7001"/>
    <w:rsid w:val="008B7DCE"/>
    <w:rsid w:val="008C029A"/>
    <w:rsid w:val="008C0A0A"/>
    <w:rsid w:val="008C0C88"/>
    <w:rsid w:val="008C0D87"/>
    <w:rsid w:val="008C12AE"/>
    <w:rsid w:val="008C136B"/>
    <w:rsid w:val="008C184D"/>
    <w:rsid w:val="008C1B34"/>
    <w:rsid w:val="008C20E5"/>
    <w:rsid w:val="008C2856"/>
    <w:rsid w:val="008C2E44"/>
    <w:rsid w:val="008C3A7F"/>
    <w:rsid w:val="008C55F4"/>
    <w:rsid w:val="008C585D"/>
    <w:rsid w:val="008C59BB"/>
    <w:rsid w:val="008C5A52"/>
    <w:rsid w:val="008C5F4B"/>
    <w:rsid w:val="008C68B9"/>
    <w:rsid w:val="008C6AD7"/>
    <w:rsid w:val="008C6DCF"/>
    <w:rsid w:val="008C7BE7"/>
    <w:rsid w:val="008C7F3F"/>
    <w:rsid w:val="008D07B3"/>
    <w:rsid w:val="008D1A40"/>
    <w:rsid w:val="008D2C35"/>
    <w:rsid w:val="008D3046"/>
    <w:rsid w:val="008D3096"/>
    <w:rsid w:val="008D37E6"/>
    <w:rsid w:val="008D4069"/>
    <w:rsid w:val="008D4234"/>
    <w:rsid w:val="008D657E"/>
    <w:rsid w:val="008D6974"/>
    <w:rsid w:val="008D6A66"/>
    <w:rsid w:val="008D6D9F"/>
    <w:rsid w:val="008D7226"/>
    <w:rsid w:val="008D735A"/>
    <w:rsid w:val="008D75BA"/>
    <w:rsid w:val="008D75DE"/>
    <w:rsid w:val="008D767C"/>
    <w:rsid w:val="008D7C5C"/>
    <w:rsid w:val="008E04B3"/>
    <w:rsid w:val="008E050B"/>
    <w:rsid w:val="008E0856"/>
    <w:rsid w:val="008E0885"/>
    <w:rsid w:val="008E08AC"/>
    <w:rsid w:val="008E0B3B"/>
    <w:rsid w:val="008E0D02"/>
    <w:rsid w:val="008E1236"/>
    <w:rsid w:val="008E1398"/>
    <w:rsid w:val="008E144F"/>
    <w:rsid w:val="008E18FF"/>
    <w:rsid w:val="008E1A0B"/>
    <w:rsid w:val="008E241E"/>
    <w:rsid w:val="008E2990"/>
    <w:rsid w:val="008E2CC4"/>
    <w:rsid w:val="008E2E77"/>
    <w:rsid w:val="008E32D3"/>
    <w:rsid w:val="008E36E4"/>
    <w:rsid w:val="008E3840"/>
    <w:rsid w:val="008E38AD"/>
    <w:rsid w:val="008E3CC4"/>
    <w:rsid w:val="008E42A2"/>
    <w:rsid w:val="008E450C"/>
    <w:rsid w:val="008E4757"/>
    <w:rsid w:val="008E4952"/>
    <w:rsid w:val="008E4CF0"/>
    <w:rsid w:val="008E4CFD"/>
    <w:rsid w:val="008E5292"/>
    <w:rsid w:val="008E59F6"/>
    <w:rsid w:val="008E5C45"/>
    <w:rsid w:val="008E6217"/>
    <w:rsid w:val="008E622A"/>
    <w:rsid w:val="008E6365"/>
    <w:rsid w:val="008E63F2"/>
    <w:rsid w:val="008E64E5"/>
    <w:rsid w:val="008E66CB"/>
    <w:rsid w:val="008E6C90"/>
    <w:rsid w:val="008E6E03"/>
    <w:rsid w:val="008E73C1"/>
    <w:rsid w:val="008E78DC"/>
    <w:rsid w:val="008E7E11"/>
    <w:rsid w:val="008E7E73"/>
    <w:rsid w:val="008E7F36"/>
    <w:rsid w:val="008F05E7"/>
    <w:rsid w:val="008F0751"/>
    <w:rsid w:val="008F09FD"/>
    <w:rsid w:val="008F0AF5"/>
    <w:rsid w:val="008F0E39"/>
    <w:rsid w:val="008F1002"/>
    <w:rsid w:val="008F1061"/>
    <w:rsid w:val="008F197A"/>
    <w:rsid w:val="008F19D7"/>
    <w:rsid w:val="008F1CFF"/>
    <w:rsid w:val="008F1E53"/>
    <w:rsid w:val="008F1F36"/>
    <w:rsid w:val="008F1FEA"/>
    <w:rsid w:val="008F2085"/>
    <w:rsid w:val="008F22C8"/>
    <w:rsid w:val="008F2A4F"/>
    <w:rsid w:val="008F31E0"/>
    <w:rsid w:val="008F34E0"/>
    <w:rsid w:val="008F3886"/>
    <w:rsid w:val="008F3D26"/>
    <w:rsid w:val="008F3D59"/>
    <w:rsid w:val="008F4310"/>
    <w:rsid w:val="008F4551"/>
    <w:rsid w:val="008F46CF"/>
    <w:rsid w:val="008F4D78"/>
    <w:rsid w:val="008F4E23"/>
    <w:rsid w:val="008F50AE"/>
    <w:rsid w:val="008F521A"/>
    <w:rsid w:val="008F5678"/>
    <w:rsid w:val="008F619D"/>
    <w:rsid w:val="008F61BC"/>
    <w:rsid w:val="008F6405"/>
    <w:rsid w:val="008F6853"/>
    <w:rsid w:val="008F68D8"/>
    <w:rsid w:val="008F7433"/>
    <w:rsid w:val="008F760F"/>
    <w:rsid w:val="008F7C2D"/>
    <w:rsid w:val="008F7EDB"/>
    <w:rsid w:val="008F7FA8"/>
    <w:rsid w:val="00900093"/>
    <w:rsid w:val="0090041C"/>
    <w:rsid w:val="0090184C"/>
    <w:rsid w:val="00901908"/>
    <w:rsid w:val="00901B70"/>
    <w:rsid w:val="0090211B"/>
    <w:rsid w:val="009028E2"/>
    <w:rsid w:val="009029BB"/>
    <w:rsid w:val="00902EE7"/>
    <w:rsid w:val="00903900"/>
    <w:rsid w:val="00903E7A"/>
    <w:rsid w:val="00903F5A"/>
    <w:rsid w:val="00903FFF"/>
    <w:rsid w:val="00904104"/>
    <w:rsid w:val="009041B7"/>
    <w:rsid w:val="00904597"/>
    <w:rsid w:val="009045C0"/>
    <w:rsid w:val="00904C2D"/>
    <w:rsid w:val="00906076"/>
    <w:rsid w:val="009063CA"/>
    <w:rsid w:val="00907108"/>
    <w:rsid w:val="009077D4"/>
    <w:rsid w:val="00907C3E"/>
    <w:rsid w:val="00907C8F"/>
    <w:rsid w:val="009100B3"/>
    <w:rsid w:val="009106BB"/>
    <w:rsid w:val="00910C91"/>
    <w:rsid w:val="00911BA9"/>
    <w:rsid w:val="0091267A"/>
    <w:rsid w:val="00912742"/>
    <w:rsid w:val="00912C77"/>
    <w:rsid w:val="00912EAA"/>
    <w:rsid w:val="0091304E"/>
    <w:rsid w:val="00913718"/>
    <w:rsid w:val="00913784"/>
    <w:rsid w:val="00913B16"/>
    <w:rsid w:val="00913F21"/>
    <w:rsid w:val="00914073"/>
    <w:rsid w:val="009141B7"/>
    <w:rsid w:val="00914401"/>
    <w:rsid w:val="00914A26"/>
    <w:rsid w:val="00914CE0"/>
    <w:rsid w:val="0091520D"/>
    <w:rsid w:val="009153CE"/>
    <w:rsid w:val="009159A2"/>
    <w:rsid w:val="00915F1C"/>
    <w:rsid w:val="00916170"/>
    <w:rsid w:val="009161A9"/>
    <w:rsid w:val="009165FC"/>
    <w:rsid w:val="00916BDE"/>
    <w:rsid w:val="00916EE0"/>
    <w:rsid w:val="00917BC8"/>
    <w:rsid w:val="00917E45"/>
    <w:rsid w:val="0092012E"/>
    <w:rsid w:val="00920BFF"/>
    <w:rsid w:val="009214E7"/>
    <w:rsid w:val="0092168A"/>
    <w:rsid w:val="00921A5F"/>
    <w:rsid w:val="00922660"/>
    <w:rsid w:val="009229E8"/>
    <w:rsid w:val="00922F09"/>
    <w:rsid w:val="00923174"/>
    <w:rsid w:val="00923777"/>
    <w:rsid w:val="00923D08"/>
    <w:rsid w:val="00923E34"/>
    <w:rsid w:val="00923E52"/>
    <w:rsid w:val="00924181"/>
    <w:rsid w:val="00924B05"/>
    <w:rsid w:val="00924C87"/>
    <w:rsid w:val="009251EA"/>
    <w:rsid w:val="009257B9"/>
    <w:rsid w:val="009261A4"/>
    <w:rsid w:val="009261B4"/>
    <w:rsid w:val="00926485"/>
    <w:rsid w:val="009267F9"/>
    <w:rsid w:val="00927015"/>
    <w:rsid w:val="00927104"/>
    <w:rsid w:val="00927576"/>
    <w:rsid w:val="0093142D"/>
    <w:rsid w:val="009317BD"/>
    <w:rsid w:val="00931F22"/>
    <w:rsid w:val="009328EF"/>
    <w:rsid w:val="0093382E"/>
    <w:rsid w:val="009338F3"/>
    <w:rsid w:val="00933F51"/>
    <w:rsid w:val="0093403D"/>
    <w:rsid w:val="009345BC"/>
    <w:rsid w:val="00934688"/>
    <w:rsid w:val="00934B96"/>
    <w:rsid w:val="00934C6F"/>
    <w:rsid w:val="009356F5"/>
    <w:rsid w:val="00935A5D"/>
    <w:rsid w:val="00935C18"/>
    <w:rsid w:val="0093638C"/>
    <w:rsid w:val="0093684A"/>
    <w:rsid w:val="00936C2D"/>
    <w:rsid w:val="0093701F"/>
    <w:rsid w:val="00937407"/>
    <w:rsid w:val="0093779D"/>
    <w:rsid w:val="00937BC6"/>
    <w:rsid w:val="009406F3"/>
    <w:rsid w:val="00940A7B"/>
    <w:rsid w:val="00941081"/>
    <w:rsid w:val="00941B1A"/>
    <w:rsid w:val="00941BF8"/>
    <w:rsid w:val="00942199"/>
    <w:rsid w:val="00943021"/>
    <w:rsid w:val="00943605"/>
    <w:rsid w:val="009439BC"/>
    <w:rsid w:val="00943A2D"/>
    <w:rsid w:val="00943A4E"/>
    <w:rsid w:val="009442D6"/>
    <w:rsid w:val="00944D89"/>
    <w:rsid w:val="00945681"/>
    <w:rsid w:val="0094570E"/>
    <w:rsid w:val="00945796"/>
    <w:rsid w:val="00945BB2"/>
    <w:rsid w:val="00946EAC"/>
    <w:rsid w:val="00946F3A"/>
    <w:rsid w:val="00946FB0"/>
    <w:rsid w:val="00947868"/>
    <w:rsid w:val="00947E17"/>
    <w:rsid w:val="009505A9"/>
    <w:rsid w:val="00950766"/>
    <w:rsid w:val="009508FA"/>
    <w:rsid w:val="00950949"/>
    <w:rsid w:val="00950A22"/>
    <w:rsid w:val="00950DB8"/>
    <w:rsid w:val="00951265"/>
    <w:rsid w:val="009518F5"/>
    <w:rsid w:val="00951A80"/>
    <w:rsid w:val="00952803"/>
    <w:rsid w:val="0095286A"/>
    <w:rsid w:val="0095321E"/>
    <w:rsid w:val="00953A5B"/>
    <w:rsid w:val="00953AB1"/>
    <w:rsid w:val="009550A2"/>
    <w:rsid w:val="009553A7"/>
    <w:rsid w:val="009553B7"/>
    <w:rsid w:val="009554EB"/>
    <w:rsid w:val="00955E0D"/>
    <w:rsid w:val="00955F9B"/>
    <w:rsid w:val="0095615D"/>
    <w:rsid w:val="00956457"/>
    <w:rsid w:val="00956ABA"/>
    <w:rsid w:val="0095721D"/>
    <w:rsid w:val="0095764C"/>
    <w:rsid w:val="00957700"/>
    <w:rsid w:val="009577DB"/>
    <w:rsid w:val="00957AB4"/>
    <w:rsid w:val="00957B4A"/>
    <w:rsid w:val="00957CC8"/>
    <w:rsid w:val="0096015E"/>
    <w:rsid w:val="009601C5"/>
    <w:rsid w:val="00960641"/>
    <w:rsid w:val="0096074C"/>
    <w:rsid w:val="00961848"/>
    <w:rsid w:val="00962490"/>
    <w:rsid w:val="009626CC"/>
    <w:rsid w:val="00962846"/>
    <w:rsid w:val="009628BA"/>
    <w:rsid w:val="009628FB"/>
    <w:rsid w:val="0096292A"/>
    <w:rsid w:val="00962944"/>
    <w:rsid w:val="00962C03"/>
    <w:rsid w:val="00963127"/>
    <w:rsid w:val="00963773"/>
    <w:rsid w:val="00963CC4"/>
    <w:rsid w:val="00963E44"/>
    <w:rsid w:val="0096443C"/>
    <w:rsid w:val="00964757"/>
    <w:rsid w:val="009652B5"/>
    <w:rsid w:val="00965D58"/>
    <w:rsid w:val="0096607D"/>
    <w:rsid w:val="0096622F"/>
    <w:rsid w:val="00966558"/>
    <w:rsid w:val="00967ADE"/>
    <w:rsid w:val="00967E77"/>
    <w:rsid w:val="0097000B"/>
    <w:rsid w:val="00970043"/>
    <w:rsid w:val="009701F9"/>
    <w:rsid w:val="00970B3C"/>
    <w:rsid w:val="00970B99"/>
    <w:rsid w:val="00971BA5"/>
    <w:rsid w:val="00971DBF"/>
    <w:rsid w:val="00971E7F"/>
    <w:rsid w:val="00971EF9"/>
    <w:rsid w:val="00971F6B"/>
    <w:rsid w:val="009721FD"/>
    <w:rsid w:val="00972377"/>
    <w:rsid w:val="00972920"/>
    <w:rsid w:val="009735C1"/>
    <w:rsid w:val="009735F4"/>
    <w:rsid w:val="00973815"/>
    <w:rsid w:val="00973AAC"/>
    <w:rsid w:val="00973CB0"/>
    <w:rsid w:val="00973E65"/>
    <w:rsid w:val="00974D64"/>
    <w:rsid w:val="00974D83"/>
    <w:rsid w:val="00974E83"/>
    <w:rsid w:val="0097525B"/>
    <w:rsid w:val="00975320"/>
    <w:rsid w:val="00975583"/>
    <w:rsid w:val="0097590A"/>
    <w:rsid w:val="00976003"/>
    <w:rsid w:val="009762FB"/>
    <w:rsid w:val="00976664"/>
    <w:rsid w:val="00976B07"/>
    <w:rsid w:val="00977B23"/>
    <w:rsid w:val="009802A5"/>
    <w:rsid w:val="0098042C"/>
    <w:rsid w:val="0098102E"/>
    <w:rsid w:val="00981599"/>
    <w:rsid w:val="00981AE2"/>
    <w:rsid w:val="00982FCA"/>
    <w:rsid w:val="00983218"/>
    <w:rsid w:val="009833F9"/>
    <w:rsid w:val="00983461"/>
    <w:rsid w:val="00983726"/>
    <w:rsid w:val="00984054"/>
    <w:rsid w:val="0098414A"/>
    <w:rsid w:val="009844CE"/>
    <w:rsid w:val="0098488A"/>
    <w:rsid w:val="00984D18"/>
    <w:rsid w:val="00984DF6"/>
    <w:rsid w:val="0098504A"/>
    <w:rsid w:val="00985A15"/>
    <w:rsid w:val="00986659"/>
    <w:rsid w:val="009869EA"/>
    <w:rsid w:val="00986B4E"/>
    <w:rsid w:val="00986DCC"/>
    <w:rsid w:val="00987083"/>
    <w:rsid w:val="00987439"/>
    <w:rsid w:val="00990C01"/>
    <w:rsid w:val="00990C70"/>
    <w:rsid w:val="00990D50"/>
    <w:rsid w:val="009910F0"/>
    <w:rsid w:val="00991511"/>
    <w:rsid w:val="00991C1D"/>
    <w:rsid w:val="00992352"/>
    <w:rsid w:val="009931D1"/>
    <w:rsid w:val="00993E33"/>
    <w:rsid w:val="00994199"/>
    <w:rsid w:val="00994E4D"/>
    <w:rsid w:val="00994EEA"/>
    <w:rsid w:val="009953DB"/>
    <w:rsid w:val="00995573"/>
    <w:rsid w:val="009957E9"/>
    <w:rsid w:val="00995937"/>
    <w:rsid w:val="009964A5"/>
    <w:rsid w:val="00996A20"/>
    <w:rsid w:val="009977C5"/>
    <w:rsid w:val="00997AC7"/>
    <w:rsid w:val="009A074F"/>
    <w:rsid w:val="009A0F15"/>
    <w:rsid w:val="009A134A"/>
    <w:rsid w:val="009A1351"/>
    <w:rsid w:val="009A14A5"/>
    <w:rsid w:val="009A17C0"/>
    <w:rsid w:val="009A17E1"/>
    <w:rsid w:val="009A1FBC"/>
    <w:rsid w:val="009A226D"/>
    <w:rsid w:val="009A23CF"/>
    <w:rsid w:val="009A2957"/>
    <w:rsid w:val="009A2E87"/>
    <w:rsid w:val="009A2EC6"/>
    <w:rsid w:val="009A31FC"/>
    <w:rsid w:val="009A32C2"/>
    <w:rsid w:val="009A3562"/>
    <w:rsid w:val="009A3700"/>
    <w:rsid w:val="009A373A"/>
    <w:rsid w:val="009A37D8"/>
    <w:rsid w:val="009A37E6"/>
    <w:rsid w:val="009A4D2C"/>
    <w:rsid w:val="009A507A"/>
    <w:rsid w:val="009A59D0"/>
    <w:rsid w:val="009A5F5D"/>
    <w:rsid w:val="009A6487"/>
    <w:rsid w:val="009A6B9B"/>
    <w:rsid w:val="009A6CC5"/>
    <w:rsid w:val="009A71D4"/>
    <w:rsid w:val="009A751E"/>
    <w:rsid w:val="009A75F7"/>
    <w:rsid w:val="009A78EC"/>
    <w:rsid w:val="009B005B"/>
    <w:rsid w:val="009B0359"/>
    <w:rsid w:val="009B0731"/>
    <w:rsid w:val="009B0868"/>
    <w:rsid w:val="009B0906"/>
    <w:rsid w:val="009B09A2"/>
    <w:rsid w:val="009B10B8"/>
    <w:rsid w:val="009B1428"/>
    <w:rsid w:val="009B1703"/>
    <w:rsid w:val="009B1D0B"/>
    <w:rsid w:val="009B1E5E"/>
    <w:rsid w:val="009B20CF"/>
    <w:rsid w:val="009B2A8D"/>
    <w:rsid w:val="009B2C57"/>
    <w:rsid w:val="009B4DF2"/>
    <w:rsid w:val="009B4E0A"/>
    <w:rsid w:val="009B5335"/>
    <w:rsid w:val="009B55F3"/>
    <w:rsid w:val="009B5954"/>
    <w:rsid w:val="009B6D0D"/>
    <w:rsid w:val="009B6DBF"/>
    <w:rsid w:val="009B6EE0"/>
    <w:rsid w:val="009B70B3"/>
    <w:rsid w:val="009B7FD7"/>
    <w:rsid w:val="009C00DA"/>
    <w:rsid w:val="009C0108"/>
    <w:rsid w:val="009C04B9"/>
    <w:rsid w:val="009C099A"/>
    <w:rsid w:val="009C1A9C"/>
    <w:rsid w:val="009C2165"/>
    <w:rsid w:val="009C2B54"/>
    <w:rsid w:val="009C2C18"/>
    <w:rsid w:val="009C3049"/>
    <w:rsid w:val="009C317E"/>
    <w:rsid w:val="009C35B1"/>
    <w:rsid w:val="009C41D1"/>
    <w:rsid w:val="009C4B1A"/>
    <w:rsid w:val="009C4C72"/>
    <w:rsid w:val="009C5341"/>
    <w:rsid w:val="009C549C"/>
    <w:rsid w:val="009C5E13"/>
    <w:rsid w:val="009C5EF1"/>
    <w:rsid w:val="009C6053"/>
    <w:rsid w:val="009C6073"/>
    <w:rsid w:val="009C659E"/>
    <w:rsid w:val="009C66B2"/>
    <w:rsid w:val="009C6C18"/>
    <w:rsid w:val="009C6EEC"/>
    <w:rsid w:val="009C707C"/>
    <w:rsid w:val="009C74EB"/>
    <w:rsid w:val="009C7550"/>
    <w:rsid w:val="009C77BA"/>
    <w:rsid w:val="009C7BDD"/>
    <w:rsid w:val="009C7C15"/>
    <w:rsid w:val="009D02D1"/>
    <w:rsid w:val="009D0602"/>
    <w:rsid w:val="009D0911"/>
    <w:rsid w:val="009D0BAD"/>
    <w:rsid w:val="009D1B78"/>
    <w:rsid w:val="009D1CF9"/>
    <w:rsid w:val="009D1F88"/>
    <w:rsid w:val="009D1F9E"/>
    <w:rsid w:val="009D22A1"/>
    <w:rsid w:val="009D2316"/>
    <w:rsid w:val="009D24A3"/>
    <w:rsid w:val="009D28E2"/>
    <w:rsid w:val="009D29AB"/>
    <w:rsid w:val="009D2BCD"/>
    <w:rsid w:val="009D3365"/>
    <w:rsid w:val="009D3D4B"/>
    <w:rsid w:val="009D3F4F"/>
    <w:rsid w:val="009D3FC2"/>
    <w:rsid w:val="009D4B16"/>
    <w:rsid w:val="009D4C8A"/>
    <w:rsid w:val="009D4EF9"/>
    <w:rsid w:val="009D556A"/>
    <w:rsid w:val="009D588E"/>
    <w:rsid w:val="009D5BE2"/>
    <w:rsid w:val="009D71FA"/>
    <w:rsid w:val="009D760F"/>
    <w:rsid w:val="009E0477"/>
    <w:rsid w:val="009E04BE"/>
    <w:rsid w:val="009E162A"/>
    <w:rsid w:val="009E1962"/>
    <w:rsid w:val="009E1A4B"/>
    <w:rsid w:val="009E20CF"/>
    <w:rsid w:val="009E2357"/>
    <w:rsid w:val="009E2384"/>
    <w:rsid w:val="009E2B08"/>
    <w:rsid w:val="009E30A0"/>
    <w:rsid w:val="009E38EF"/>
    <w:rsid w:val="009E3DEB"/>
    <w:rsid w:val="009E3E50"/>
    <w:rsid w:val="009E3EE7"/>
    <w:rsid w:val="009E3F9B"/>
    <w:rsid w:val="009E4337"/>
    <w:rsid w:val="009E45D0"/>
    <w:rsid w:val="009E47C1"/>
    <w:rsid w:val="009E4B3B"/>
    <w:rsid w:val="009E4B66"/>
    <w:rsid w:val="009E4C28"/>
    <w:rsid w:val="009E4DD2"/>
    <w:rsid w:val="009E567E"/>
    <w:rsid w:val="009E66DD"/>
    <w:rsid w:val="009E703D"/>
    <w:rsid w:val="009F0480"/>
    <w:rsid w:val="009F08A4"/>
    <w:rsid w:val="009F0D14"/>
    <w:rsid w:val="009F0DCA"/>
    <w:rsid w:val="009F13CA"/>
    <w:rsid w:val="009F18BA"/>
    <w:rsid w:val="009F1A87"/>
    <w:rsid w:val="009F1BE7"/>
    <w:rsid w:val="009F29A9"/>
    <w:rsid w:val="009F2B5F"/>
    <w:rsid w:val="009F2BA1"/>
    <w:rsid w:val="009F34F2"/>
    <w:rsid w:val="009F354B"/>
    <w:rsid w:val="009F36CC"/>
    <w:rsid w:val="009F3E71"/>
    <w:rsid w:val="009F43C7"/>
    <w:rsid w:val="009F44EC"/>
    <w:rsid w:val="009F47FE"/>
    <w:rsid w:val="009F507B"/>
    <w:rsid w:val="009F5373"/>
    <w:rsid w:val="009F557B"/>
    <w:rsid w:val="009F6086"/>
    <w:rsid w:val="009F6204"/>
    <w:rsid w:val="009F66EE"/>
    <w:rsid w:val="009F72CA"/>
    <w:rsid w:val="009F783D"/>
    <w:rsid w:val="009F7F43"/>
    <w:rsid w:val="00A00A13"/>
    <w:rsid w:val="00A013D9"/>
    <w:rsid w:val="00A016E0"/>
    <w:rsid w:val="00A017DE"/>
    <w:rsid w:val="00A02141"/>
    <w:rsid w:val="00A02EBB"/>
    <w:rsid w:val="00A03F21"/>
    <w:rsid w:val="00A045ED"/>
    <w:rsid w:val="00A04797"/>
    <w:rsid w:val="00A0481C"/>
    <w:rsid w:val="00A04947"/>
    <w:rsid w:val="00A04B19"/>
    <w:rsid w:val="00A04C1B"/>
    <w:rsid w:val="00A04D5D"/>
    <w:rsid w:val="00A04DDE"/>
    <w:rsid w:val="00A052F0"/>
    <w:rsid w:val="00A0581B"/>
    <w:rsid w:val="00A059F5"/>
    <w:rsid w:val="00A06169"/>
    <w:rsid w:val="00A0624A"/>
    <w:rsid w:val="00A10776"/>
    <w:rsid w:val="00A10907"/>
    <w:rsid w:val="00A109AB"/>
    <w:rsid w:val="00A10E03"/>
    <w:rsid w:val="00A115E9"/>
    <w:rsid w:val="00A11BC5"/>
    <w:rsid w:val="00A11C97"/>
    <w:rsid w:val="00A11F92"/>
    <w:rsid w:val="00A12369"/>
    <w:rsid w:val="00A1241D"/>
    <w:rsid w:val="00A132CB"/>
    <w:rsid w:val="00A137BD"/>
    <w:rsid w:val="00A148A1"/>
    <w:rsid w:val="00A14FF7"/>
    <w:rsid w:val="00A15446"/>
    <w:rsid w:val="00A15502"/>
    <w:rsid w:val="00A158AE"/>
    <w:rsid w:val="00A15DDD"/>
    <w:rsid w:val="00A15E54"/>
    <w:rsid w:val="00A16A6B"/>
    <w:rsid w:val="00A16CE3"/>
    <w:rsid w:val="00A16FE8"/>
    <w:rsid w:val="00A175D4"/>
    <w:rsid w:val="00A17954"/>
    <w:rsid w:val="00A17CE5"/>
    <w:rsid w:val="00A20517"/>
    <w:rsid w:val="00A213FC"/>
    <w:rsid w:val="00A21851"/>
    <w:rsid w:val="00A21F5C"/>
    <w:rsid w:val="00A22002"/>
    <w:rsid w:val="00A23F85"/>
    <w:rsid w:val="00A246D0"/>
    <w:rsid w:val="00A246F8"/>
    <w:rsid w:val="00A24EC9"/>
    <w:rsid w:val="00A267B4"/>
    <w:rsid w:val="00A26868"/>
    <w:rsid w:val="00A26FEB"/>
    <w:rsid w:val="00A3021D"/>
    <w:rsid w:val="00A302EA"/>
    <w:rsid w:val="00A30E07"/>
    <w:rsid w:val="00A30EFB"/>
    <w:rsid w:val="00A31543"/>
    <w:rsid w:val="00A31618"/>
    <w:rsid w:val="00A31E3F"/>
    <w:rsid w:val="00A32073"/>
    <w:rsid w:val="00A322B9"/>
    <w:rsid w:val="00A32496"/>
    <w:rsid w:val="00A32EF2"/>
    <w:rsid w:val="00A3309F"/>
    <w:rsid w:val="00A332D6"/>
    <w:rsid w:val="00A333AF"/>
    <w:rsid w:val="00A33C03"/>
    <w:rsid w:val="00A33D2D"/>
    <w:rsid w:val="00A33FAF"/>
    <w:rsid w:val="00A344BF"/>
    <w:rsid w:val="00A34698"/>
    <w:rsid w:val="00A34B72"/>
    <w:rsid w:val="00A34E8B"/>
    <w:rsid w:val="00A34E97"/>
    <w:rsid w:val="00A351C8"/>
    <w:rsid w:val="00A352AC"/>
    <w:rsid w:val="00A3579C"/>
    <w:rsid w:val="00A359D1"/>
    <w:rsid w:val="00A35F2F"/>
    <w:rsid w:val="00A36E64"/>
    <w:rsid w:val="00A37B99"/>
    <w:rsid w:val="00A37E8A"/>
    <w:rsid w:val="00A40B04"/>
    <w:rsid w:val="00A413CC"/>
    <w:rsid w:val="00A42397"/>
    <w:rsid w:val="00A42C2C"/>
    <w:rsid w:val="00A43059"/>
    <w:rsid w:val="00A43071"/>
    <w:rsid w:val="00A437D3"/>
    <w:rsid w:val="00A4398D"/>
    <w:rsid w:val="00A43A09"/>
    <w:rsid w:val="00A43C01"/>
    <w:rsid w:val="00A43DA3"/>
    <w:rsid w:val="00A43FD2"/>
    <w:rsid w:val="00A4471F"/>
    <w:rsid w:val="00A4480F"/>
    <w:rsid w:val="00A448CB"/>
    <w:rsid w:val="00A44A81"/>
    <w:rsid w:val="00A45C8B"/>
    <w:rsid w:val="00A46057"/>
    <w:rsid w:val="00A46343"/>
    <w:rsid w:val="00A46531"/>
    <w:rsid w:val="00A465E2"/>
    <w:rsid w:val="00A47B49"/>
    <w:rsid w:val="00A47B90"/>
    <w:rsid w:val="00A504A3"/>
    <w:rsid w:val="00A50622"/>
    <w:rsid w:val="00A50B00"/>
    <w:rsid w:val="00A51162"/>
    <w:rsid w:val="00A51A3F"/>
    <w:rsid w:val="00A51A95"/>
    <w:rsid w:val="00A52282"/>
    <w:rsid w:val="00A5232F"/>
    <w:rsid w:val="00A527AB"/>
    <w:rsid w:val="00A5288E"/>
    <w:rsid w:val="00A5364B"/>
    <w:rsid w:val="00A536D6"/>
    <w:rsid w:val="00A53FB0"/>
    <w:rsid w:val="00A54161"/>
    <w:rsid w:val="00A5480D"/>
    <w:rsid w:val="00A54F9B"/>
    <w:rsid w:val="00A55F48"/>
    <w:rsid w:val="00A5606F"/>
    <w:rsid w:val="00A5610F"/>
    <w:rsid w:val="00A56850"/>
    <w:rsid w:val="00A56F8B"/>
    <w:rsid w:val="00A5708E"/>
    <w:rsid w:val="00A57564"/>
    <w:rsid w:val="00A57E95"/>
    <w:rsid w:val="00A60B2E"/>
    <w:rsid w:val="00A60FF2"/>
    <w:rsid w:val="00A61187"/>
    <w:rsid w:val="00A613BC"/>
    <w:rsid w:val="00A620DF"/>
    <w:rsid w:val="00A62290"/>
    <w:rsid w:val="00A629A9"/>
    <w:rsid w:val="00A62DAA"/>
    <w:rsid w:val="00A63075"/>
    <w:rsid w:val="00A63813"/>
    <w:rsid w:val="00A63F37"/>
    <w:rsid w:val="00A642F1"/>
    <w:rsid w:val="00A644B5"/>
    <w:rsid w:val="00A645A2"/>
    <w:rsid w:val="00A64723"/>
    <w:rsid w:val="00A64BA2"/>
    <w:rsid w:val="00A64C84"/>
    <w:rsid w:val="00A65181"/>
    <w:rsid w:val="00A65254"/>
    <w:rsid w:val="00A65A6D"/>
    <w:rsid w:val="00A65ACF"/>
    <w:rsid w:val="00A65E5B"/>
    <w:rsid w:val="00A6630A"/>
    <w:rsid w:val="00A66379"/>
    <w:rsid w:val="00A66F55"/>
    <w:rsid w:val="00A6721E"/>
    <w:rsid w:val="00A6744A"/>
    <w:rsid w:val="00A67947"/>
    <w:rsid w:val="00A67970"/>
    <w:rsid w:val="00A70000"/>
    <w:rsid w:val="00A701FC"/>
    <w:rsid w:val="00A702E4"/>
    <w:rsid w:val="00A70420"/>
    <w:rsid w:val="00A70537"/>
    <w:rsid w:val="00A709BD"/>
    <w:rsid w:val="00A70A52"/>
    <w:rsid w:val="00A70ED4"/>
    <w:rsid w:val="00A71228"/>
    <w:rsid w:val="00A71D7E"/>
    <w:rsid w:val="00A725C0"/>
    <w:rsid w:val="00A72681"/>
    <w:rsid w:val="00A728FF"/>
    <w:rsid w:val="00A72C39"/>
    <w:rsid w:val="00A72D6C"/>
    <w:rsid w:val="00A7302C"/>
    <w:rsid w:val="00A73DB8"/>
    <w:rsid w:val="00A73DFD"/>
    <w:rsid w:val="00A7455A"/>
    <w:rsid w:val="00A7471F"/>
    <w:rsid w:val="00A748F3"/>
    <w:rsid w:val="00A7501B"/>
    <w:rsid w:val="00A7545A"/>
    <w:rsid w:val="00A75700"/>
    <w:rsid w:val="00A757E0"/>
    <w:rsid w:val="00A75C35"/>
    <w:rsid w:val="00A75C96"/>
    <w:rsid w:val="00A763A2"/>
    <w:rsid w:val="00A764A5"/>
    <w:rsid w:val="00A76C3D"/>
    <w:rsid w:val="00A76D0C"/>
    <w:rsid w:val="00A77096"/>
    <w:rsid w:val="00A774E1"/>
    <w:rsid w:val="00A7758C"/>
    <w:rsid w:val="00A775AD"/>
    <w:rsid w:val="00A77858"/>
    <w:rsid w:val="00A77BA9"/>
    <w:rsid w:val="00A77C5A"/>
    <w:rsid w:val="00A77E8B"/>
    <w:rsid w:val="00A77EEB"/>
    <w:rsid w:val="00A800BF"/>
    <w:rsid w:val="00A801DD"/>
    <w:rsid w:val="00A80223"/>
    <w:rsid w:val="00A806C9"/>
    <w:rsid w:val="00A807A6"/>
    <w:rsid w:val="00A80997"/>
    <w:rsid w:val="00A80A9E"/>
    <w:rsid w:val="00A80B1E"/>
    <w:rsid w:val="00A80EA0"/>
    <w:rsid w:val="00A80F13"/>
    <w:rsid w:val="00A825D4"/>
    <w:rsid w:val="00A82982"/>
    <w:rsid w:val="00A82A4C"/>
    <w:rsid w:val="00A82BFF"/>
    <w:rsid w:val="00A82C94"/>
    <w:rsid w:val="00A82D41"/>
    <w:rsid w:val="00A82D7A"/>
    <w:rsid w:val="00A8345A"/>
    <w:rsid w:val="00A8371F"/>
    <w:rsid w:val="00A838D1"/>
    <w:rsid w:val="00A83E20"/>
    <w:rsid w:val="00A83E2B"/>
    <w:rsid w:val="00A83F0A"/>
    <w:rsid w:val="00A84276"/>
    <w:rsid w:val="00A84430"/>
    <w:rsid w:val="00A84593"/>
    <w:rsid w:val="00A84D39"/>
    <w:rsid w:val="00A84E2C"/>
    <w:rsid w:val="00A84FB3"/>
    <w:rsid w:val="00A8546A"/>
    <w:rsid w:val="00A854F6"/>
    <w:rsid w:val="00A858C1"/>
    <w:rsid w:val="00A85B7A"/>
    <w:rsid w:val="00A85F52"/>
    <w:rsid w:val="00A8624E"/>
    <w:rsid w:val="00A869C3"/>
    <w:rsid w:val="00A86A5A"/>
    <w:rsid w:val="00A86FBE"/>
    <w:rsid w:val="00A8739B"/>
    <w:rsid w:val="00A8767F"/>
    <w:rsid w:val="00A87B56"/>
    <w:rsid w:val="00A87CA7"/>
    <w:rsid w:val="00A87D53"/>
    <w:rsid w:val="00A87FA1"/>
    <w:rsid w:val="00A90477"/>
    <w:rsid w:val="00A906E4"/>
    <w:rsid w:val="00A907C3"/>
    <w:rsid w:val="00A908DE"/>
    <w:rsid w:val="00A9121D"/>
    <w:rsid w:val="00A9139F"/>
    <w:rsid w:val="00A91524"/>
    <w:rsid w:val="00A91540"/>
    <w:rsid w:val="00A91579"/>
    <w:rsid w:val="00A91600"/>
    <w:rsid w:val="00A91751"/>
    <w:rsid w:val="00A91E25"/>
    <w:rsid w:val="00A9213B"/>
    <w:rsid w:val="00A92309"/>
    <w:rsid w:val="00A92AF2"/>
    <w:rsid w:val="00A92D3B"/>
    <w:rsid w:val="00A92D56"/>
    <w:rsid w:val="00A935D8"/>
    <w:rsid w:val="00A93625"/>
    <w:rsid w:val="00A9380D"/>
    <w:rsid w:val="00A93E74"/>
    <w:rsid w:val="00A93EE6"/>
    <w:rsid w:val="00A94244"/>
    <w:rsid w:val="00A9473E"/>
    <w:rsid w:val="00A949DC"/>
    <w:rsid w:val="00A94B87"/>
    <w:rsid w:val="00A9546F"/>
    <w:rsid w:val="00A95781"/>
    <w:rsid w:val="00A959C6"/>
    <w:rsid w:val="00A95A57"/>
    <w:rsid w:val="00A95BB4"/>
    <w:rsid w:val="00A95FFE"/>
    <w:rsid w:val="00A9626F"/>
    <w:rsid w:val="00A96F36"/>
    <w:rsid w:val="00A975DE"/>
    <w:rsid w:val="00A9777D"/>
    <w:rsid w:val="00A97A37"/>
    <w:rsid w:val="00A97B26"/>
    <w:rsid w:val="00A97B85"/>
    <w:rsid w:val="00A97BFF"/>
    <w:rsid w:val="00AA00C9"/>
    <w:rsid w:val="00AA01DF"/>
    <w:rsid w:val="00AA02A9"/>
    <w:rsid w:val="00AA125E"/>
    <w:rsid w:val="00AA14EE"/>
    <w:rsid w:val="00AA182F"/>
    <w:rsid w:val="00AA2017"/>
    <w:rsid w:val="00AA227D"/>
    <w:rsid w:val="00AA2589"/>
    <w:rsid w:val="00AA2623"/>
    <w:rsid w:val="00AA2F1B"/>
    <w:rsid w:val="00AA2FB4"/>
    <w:rsid w:val="00AA3647"/>
    <w:rsid w:val="00AA441F"/>
    <w:rsid w:val="00AA4735"/>
    <w:rsid w:val="00AA4DF0"/>
    <w:rsid w:val="00AA531E"/>
    <w:rsid w:val="00AA543B"/>
    <w:rsid w:val="00AA553D"/>
    <w:rsid w:val="00AA5604"/>
    <w:rsid w:val="00AA5A7B"/>
    <w:rsid w:val="00AA5AB6"/>
    <w:rsid w:val="00AA5ABE"/>
    <w:rsid w:val="00AA5FD5"/>
    <w:rsid w:val="00AA728B"/>
    <w:rsid w:val="00AA7A18"/>
    <w:rsid w:val="00AA7B41"/>
    <w:rsid w:val="00AA7BC8"/>
    <w:rsid w:val="00AB04BF"/>
    <w:rsid w:val="00AB0695"/>
    <w:rsid w:val="00AB0E63"/>
    <w:rsid w:val="00AB120C"/>
    <w:rsid w:val="00AB199D"/>
    <w:rsid w:val="00AB1AAA"/>
    <w:rsid w:val="00AB1CD9"/>
    <w:rsid w:val="00AB23C0"/>
    <w:rsid w:val="00AB26A7"/>
    <w:rsid w:val="00AB3E4F"/>
    <w:rsid w:val="00AB447F"/>
    <w:rsid w:val="00AB450A"/>
    <w:rsid w:val="00AB4B05"/>
    <w:rsid w:val="00AB4B2D"/>
    <w:rsid w:val="00AB4F1C"/>
    <w:rsid w:val="00AB546A"/>
    <w:rsid w:val="00AB5709"/>
    <w:rsid w:val="00AB5AA7"/>
    <w:rsid w:val="00AB61E7"/>
    <w:rsid w:val="00AB6732"/>
    <w:rsid w:val="00AB7A5D"/>
    <w:rsid w:val="00AC075E"/>
    <w:rsid w:val="00AC076F"/>
    <w:rsid w:val="00AC08E8"/>
    <w:rsid w:val="00AC0912"/>
    <w:rsid w:val="00AC0F06"/>
    <w:rsid w:val="00AC1144"/>
    <w:rsid w:val="00AC1525"/>
    <w:rsid w:val="00AC1720"/>
    <w:rsid w:val="00AC1994"/>
    <w:rsid w:val="00AC1C1C"/>
    <w:rsid w:val="00AC1F91"/>
    <w:rsid w:val="00AC2031"/>
    <w:rsid w:val="00AC27B1"/>
    <w:rsid w:val="00AC315E"/>
    <w:rsid w:val="00AC32A2"/>
    <w:rsid w:val="00AC3895"/>
    <w:rsid w:val="00AC418F"/>
    <w:rsid w:val="00AC41FF"/>
    <w:rsid w:val="00AC4330"/>
    <w:rsid w:val="00AC4749"/>
    <w:rsid w:val="00AC4768"/>
    <w:rsid w:val="00AC4880"/>
    <w:rsid w:val="00AC4B10"/>
    <w:rsid w:val="00AC4B25"/>
    <w:rsid w:val="00AC4C15"/>
    <w:rsid w:val="00AC4D1A"/>
    <w:rsid w:val="00AC584B"/>
    <w:rsid w:val="00AC6102"/>
    <w:rsid w:val="00AC68A5"/>
    <w:rsid w:val="00AC7BDB"/>
    <w:rsid w:val="00AD01F4"/>
    <w:rsid w:val="00AD02A5"/>
    <w:rsid w:val="00AD03F4"/>
    <w:rsid w:val="00AD0E4E"/>
    <w:rsid w:val="00AD0F59"/>
    <w:rsid w:val="00AD18BB"/>
    <w:rsid w:val="00AD2555"/>
    <w:rsid w:val="00AD311B"/>
    <w:rsid w:val="00AD3359"/>
    <w:rsid w:val="00AD3F30"/>
    <w:rsid w:val="00AD408B"/>
    <w:rsid w:val="00AD4C2A"/>
    <w:rsid w:val="00AD4DD1"/>
    <w:rsid w:val="00AD543B"/>
    <w:rsid w:val="00AD58D7"/>
    <w:rsid w:val="00AD5C9B"/>
    <w:rsid w:val="00AD61D0"/>
    <w:rsid w:val="00AD6527"/>
    <w:rsid w:val="00AD6793"/>
    <w:rsid w:val="00AD6D07"/>
    <w:rsid w:val="00AD76EA"/>
    <w:rsid w:val="00AD791D"/>
    <w:rsid w:val="00AD7A76"/>
    <w:rsid w:val="00AD7A82"/>
    <w:rsid w:val="00AE01E4"/>
    <w:rsid w:val="00AE0579"/>
    <w:rsid w:val="00AE0C76"/>
    <w:rsid w:val="00AE0D1F"/>
    <w:rsid w:val="00AE1110"/>
    <w:rsid w:val="00AE1C0D"/>
    <w:rsid w:val="00AE1D6D"/>
    <w:rsid w:val="00AE1E84"/>
    <w:rsid w:val="00AE283F"/>
    <w:rsid w:val="00AE3995"/>
    <w:rsid w:val="00AE4048"/>
    <w:rsid w:val="00AE4BE8"/>
    <w:rsid w:val="00AE4C6F"/>
    <w:rsid w:val="00AE541F"/>
    <w:rsid w:val="00AE5AF6"/>
    <w:rsid w:val="00AE5D32"/>
    <w:rsid w:val="00AE5F27"/>
    <w:rsid w:val="00AE5FEF"/>
    <w:rsid w:val="00AE64DB"/>
    <w:rsid w:val="00AE6632"/>
    <w:rsid w:val="00AE6BA0"/>
    <w:rsid w:val="00AE6F52"/>
    <w:rsid w:val="00AE79B8"/>
    <w:rsid w:val="00AE7A54"/>
    <w:rsid w:val="00AE7B9B"/>
    <w:rsid w:val="00AE7FEE"/>
    <w:rsid w:val="00AF0693"/>
    <w:rsid w:val="00AF0A55"/>
    <w:rsid w:val="00AF0C13"/>
    <w:rsid w:val="00AF109C"/>
    <w:rsid w:val="00AF10DB"/>
    <w:rsid w:val="00AF125C"/>
    <w:rsid w:val="00AF1545"/>
    <w:rsid w:val="00AF15CF"/>
    <w:rsid w:val="00AF1777"/>
    <w:rsid w:val="00AF2102"/>
    <w:rsid w:val="00AF22A0"/>
    <w:rsid w:val="00AF2345"/>
    <w:rsid w:val="00AF2463"/>
    <w:rsid w:val="00AF2582"/>
    <w:rsid w:val="00AF25B7"/>
    <w:rsid w:val="00AF260E"/>
    <w:rsid w:val="00AF2ADC"/>
    <w:rsid w:val="00AF2B4F"/>
    <w:rsid w:val="00AF2FC7"/>
    <w:rsid w:val="00AF30DE"/>
    <w:rsid w:val="00AF3B7B"/>
    <w:rsid w:val="00AF3BBB"/>
    <w:rsid w:val="00AF3D7F"/>
    <w:rsid w:val="00AF40E6"/>
    <w:rsid w:val="00AF4371"/>
    <w:rsid w:val="00AF4C87"/>
    <w:rsid w:val="00AF4CB1"/>
    <w:rsid w:val="00AF5240"/>
    <w:rsid w:val="00AF5255"/>
    <w:rsid w:val="00AF5EA4"/>
    <w:rsid w:val="00AF61DE"/>
    <w:rsid w:val="00AF6420"/>
    <w:rsid w:val="00AF6987"/>
    <w:rsid w:val="00AF71AF"/>
    <w:rsid w:val="00AF7438"/>
    <w:rsid w:val="00AF74E0"/>
    <w:rsid w:val="00B00E12"/>
    <w:rsid w:val="00B00F5A"/>
    <w:rsid w:val="00B00FC7"/>
    <w:rsid w:val="00B012A1"/>
    <w:rsid w:val="00B01772"/>
    <w:rsid w:val="00B019D8"/>
    <w:rsid w:val="00B023D1"/>
    <w:rsid w:val="00B02C85"/>
    <w:rsid w:val="00B0392A"/>
    <w:rsid w:val="00B03DDB"/>
    <w:rsid w:val="00B03EE8"/>
    <w:rsid w:val="00B03F82"/>
    <w:rsid w:val="00B04108"/>
    <w:rsid w:val="00B041C3"/>
    <w:rsid w:val="00B045C3"/>
    <w:rsid w:val="00B04726"/>
    <w:rsid w:val="00B047BB"/>
    <w:rsid w:val="00B04B60"/>
    <w:rsid w:val="00B04F67"/>
    <w:rsid w:val="00B05456"/>
    <w:rsid w:val="00B05BD8"/>
    <w:rsid w:val="00B05DA5"/>
    <w:rsid w:val="00B05F83"/>
    <w:rsid w:val="00B06AFF"/>
    <w:rsid w:val="00B06B79"/>
    <w:rsid w:val="00B07040"/>
    <w:rsid w:val="00B0760C"/>
    <w:rsid w:val="00B101BA"/>
    <w:rsid w:val="00B1150A"/>
    <w:rsid w:val="00B11B1F"/>
    <w:rsid w:val="00B11CC4"/>
    <w:rsid w:val="00B1276F"/>
    <w:rsid w:val="00B12908"/>
    <w:rsid w:val="00B13238"/>
    <w:rsid w:val="00B13303"/>
    <w:rsid w:val="00B135FB"/>
    <w:rsid w:val="00B13669"/>
    <w:rsid w:val="00B13A04"/>
    <w:rsid w:val="00B13C56"/>
    <w:rsid w:val="00B14067"/>
    <w:rsid w:val="00B140DA"/>
    <w:rsid w:val="00B14222"/>
    <w:rsid w:val="00B143B1"/>
    <w:rsid w:val="00B143E0"/>
    <w:rsid w:val="00B14951"/>
    <w:rsid w:val="00B14A2A"/>
    <w:rsid w:val="00B14DAE"/>
    <w:rsid w:val="00B15262"/>
    <w:rsid w:val="00B15BB5"/>
    <w:rsid w:val="00B15FD0"/>
    <w:rsid w:val="00B16AB4"/>
    <w:rsid w:val="00B16F1C"/>
    <w:rsid w:val="00B177F5"/>
    <w:rsid w:val="00B1791A"/>
    <w:rsid w:val="00B205DC"/>
    <w:rsid w:val="00B2113A"/>
    <w:rsid w:val="00B21DB7"/>
    <w:rsid w:val="00B223E0"/>
    <w:rsid w:val="00B223F8"/>
    <w:rsid w:val="00B227D7"/>
    <w:rsid w:val="00B22C87"/>
    <w:rsid w:val="00B22CC0"/>
    <w:rsid w:val="00B22F15"/>
    <w:rsid w:val="00B23574"/>
    <w:rsid w:val="00B2388D"/>
    <w:rsid w:val="00B2483E"/>
    <w:rsid w:val="00B24B2A"/>
    <w:rsid w:val="00B24FFA"/>
    <w:rsid w:val="00B257DD"/>
    <w:rsid w:val="00B2596B"/>
    <w:rsid w:val="00B25D7E"/>
    <w:rsid w:val="00B25E8A"/>
    <w:rsid w:val="00B262FE"/>
    <w:rsid w:val="00B264B2"/>
    <w:rsid w:val="00B26874"/>
    <w:rsid w:val="00B26CE0"/>
    <w:rsid w:val="00B26E66"/>
    <w:rsid w:val="00B270E6"/>
    <w:rsid w:val="00B27110"/>
    <w:rsid w:val="00B27AF0"/>
    <w:rsid w:val="00B27EDB"/>
    <w:rsid w:val="00B3067B"/>
    <w:rsid w:val="00B30F19"/>
    <w:rsid w:val="00B30F5B"/>
    <w:rsid w:val="00B30F87"/>
    <w:rsid w:val="00B315CF"/>
    <w:rsid w:val="00B316F4"/>
    <w:rsid w:val="00B31D27"/>
    <w:rsid w:val="00B31FC1"/>
    <w:rsid w:val="00B32850"/>
    <w:rsid w:val="00B32B0F"/>
    <w:rsid w:val="00B32C53"/>
    <w:rsid w:val="00B32DA2"/>
    <w:rsid w:val="00B32E3B"/>
    <w:rsid w:val="00B3346B"/>
    <w:rsid w:val="00B33A78"/>
    <w:rsid w:val="00B33D20"/>
    <w:rsid w:val="00B3458F"/>
    <w:rsid w:val="00B345C2"/>
    <w:rsid w:val="00B3461C"/>
    <w:rsid w:val="00B347DE"/>
    <w:rsid w:val="00B349D1"/>
    <w:rsid w:val="00B34DEF"/>
    <w:rsid w:val="00B35461"/>
    <w:rsid w:val="00B3578B"/>
    <w:rsid w:val="00B35D91"/>
    <w:rsid w:val="00B368C8"/>
    <w:rsid w:val="00B36B3B"/>
    <w:rsid w:val="00B36F38"/>
    <w:rsid w:val="00B3728A"/>
    <w:rsid w:val="00B3730A"/>
    <w:rsid w:val="00B3732E"/>
    <w:rsid w:val="00B374B9"/>
    <w:rsid w:val="00B378D7"/>
    <w:rsid w:val="00B37A77"/>
    <w:rsid w:val="00B37B6A"/>
    <w:rsid w:val="00B37DEE"/>
    <w:rsid w:val="00B37EC5"/>
    <w:rsid w:val="00B401F9"/>
    <w:rsid w:val="00B405CA"/>
    <w:rsid w:val="00B408E7"/>
    <w:rsid w:val="00B40B30"/>
    <w:rsid w:val="00B40CC3"/>
    <w:rsid w:val="00B413B3"/>
    <w:rsid w:val="00B41F1B"/>
    <w:rsid w:val="00B4307E"/>
    <w:rsid w:val="00B432A4"/>
    <w:rsid w:val="00B4364E"/>
    <w:rsid w:val="00B43B7F"/>
    <w:rsid w:val="00B43F66"/>
    <w:rsid w:val="00B445B1"/>
    <w:rsid w:val="00B446B2"/>
    <w:rsid w:val="00B44801"/>
    <w:rsid w:val="00B45280"/>
    <w:rsid w:val="00B454AF"/>
    <w:rsid w:val="00B45519"/>
    <w:rsid w:val="00B4643C"/>
    <w:rsid w:val="00B46F96"/>
    <w:rsid w:val="00B473F4"/>
    <w:rsid w:val="00B47D10"/>
    <w:rsid w:val="00B50146"/>
    <w:rsid w:val="00B50161"/>
    <w:rsid w:val="00B5021D"/>
    <w:rsid w:val="00B51597"/>
    <w:rsid w:val="00B51B78"/>
    <w:rsid w:val="00B51CFF"/>
    <w:rsid w:val="00B51F8B"/>
    <w:rsid w:val="00B52135"/>
    <w:rsid w:val="00B52310"/>
    <w:rsid w:val="00B5237F"/>
    <w:rsid w:val="00B52606"/>
    <w:rsid w:val="00B52C34"/>
    <w:rsid w:val="00B52CD5"/>
    <w:rsid w:val="00B5329D"/>
    <w:rsid w:val="00B5441F"/>
    <w:rsid w:val="00B54457"/>
    <w:rsid w:val="00B54FF3"/>
    <w:rsid w:val="00B5563A"/>
    <w:rsid w:val="00B55B89"/>
    <w:rsid w:val="00B55CC5"/>
    <w:rsid w:val="00B562C0"/>
    <w:rsid w:val="00B56D4E"/>
    <w:rsid w:val="00B56DF0"/>
    <w:rsid w:val="00B57424"/>
    <w:rsid w:val="00B5745C"/>
    <w:rsid w:val="00B5752C"/>
    <w:rsid w:val="00B5757E"/>
    <w:rsid w:val="00B57E11"/>
    <w:rsid w:val="00B57FD7"/>
    <w:rsid w:val="00B600B7"/>
    <w:rsid w:val="00B60254"/>
    <w:rsid w:val="00B602A9"/>
    <w:rsid w:val="00B60D21"/>
    <w:rsid w:val="00B60F3B"/>
    <w:rsid w:val="00B61613"/>
    <w:rsid w:val="00B61738"/>
    <w:rsid w:val="00B61ABB"/>
    <w:rsid w:val="00B6201E"/>
    <w:rsid w:val="00B626DF"/>
    <w:rsid w:val="00B62E3C"/>
    <w:rsid w:val="00B62FC7"/>
    <w:rsid w:val="00B62FD2"/>
    <w:rsid w:val="00B63383"/>
    <w:rsid w:val="00B63701"/>
    <w:rsid w:val="00B63F3E"/>
    <w:rsid w:val="00B642D9"/>
    <w:rsid w:val="00B642E9"/>
    <w:rsid w:val="00B647A8"/>
    <w:rsid w:val="00B64BA4"/>
    <w:rsid w:val="00B64C98"/>
    <w:rsid w:val="00B651D8"/>
    <w:rsid w:val="00B6522B"/>
    <w:rsid w:val="00B658AD"/>
    <w:rsid w:val="00B65BFE"/>
    <w:rsid w:val="00B6648A"/>
    <w:rsid w:val="00B66979"/>
    <w:rsid w:val="00B669D4"/>
    <w:rsid w:val="00B66B90"/>
    <w:rsid w:val="00B66CCF"/>
    <w:rsid w:val="00B66EAA"/>
    <w:rsid w:val="00B670A6"/>
    <w:rsid w:val="00B676CD"/>
    <w:rsid w:val="00B70070"/>
    <w:rsid w:val="00B700B2"/>
    <w:rsid w:val="00B70304"/>
    <w:rsid w:val="00B70999"/>
    <w:rsid w:val="00B70B05"/>
    <w:rsid w:val="00B7127B"/>
    <w:rsid w:val="00B71D03"/>
    <w:rsid w:val="00B71F75"/>
    <w:rsid w:val="00B722E7"/>
    <w:rsid w:val="00B7238D"/>
    <w:rsid w:val="00B7355C"/>
    <w:rsid w:val="00B73729"/>
    <w:rsid w:val="00B7383B"/>
    <w:rsid w:val="00B73E5F"/>
    <w:rsid w:val="00B74094"/>
    <w:rsid w:val="00B74462"/>
    <w:rsid w:val="00B749F6"/>
    <w:rsid w:val="00B74AF1"/>
    <w:rsid w:val="00B74C12"/>
    <w:rsid w:val="00B75163"/>
    <w:rsid w:val="00B751E0"/>
    <w:rsid w:val="00B75BED"/>
    <w:rsid w:val="00B76246"/>
    <w:rsid w:val="00B765B7"/>
    <w:rsid w:val="00B76C91"/>
    <w:rsid w:val="00B7733F"/>
    <w:rsid w:val="00B77544"/>
    <w:rsid w:val="00B77941"/>
    <w:rsid w:val="00B77BBA"/>
    <w:rsid w:val="00B77E83"/>
    <w:rsid w:val="00B803A0"/>
    <w:rsid w:val="00B80AC9"/>
    <w:rsid w:val="00B80F44"/>
    <w:rsid w:val="00B819BF"/>
    <w:rsid w:val="00B81E77"/>
    <w:rsid w:val="00B81F28"/>
    <w:rsid w:val="00B82089"/>
    <w:rsid w:val="00B82281"/>
    <w:rsid w:val="00B825E2"/>
    <w:rsid w:val="00B83098"/>
    <w:rsid w:val="00B831AF"/>
    <w:rsid w:val="00B8362B"/>
    <w:rsid w:val="00B83699"/>
    <w:rsid w:val="00B83B11"/>
    <w:rsid w:val="00B84183"/>
    <w:rsid w:val="00B847ED"/>
    <w:rsid w:val="00B84E68"/>
    <w:rsid w:val="00B8555F"/>
    <w:rsid w:val="00B85BAD"/>
    <w:rsid w:val="00B8692B"/>
    <w:rsid w:val="00B86D54"/>
    <w:rsid w:val="00B87422"/>
    <w:rsid w:val="00B877CE"/>
    <w:rsid w:val="00B87A6F"/>
    <w:rsid w:val="00B909D0"/>
    <w:rsid w:val="00B90A8E"/>
    <w:rsid w:val="00B914AF"/>
    <w:rsid w:val="00B91671"/>
    <w:rsid w:val="00B91FAA"/>
    <w:rsid w:val="00B92366"/>
    <w:rsid w:val="00B92A05"/>
    <w:rsid w:val="00B93468"/>
    <w:rsid w:val="00B93576"/>
    <w:rsid w:val="00B937D9"/>
    <w:rsid w:val="00B93DD7"/>
    <w:rsid w:val="00B93EF2"/>
    <w:rsid w:val="00B9423A"/>
    <w:rsid w:val="00B943BC"/>
    <w:rsid w:val="00B94627"/>
    <w:rsid w:val="00B947A1"/>
    <w:rsid w:val="00B94D12"/>
    <w:rsid w:val="00B95E2F"/>
    <w:rsid w:val="00B960F0"/>
    <w:rsid w:val="00B9644D"/>
    <w:rsid w:val="00B96F7D"/>
    <w:rsid w:val="00B97958"/>
    <w:rsid w:val="00BA01DF"/>
    <w:rsid w:val="00BA02E9"/>
    <w:rsid w:val="00BA07E4"/>
    <w:rsid w:val="00BA0E7F"/>
    <w:rsid w:val="00BA1B64"/>
    <w:rsid w:val="00BA1D55"/>
    <w:rsid w:val="00BA1EFE"/>
    <w:rsid w:val="00BA2100"/>
    <w:rsid w:val="00BA24BC"/>
    <w:rsid w:val="00BA26F5"/>
    <w:rsid w:val="00BA2B93"/>
    <w:rsid w:val="00BA2D3C"/>
    <w:rsid w:val="00BA2E2C"/>
    <w:rsid w:val="00BA3EEF"/>
    <w:rsid w:val="00BA48D2"/>
    <w:rsid w:val="00BA49EB"/>
    <w:rsid w:val="00BA4BCD"/>
    <w:rsid w:val="00BA4D51"/>
    <w:rsid w:val="00BA4E73"/>
    <w:rsid w:val="00BA5159"/>
    <w:rsid w:val="00BA564A"/>
    <w:rsid w:val="00BA588B"/>
    <w:rsid w:val="00BA5B6A"/>
    <w:rsid w:val="00BA5FC5"/>
    <w:rsid w:val="00BA625B"/>
    <w:rsid w:val="00BA654C"/>
    <w:rsid w:val="00BA65DF"/>
    <w:rsid w:val="00BA68D4"/>
    <w:rsid w:val="00BA7313"/>
    <w:rsid w:val="00BA7322"/>
    <w:rsid w:val="00BA77F1"/>
    <w:rsid w:val="00BA7DC6"/>
    <w:rsid w:val="00BB002A"/>
    <w:rsid w:val="00BB0B99"/>
    <w:rsid w:val="00BB104C"/>
    <w:rsid w:val="00BB12EE"/>
    <w:rsid w:val="00BB1746"/>
    <w:rsid w:val="00BB1D99"/>
    <w:rsid w:val="00BB1E2F"/>
    <w:rsid w:val="00BB1F68"/>
    <w:rsid w:val="00BB27B4"/>
    <w:rsid w:val="00BB2D2B"/>
    <w:rsid w:val="00BB2E31"/>
    <w:rsid w:val="00BB2EEA"/>
    <w:rsid w:val="00BB3800"/>
    <w:rsid w:val="00BB3850"/>
    <w:rsid w:val="00BB3B0F"/>
    <w:rsid w:val="00BB3E7A"/>
    <w:rsid w:val="00BB44BB"/>
    <w:rsid w:val="00BB458B"/>
    <w:rsid w:val="00BB5610"/>
    <w:rsid w:val="00BB569D"/>
    <w:rsid w:val="00BB5796"/>
    <w:rsid w:val="00BB5CF0"/>
    <w:rsid w:val="00BB5D08"/>
    <w:rsid w:val="00BB5E5A"/>
    <w:rsid w:val="00BB6B93"/>
    <w:rsid w:val="00BB6E84"/>
    <w:rsid w:val="00BB6F17"/>
    <w:rsid w:val="00BB74DD"/>
    <w:rsid w:val="00BB7919"/>
    <w:rsid w:val="00BB7D35"/>
    <w:rsid w:val="00BB7D37"/>
    <w:rsid w:val="00BC01F3"/>
    <w:rsid w:val="00BC0479"/>
    <w:rsid w:val="00BC0732"/>
    <w:rsid w:val="00BC0A46"/>
    <w:rsid w:val="00BC0F05"/>
    <w:rsid w:val="00BC1C10"/>
    <w:rsid w:val="00BC1C82"/>
    <w:rsid w:val="00BC1E3B"/>
    <w:rsid w:val="00BC25D9"/>
    <w:rsid w:val="00BC342D"/>
    <w:rsid w:val="00BC3464"/>
    <w:rsid w:val="00BC36E2"/>
    <w:rsid w:val="00BC3718"/>
    <w:rsid w:val="00BC396D"/>
    <w:rsid w:val="00BC3A90"/>
    <w:rsid w:val="00BC4059"/>
    <w:rsid w:val="00BC41DC"/>
    <w:rsid w:val="00BC47F3"/>
    <w:rsid w:val="00BC4BEE"/>
    <w:rsid w:val="00BC4D85"/>
    <w:rsid w:val="00BC4EA2"/>
    <w:rsid w:val="00BC51A2"/>
    <w:rsid w:val="00BC5CEA"/>
    <w:rsid w:val="00BC642D"/>
    <w:rsid w:val="00BC66D2"/>
    <w:rsid w:val="00BC682B"/>
    <w:rsid w:val="00BC6A7D"/>
    <w:rsid w:val="00BC6C5D"/>
    <w:rsid w:val="00BC7494"/>
    <w:rsid w:val="00BC7495"/>
    <w:rsid w:val="00BD02FC"/>
    <w:rsid w:val="00BD0A7B"/>
    <w:rsid w:val="00BD13C9"/>
    <w:rsid w:val="00BD1671"/>
    <w:rsid w:val="00BD16E3"/>
    <w:rsid w:val="00BD1CF2"/>
    <w:rsid w:val="00BD1DCC"/>
    <w:rsid w:val="00BD26B4"/>
    <w:rsid w:val="00BD2B7A"/>
    <w:rsid w:val="00BD3305"/>
    <w:rsid w:val="00BD374E"/>
    <w:rsid w:val="00BD38E7"/>
    <w:rsid w:val="00BD3BC5"/>
    <w:rsid w:val="00BD53EB"/>
    <w:rsid w:val="00BD5402"/>
    <w:rsid w:val="00BD55F4"/>
    <w:rsid w:val="00BD57E1"/>
    <w:rsid w:val="00BD5CC0"/>
    <w:rsid w:val="00BD5EB9"/>
    <w:rsid w:val="00BD6349"/>
    <w:rsid w:val="00BD6675"/>
    <w:rsid w:val="00BD67A6"/>
    <w:rsid w:val="00BD6807"/>
    <w:rsid w:val="00BD6834"/>
    <w:rsid w:val="00BD6A16"/>
    <w:rsid w:val="00BD6FB6"/>
    <w:rsid w:val="00BD7703"/>
    <w:rsid w:val="00BD7742"/>
    <w:rsid w:val="00BE05D1"/>
    <w:rsid w:val="00BE09CD"/>
    <w:rsid w:val="00BE0A50"/>
    <w:rsid w:val="00BE0C11"/>
    <w:rsid w:val="00BE0DA5"/>
    <w:rsid w:val="00BE11DA"/>
    <w:rsid w:val="00BE196B"/>
    <w:rsid w:val="00BE1A00"/>
    <w:rsid w:val="00BE1C0B"/>
    <w:rsid w:val="00BE2041"/>
    <w:rsid w:val="00BE2184"/>
    <w:rsid w:val="00BE293C"/>
    <w:rsid w:val="00BE3AE9"/>
    <w:rsid w:val="00BE3E09"/>
    <w:rsid w:val="00BE41C9"/>
    <w:rsid w:val="00BE430E"/>
    <w:rsid w:val="00BE440A"/>
    <w:rsid w:val="00BE48A6"/>
    <w:rsid w:val="00BE4A81"/>
    <w:rsid w:val="00BE4C0D"/>
    <w:rsid w:val="00BE614B"/>
    <w:rsid w:val="00BE6874"/>
    <w:rsid w:val="00BE6F5A"/>
    <w:rsid w:val="00BE70D4"/>
    <w:rsid w:val="00BE735A"/>
    <w:rsid w:val="00BE751F"/>
    <w:rsid w:val="00BE76DF"/>
    <w:rsid w:val="00BE7D97"/>
    <w:rsid w:val="00BF0319"/>
    <w:rsid w:val="00BF056C"/>
    <w:rsid w:val="00BF0C56"/>
    <w:rsid w:val="00BF1005"/>
    <w:rsid w:val="00BF1128"/>
    <w:rsid w:val="00BF11A3"/>
    <w:rsid w:val="00BF1287"/>
    <w:rsid w:val="00BF1D56"/>
    <w:rsid w:val="00BF209C"/>
    <w:rsid w:val="00BF2C43"/>
    <w:rsid w:val="00BF2F4D"/>
    <w:rsid w:val="00BF3155"/>
    <w:rsid w:val="00BF32C9"/>
    <w:rsid w:val="00BF3797"/>
    <w:rsid w:val="00BF3F69"/>
    <w:rsid w:val="00BF48B2"/>
    <w:rsid w:val="00BF4AAA"/>
    <w:rsid w:val="00BF555E"/>
    <w:rsid w:val="00BF6D0C"/>
    <w:rsid w:val="00BF6FC3"/>
    <w:rsid w:val="00BF7094"/>
    <w:rsid w:val="00BF7485"/>
    <w:rsid w:val="00BF774E"/>
    <w:rsid w:val="00BF7992"/>
    <w:rsid w:val="00BF7D1E"/>
    <w:rsid w:val="00C00731"/>
    <w:rsid w:val="00C007BC"/>
    <w:rsid w:val="00C007D5"/>
    <w:rsid w:val="00C00931"/>
    <w:rsid w:val="00C009C5"/>
    <w:rsid w:val="00C00B9A"/>
    <w:rsid w:val="00C00C6B"/>
    <w:rsid w:val="00C00F46"/>
    <w:rsid w:val="00C0253A"/>
    <w:rsid w:val="00C02A25"/>
    <w:rsid w:val="00C02C3F"/>
    <w:rsid w:val="00C0345F"/>
    <w:rsid w:val="00C03475"/>
    <w:rsid w:val="00C0349A"/>
    <w:rsid w:val="00C03557"/>
    <w:rsid w:val="00C03DB5"/>
    <w:rsid w:val="00C03DBE"/>
    <w:rsid w:val="00C03DDB"/>
    <w:rsid w:val="00C04171"/>
    <w:rsid w:val="00C04475"/>
    <w:rsid w:val="00C04FB6"/>
    <w:rsid w:val="00C05820"/>
    <w:rsid w:val="00C059DE"/>
    <w:rsid w:val="00C05F5C"/>
    <w:rsid w:val="00C0600E"/>
    <w:rsid w:val="00C06D0F"/>
    <w:rsid w:val="00C077A9"/>
    <w:rsid w:val="00C07A00"/>
    <w:rsid w:val="00C07BE0"/>
    <w:rsid w:val="00C07C70"/>
    <w:rsid w:val="00C07CC7"/>
    <w:rsid w:val="00C07F6C"/>
    <w:rsid w:val="00C1002A"/>
    <w:rsid w:val="00C100B3"/>
    <w:rsid w:val="00C10615"/>
    <w:rsid w:val="00C10B0D"/>
    <w:rsid w:val="00C11258"/>
    <w:rsid w:val="00C1192A"/>
    <w:rsid w:val="00C119B6"/>
    <w:rsid w:val="00C11B47"/>
    <w:rsid w:val="00C11F30"/>
    <w:rsid w:val="00C120FA"/>
    <w:rsid w:val="00C12380"/>
    <w:rsid w:val="00C12DFE"/>
    <w:rsid w:val="00C135C2"/>
    <w:rsid w:val="00C13676"/>
    <w:rsid w:val="00C13B1C"/>
    <w:rsid w:val="00C13F97"/>
    <w:rsid w:val="00C1420A"/>
    <w:rsid w:val="00C1494C"/>
    <w:rsid w:val="00C14B5E"/>
    <w:rsid w:val="00C14CA3"/>
    <w:rsid w:val="00C15E5F"/>
    <w:rsid w:val="00C15F5C"/>
    <w:rsid w:val="00C15FF4"/>
    <w:rsid w:val="00C169F3"/>
    <w:rsid w:val="00C16C10"/>
    <w:rsid w:val="00C16D4B"/>
    <w:rsid w:val="00C16FFB"/>
    <w:rsid w:val="00C1779E"/>
    <w:rsid w:val="00C1781E"/>
    <w:rsid w:val="00C17974"/>
    <w:rsid w:val="00C179DA"/>
    <w:rsid w:val="00C17D98"/>
    <w:rsid w:val="00C17F15"/>
    <w:rsid w:val="00C20005"/>
    <w:rsid w:val="00C2068D"/>
    <w:rsid w:val="00C206E7"/>
    <w:rsid w:val="00C20703"/>
    <w:rsid w:val="00C207EB"/>
    <w:rsid w:val="00C20DE0"/>
    <w:rsid w:val="00C2105A"/>
    <w:rsid w:val="00C2133B"/>
    <w:rsid w:val="00C21342"/>
    <w:rsid w:val="00C21530"/>
    <w:rsid w:val="00C216D7"/>
    <w:rsid w:val="00C21B18"/>
    <w:rsid w:val="00C21D7E"/>
    <w:rsid w:val="00C21E2D"/>
    <w:rsid w:val="00C22756"/>
    <w:rsid w:val="00C22773"/>
    <w:rsid w:val="00C23B1A"/>
    <w:rsid w:val="00C23BA2"/>
    <w:rsid w:val="00C23BB3"/>
    <w:rsid w:val="00C2412E"/>
    <w:rsid w:val="00C2420C"/>
    <w:rsid w:val="00C242F7"/>
    <w:rsid w:val="00C243FF"/>
    <w:rsid w:val="00C24807"/>
    <w:rsid w:val="00C24839"/>
    <w:rsid w:val="00C24E64"/>
    <w:rsid w:val="00C259DE"/>
    <w:rsid w:val="00C25F41"/>
    <w:rsid w:val="00C261CD"/>
    <w:rsid w:val="00C26236"/>
    <w:rsid w:val="00C2663C"/>
    <w:rsid w:val="00C26A2A"/>
    <w:rsid w:val="00C26B25"/>
    <w:rsid w:val="00C27343"/>
    <w:rsid w:val="00C27710"/>
    <w:rsid w:val="00C278F8"/>
    <w:rsid w:val="00C27A59"/>
    <w:rsid w:val="00C27DD9"/>
    <w:rsid w:val="00C30096"/>
    <w:rsid w:val="00C3045C"/>
    <w:rsid w:val="00C3054B"/>
    <w:rsid w:val="00C309E2"/>
    <w:rsid w:val="00C30B60"/>
    <w:rsid w:val="00C30EA4"/>
    <w:rsid w:val="00C31006"/>
    <w:rsid w:val="00C31114"/>
    <w:rsid w:val="00C314A5"/>
    <w:rsid w:val="00C31ED3"/>
    <w:rsid w:val="00C327D2"/>
    <w:rsid w:val="00C32C03"/>
    <w:rsid w:val="00C32E63"/>
    <w:rsid w:val="00C32ED8"/>
    <w:rsid w:val="00C330B4"/>
    <w:rsid w:val="00C334A2"/>
    <w:rsid w:val="00C33745"/>
    <w:rsid w:val="00C338AA"/>
    <w:rsid w:val="00C338C5"/>
    <w:rsid w:val="00C3398A"/>
    <w:rsid w:val="00C34392"/>
    <w:rsid w:val="00C34777"/>
    <w:rsid w:val="00C35A84"/>
    <w:rsid w:val="00C36114"/>
    <w:rsid w:val="00C36ABB"/>
    <w:rsid w:val="00C36DEF"/>
    <w:rsid w:val="00C36EA2"/>
    <w:rsid w:val="00C3700A"/>
    <w:rsid w:val="00C37523"/>
    <w:rsid w:val="00C37569"/>
    <w:rsid w:val="00C3769A"/>
    <w:rsid w:val="00C40494"/>
    <w:rsid w:val="00C404B5"/>
    <w:rsid w:val="00C40998"/>
    <w:rsid w:val="00C40ACC"/>
    <w:rsid w:val="00C40DA9"/>
    <w:rsid w:val="00C40F47"/>
    <w:rsid w:val="00C40F54"/>
    <w:rsid w:val="00C41285"/>
    <w:rsid w:val="00C41341"/>
    <w:rsid w:val="00C41B83"/>
    <w:rsid w:val="00C41BEE"/>
    <w:rsid w:val="00C4258A"/>
    <w:rsid w:val="00C42FF0"/>
    <w:rsid w:val="00C43556"/>
    <w:rsid w:val="00C43A33"/>
    <w:rsid w:val="00C43AFE"/>
    <w:rsid w:val="00C43C1D"/>
    <w:rsid w:val="00C43C28"/>
    <w:rsid w:val="00C43C6C"/>
    <w:rsid w:val="00C449ED"/>
    <w:rsid w:val="00C4536C"/>
    <w:rsid w:val="00C457ED"/>
    <w:rsid w:val="00C45976"/>
    <w:rsid w:val="00C45E7D"/>
    <w:rsid w:val="00C46316"/>
    <w:rsid w:val="00C46669"/>
    <w:rsid w:val="00C468DD"/>
    <w:rsid w:val="00C47000"/>
    <w:rsid w:val="00C4773F"/>
    <w:rsid w:val="00C47897"/>
    <w:rsid w:val="00C478A9"/>
    <w:rsid w:val="00C47AC3"/>
    <w:rsid w:val="00C5012C"/>
    <w:rsid w:val="00C50316"/>
    <w:rsid w:val="00C50468"/>
    <w:rsid w:val="00C5173A"/>
    <w:rsid w:val="00C51B2B"/>
    <w:rsid w:val="00C52309"/>
    <w:rsid w:val="00C525EA"/>
    <w:rsid w:val="00C5267C"/>
    <w:rsid w:val="00C52931"/>
    <w:rsid w:val="00C52A27"/>
    <w:rsid w:val="00C52D09"/>
    <w:rsid w:val="00C531E0"/>
    <w:rsid w:val="00C533C7"/>
    <w:rsid w:val="00C53EEE"/>
    <w:rsid w:val="00C54037"/>
    <w:rsid w:val="00C5472B"/>
    <w:rsid w:val="00C553B0"/>
    <w:rsid w:val="00C5584A"/>
    <w:rsid w:val="00C55C41"/>
    <w:rsid w:val="00C561E2"/>
    <w:rsid w:val="00C566A1"/>
    <w:rsid w:val="00C5764F"/>
    <w:rsid w:val="00C57BFB"/>
    <w:rsid w:val="00C57FD9"/>
    <w:rsid w:val="00C6011B"/>
    <w:rsid w:val="00C60670"/>
    <w:rsid w:val="00C60B71"/>
    <w:rsid w:val="00C6135D"/>
    <w:rsid w:val="00C61364"/>
    <w:rsid w:val="00C61579"/>
    <w:rsid w:val="00C616CE"/>
    <w:rsid w:val="00C61F30"/>
    <w:rsid w:val="00C622AC"/>
    <w:rsid w:val="00C622F6"/>
    <w:rsid w:val="00C624C5"/>
    <w:rsid w:val="00C6268D"/>
    <w:rsid w:val="00C63A08"/>
    <w:rsid w:val="00C63EF0"/>
    <w:rsid w:val="00C64022"/>
    <w:rsid w:val="00C64844"/>
    <w:rsid w:val="00C64B0E"/>
    <w:rsid w:val="00C65BF1"/>
    <w:rsid w:val="00C66043"/>
    <w:rsid w:val="00C660E7"/>
    <w:rsid w:val="00C66135"/>
    <w:rsid w:val="00C673D1"/>
    <w:rsid w:val="00C6797E"/>
    <w:rsid w:val="00C67EBB"/>
    <w:rsid w:val="00C67FCD"/>
    <w:rsid w:val="00C70218"/>
    <w:rsid w:val="00C70C4D"/>
    <w:rsid w:val="00C70D29"/>
    <w:rsid w:val="00C70EB5"/>
    <w:rsid w:val="00C71213"/>
    <w:rsid w:val="00C71383"/>
    <w:rsid w:val="00C71DD3"/>
    <w:rsid w:val="00C71DF4"/>
    <w:rsid w:val="00C72454"/>
    <w:rsid w:val="00C7304F"/>
    <w:rsid w:val="00C7342E"/>
    <w:rsid w:val="00C73ABA"/>
    <w:rsid w:val="00C73D44"/>
    <w:rsid w:val="00C73E82"/>
    <w:rsid w:val="00C73EC0"/>
    <w:rsid w:val="00C7422E"/>
    <w:rsid w:val="00C7424B"/>
    <w:rsid w:val="00C74917"/>
    <w:rsid w:val="00C74943"/>
    <w:rsid w:val="00C74E0E"/>
    <w:rsid w:val="00C74E8A"/>
    <w:rsid w:val="00C74F14"/>
    <w:rsid w:val="00C7538F"/>
    <w:rsid w:val="00C759A4"/>
    <w:rsid w:val="00C75C67"/>
    <w:rsid w:val="00C76A28"/>
    <w:rsid w:val="00C76DD8"/>
    <w:rsid w:val="00C76FB6"/>
    <w:rsid w:val="00C7754A"/>
    <w:rsid w:val="00C77C8A"/>
    <w:rsid w:val="00C80047"/>
    <w:rsid w:val="00C8063B"/>
    <w:rsid w:val="00C80A7D"/>
    <w:rsid w:val="00C80A9D"/>
    <w:rsid w:val="00C81843"/>
    <w:rsid w:val="00C81F48"/>
    <w:rsid w:val="00C82145"/>
    <w:rsid w:val="00C82767"/>
    <w:rsid w:val="00C82BDB"/>
    <w:rsid w:val="00C83F79"/>
    <w:rsid w:val="00C84FF4"/>
    <w:rsid w:val="00C8504D"/>
    <w:rsid w:val="00C852FB"/>
    <w:rsid w:val="00C857A4"/>
    <w:rsid w:val="00C8596D"/>
    <w:rsid w:val="00C86505"/>
    <w:rsid w:val="00C8670D"/>
    <w:rsid w:val="00C86A77"/>
    <w:rsid w:val="00C86E12"/>
    <w:rsid w:val="00C8703F"/>
    <w:rsid w:val="00C87205"/>
    <w:rsid w:val="00C8726F"/>
    <w:rsid w:val="00C872B5"/>
    <w:rsid w:val="00C8772B"/>
    <w:rsid w:val="00C8784C"/>
    <w:rsid w:val="00C87C58"/>
    <w:rsid w:val="00C9061D"/>
    <w:rsid w:val="00C90F6A"/>
    <w:rsid w:val="00C914D5"/>
    <w:rsid w:val="00C91658"/>
    <w:rsid w:val="00C91C95"/>
    <w:rsid w:val="00C91FEC"/>
    <w:rsid w:val="00C921F3"/>
    <w:rsid w:val="00C92ADC"/>
    <w:rsid w:val="00C92CD9"/>
    <w:rsid w:val="00C93569"/>
    <w:rsid w:val="00C93AFE"/>
    <w:rsid w:val="00C93EE0"/>
    <w:rsid w:val="00C949F8"/>
    <w:rsid w:val="00C94F59"/>
    <w:rsid w:val="00C957B5"/>
    <w:rsid w:val="00C95DCE"/>
    <w:rsid w:val="00C964F4"/>
    <w:rsid w:val="00C96696"/>
    <w:rsid w:val="00C96C7A"/>
    <w:rsid w:val="00C96E81"/>
    <w:rsid w:val="00C97305"/>
    <w:rsid w:val="00C97C60"/>
    <w:rsid w:val="00CA0161"/>
    <w:rsid w:val="00CA0352"/>
    <w:rsid w:val="00CA050D"/>
    <w:rsid w:val="00CA071F"/>
    <w:rsid w:val="00CA0E20"/>
    <w:rsid w:val="00CA0EC8"/>
    <w:rsid w:val="00CA1271"/>
    <w:rsid w:val="00CA187B"/>
    <w:rsid w:val="00CA1D74"/>
    <w:rsid w:val="00CA2670"/>
    <w:rsid w:val="00CA2A35"/>
    <w:rsid w:val="00CA35FB"/>
    <w:rsid w:val="00CA3F50"/>
    <w:rsid w:val="00CA4D9D"/>
    <w:rsid w:val="00CA500D"/>
    <w:rsid w:val="00CA53CC"/>
    <w:rsid w:val="00CA55A2"/>
    <w:rsid w:val="00CA5849"/>
    <w:rsid w:val="00CA5AF5"/>
    <w:rsid w:val="00CA5B37"/>
    <w:rsid w:val="00CA5D3D"/>
    <w:rsid w:val="00CA6504"/>
    <w:rsid w:val="00CA6C56"/>
    <w:rsid w:val="00CA6D28"/>
    <w:rsid w:val="00CA6D2E"/>
    <w:rsid w:val="00CA7197"/>
    <w:rsid w:val="00CA7962"/>
    <w:rsid w:val="00CA79B6"/>
    <w:rsid w:val="00CA7B5A"/>
    <w:rsid w:val="00CB04D1"/>
    <w:rsid w:val="00CB08D8"/>
    <w:rsid w:val="00CB0C07"/>
    <w:rsid w:val="00CB0D75"/>
    <w:rsid w:val="00CB0DF9"/>
    <w:rsid w:val="00CB1629"/>
    <w:rsid w:val="00CB1AB3"/>
    <w:rsid w:val="00CB1BF4"/>
    <w:rsid w:val="00CB207C"/>
    <w:rsid w:val="00CB287E"/>
    <w:rsid w:val="00CB2D43"/>
    <w:rsid w:val="00CB2DED"/>
    <w:rsid w:val="00CB336C"/>
    <w:rsid w:val="00CB4ABF"/>
    <w:rsid w:val="00CB52D2"/>
    <w:rsid w:val="00CB560A"/>
    <w:rsid w:val="00CB5616"/>
    <w:rsid w:val="00CB5F60"/>
    <w:rsid w:val="00CB614D"/>
    <w:rsid w:val="00CB7234"/>
    <w:rsid w:val="00CB774D"/>
    <w:rsid w:val="00CC051F"/>
    <w:rsid w:val="00CC09FD"/>
    <w:rsid w:val="00CC0E8F"/>
    <w:rsid w:val="00CC1006"/>
    <w:rsid w:val="00CC1B52"/>
    <w:rsid w:val="00CC1DC4"/>
    <w:rsid w:val="00CC1EB3"/>
    <w:rsid w:val="00CC1F81"/>
    <w:rsid w:val="00CC220A"/>
    <w:rsid w:val="00CC2789"/>
    <w:rsid w:val="00CC29FA"/>
    <w:rsid w:val="00CC2ECE"/>
    <w:rsid w:val="00CC349F"/>
    <w:rsid w:val="00CC351D"/>
    <w:rsid w:val="00CC37C4"/>
    <w:rsid w:val="00CC3EF5"/>
    <w:rsid w:val="00CC4271"/>
    <w:rsid w:val="00CC4505"/>
    <w:rsid w:val="00CC4A94"/>
    <w:rsid w:val="00CC4C67"/>
    <w:rsid w:val="00CC50F8"/>
    <w:rsid w:val="00CC54A8"/>
    <w:rsid w:val="00CC606C"/>
    <w:rsid w:val="00CC73D0"/>
    <w:rsid w:val="00CC7539"/>
    <w:rsid w:val="00CC7CAF"/>
    <w:rsid w:val="00CC7F8E"/>
    <w:rsid w:val="00CD0205"/>
    <w:rsid w:val="00CD0D97"/>
    <w:rsid w:val="00CD13A8"/>
    <w:rsid w:val="00CD13B0"/>
    <w:rsid w:val="00CD18A8"/>
    <w:rsid w:val="00CD1FB3"/>
    <w:rsid w:val="00CD22A4"/>
    <w:rsid w:val="00CD2B58"/>
    <w:rsid w:val="00CD2D83"/>
    <w:rsid w:val="00CD33DF"/>
    <w:rsid w:val="00CD341E"/>
    <w:rsid w:val="00CD3614"/>
    <w:rsid w:val="00CD3BA3"/>
    <w:rsid w:val="00CD3C54"/>
    <w:rsid w:val="00CD414A"/>
    <w:rsid w:val="00CD421C"/>
    <w:rsid w:val="00CD42F7"/>
    <w:rsid w:val="00CD4427"/>
    <w:rsid w:val="00CD46E5"/>
    <w:rsid w:val="00CD5072"/>
    <w:rsid w:val="00CD54A4"/>
    <w:rsid w:val="00CD5553"/>
    <w:rsid w:val="00CD57E7"/>
    <w:rsid w:val="00CD587A"/>
    <w:rsid w:val="00CD593B"/>
    <w:rsid w:val="00CD5BA6"/>
    <w:rsid w:val="00CD5E14"/>
    <w:rsid w:val="00CD5F9D"/>
    <w:rsid w:val="00CD6539"/>
    <w:rsid w:val="00CD68A3"/>
    <w:rsid w:val="00CD6A2E"/>
    <w:rsid w:val="00CD6AB3"/>
    <w:rsid w:val="00CD6F48"/>
    <w:rsid w:val="00CD788F"/>
    <w:rsid w:val="00CD7929"/>
    <w:rsid w:val="00CE035A"/>
    <w:rsid w:val="00CE08ED"/>
    <w:rsid w:val="00CE1047"/>
    <w:rsid w:val="00CE13E8"/>
    <w:rsid w:val="00CE2105"/>
    <w:rsid w:val="00CE2334"/>
    <w:rsid w:val="00CE26E1"/>
    <w:rsid w:val="00CE2ECB"/>
    <w:rsid w:val="00CE3053"/>
    <w:rsid w:val="00CE3088"/>
    <w:rsid w:val="00CE3200"/>
    <w:rsid w:val="00CE3385"/>
    <w:rsid w:val="00CE3E76"/>
    <w:rsid w:val="00CE4222"/>
    <w:rsid w:val="00CE47AA"/>
    <w:rsid w:val="00CE4AAF"/>
    <w:rsid w:val="00CE4CEB"/>
    <w:rsid w:val="00CE5287"/>
    <w:rsid w:val="00CE55DE"/>
    <w:rsid w:val="00CE5C4C"/>
    <w:rsid w:val="00CE62F3"/>
    <w:rsid w:val="00CE664A"/>
    <w:rsid w:val="00CE75F2"/>
    <w:rsid w:val="00CE798E"/>
    <w:rsid w:val="00CE7A55"/>
    <w:rsid w:val="00CF01B5"/>
    <w:rsid w:val="00CF03CC"/>
    <w:rsid w:val="00CF04D9"/>
    <w:rsid w:val="00CF0632"/>
    <w:rsid w:val="00CF0A0F"/>
    <w:rsid w:val="00CF160F"/>
    <w:rsid w:val="00CF1D55"/>
    <w:rsid w:val="00CF1E7D"/>
    <w:rsid w:val="00CF1FEB"/>
    <w:rsid w:val="00CF2769"/>
    <w:rsid w:val="00CF3325"/>
    <w:rsid w:val="00CF3C96"/>
    <w:rsid w:val="00CF40A5"/>
    <w:rsid w:val="00CF4BD8"/>
    <w:rsid w:val="00CF4F84"/>
    <w:rsid w:val="00CF4FA2"/>
    <w:rsid w:val="00CF5110"/>
    <w:rsid w:val="00CF5445"/>
    <w:rsid w:val="00CF58DD"/>
    <w:rsid w:val="00CF5932"/>
    <w:rsid w:val="00CF5DCB"/>
    <w:rsid w:val="00CF5E62"/>
    <w:rsid w:val="00CF64C7"/>
    <w:rsid w:val="00CF6E72"/>
    <w:rsid w:val="00CF759D"/>
    <w:rsid w:val="00CF75A5"/>
    <w:rsid w:val="00D002FC"/>
    <w:rsid w:val="00D00A31"/>
    <w:rsid w:val="00D00D9F"/>
    <w:rsid w:val="00D00F53"/>
    <w:rsid w:val="00D01710"/>
    <w:rsid w:val="00D01ABB"/>
    <w:rsid w:val="00D01AED"/>
    <w:rsid w:val="00D01F57"/>
    <w:rsid w:val="00D01FB7"/>
    <w:rsid w:val="00D0209D"/>
    <w:rsid w:val="00D02195"/>
    <w:rsid w:val="00D02AEA"/>
    <w:rsid w:val="00D02BEF"/>
    <w:rsid w:val="00D02D21"/>
    <w:rsid w:val="00D02E8A"/>
    <w:rsid w:val="00D03026"/>
    <w:rsid w:val="00D03910"/>
    <w:rsid w:val="00D03EB1"/>
    <w:rsid w:val="00D042D6"/>
    <w:rsid w:val="00D04A79"/>
    <w:rsid w:val="00D04E35"/>
    <w:rsid w:val="00D05257"/>
    <w:rsid w:val="00D05741"/>
    <w:rsid w:val="00D05785"/>
    <w:rsid w:val="00D05D11"/>
    <w:rsid w:val="00D05E0F"/>
    <w:rsid w:val="00D06233"/>
    <w:rsid w:val="00D065CA"/>
    <w:rsid w:val="00D06E7E"/>
    <w:rsid w:val="00D07182"/>
    <w:rsid w:val="00D071C1"/>
    <w:rsid w:val="00D07A3C"/>
    <w:rsid w:val="00D1005D"/>
    <w:rsid w:val="00D10157"/>
    <w:rsid w:val="00D10F23"/>
    <w:rsid w:val="00D10F88"/>
    <w:rsid w:val="00D118C5"/>
    <w:rsid w:val="00D11A63"/>
    <w:rsid w:val="00D11B67"/>
    <w:rsid w:val="00D11DEC"/>
    <w:rsid w:val="00D120A8"/>
    <w:rsid w:val="00D12723"/>
    <w:rsid w:val="00D127D5"/>
    <w:rsid w:val="00D12FD8"/>
    <w:rsid w:val="00D1364F"/>
    <w:rsid w:val="00D13688"/>
    <w:rsid w:val="00D13B0F"/>
    <w:rsid w:val="00D13ED8"/>
    <w:rsid w:val="00D13FC3"/>
    <w:rsid w:val="00D13FEF"/>
    <w:rsid w:val="00D142D7"/>
    <w:rsid w:val="00D14CCE"/>
    <w:rsid w:val="00D1610B"/>
    <w:rsid w:val="00D177E8"/>
    <w:rsid w:val="00D178F3"/>
    <w:rsid w:val="00D17C8B"/>
    <w:rsid w:val="00D22185"/>
    <w:rsid w:val="00D23301"/>
    <w:rsid w:val="00D234D6"/>
    <w:rsid w:val="00D24703"/>
    <w:rsid w:val="00D24CDC"/>
    <w:rsid w:val="00D24E87"/>
    <w:rsid w:val="00D25811"/>
    <w:rsid w:val="00D25B7A"/>
    <w:rsid w:val="00D25E0B"/>
    <w:rsid w:val="00D2658B"/>
    <w:rsid w:val="00D26A5F"/>
    <w:rsid w:val="00D27994"/>
    <w:rsid w:val="00D27BB9"/>
    <w:rsid w:val="00D305A9"/>
    <w:rsid w:val="00D3090D"/>
    <w:rsid w:val="00D30B7F"/>
    <w:rsid w:val="00D31318"/>
    <w:rsid w:val="00D3132B"/>
    <w:rsid w:val="00D31926"/>
    <w:rsid w:val="00D31B1F"/>
    <w:rsid w:val="00D31C9E"/>
    <w:rsid w:val="00D323D1"/>
    <w:rsid w:val="00D32894"/>
    <w:rsid w:val="00D33011"/>
    <w:rsid w:val="00D33860"/>
    <w:rsid w:val="00D34303"/>
    <w:rsid w:val="00D356D8"/>
    <w:rsid w:val="00D359F1"/>
    <w:rsid w:val="00D36255"/>
    <w:rsid w:val="00D3690A"/>
    <w:rsid w:val="00D36D63"/>
    <w:rsid w:val="00D371B3"/>
    <w:rsid w:val="00D376A9"/>
    <w:rsid w:val="00D37AD7"/>
    <w:rsid w:val="00D40337"/>
    <w:rsid w:val="00D40450"/>
    <w:rsid w:val="00D404F8"/>
    <w:rsid w:val="00D40949"/>
    <w:rsid w:val="00D40A69"/>
    <w:rsid w:val="00D40C19"/>
    <w:rsid w:val="00D40D28"/>
    <w:rsid w:val="00D410AA"/>
    <w:rsid w:val="00D41955"/>
    <w:rsid w:val="00D419DF"/>
    <w:rsid w:val="00D42198"/>
    <w:rsid w:val="00D42CF4"/>
    <w:rsid w:val="00D43A6A"/>
    <w:rsid w:val="00D43C62"/>
    <w:rsid w:val="00D43EAA"/>
    <w:rsid w:val="00D441C6"/>
    <w:rsid w:val="00D44885"/>
    <w:rsid w:val="00D448D4"/>
    <w:rsid w:val="00D44F3E"/>
    <w:rsid w:val="00D45228"/>
    <w:rsid w:val="00D456AD"/>
    <w:rsid w:val="00D45B8C"/>
    <w:rsid w:val="00D45C0A"/>
    <w:rsid w:val="00D45DBE"/>
    <w:rsid w:val="00D4636A"/>
    <w:rsid w:val="00D463A8"/>
    <w:rsid w:val="00D464DD"/>
    <w:rsid w:val="00D46DE2"/>
    <w:rsid w:val="00D473D2"/>
    <w:rsid w:val="00D47A5C"/>
    <w:rsid w:val="00D47B03"/>
    <w:rsid w:val="00D50020"/>
    <w:rsid w:val="00D5046C"/>
    <w:rsid w:val="00D50690"/>
    <w:rsid w:val="00D506B9"/>
    <w:rsid w:val="00D508D6"/>
    <w:rsid w:val="00D50BDD"/>
    <w:rsid w:val="00D50C49"/>
    <w:rsid w:val="00D50F41"/>
    <w:rsid w:val="00D510E6"/>
    <w:rsid w:val="00D512C3"/>
    <w:rsid w:val="00D51799"/>
    <w:rsid w:val="00D51C12"/>
    <w:rsid w:val="00D520AA"/>
    <w:rsid w:val="00D527DE"/>
    <w:rsid w:val="00D528F7"/>
    <w:rsid w:val="00D52B52"/>
    <w:rsid w:val="00D52C73"/>
    <w:rsid w:val="00D52EAC"/>
    <w:rsid w:val="00D54F58"/>
    <w:rsid w:val="00D54F94"/>
    <w:rsid w:val="00D551A3"/>
    <w:rsid w:val="00D55853"/>
    <w:rsid w:val="00D55DE8"/>
    <w:rsid w:val="00D55F6A"/>
    <w:rsid w:val="00D561E5"/>
    <w:rsid w:val="00D5636A"/>
    <w:rsid w:val="00D569D9"/>
    <w:rsid w:val="00D570D0"/>
    <w:rsid w:val="00D572E3"/>
    <w:rsid w:val="00D577BD"/>
    <w:rsid w:val="00D57858"/>
    <w:rsid w:val="00D57D06"/>
    <w:rsid w:val="00D6056A"/>
    <w:rsid w:val="00D60760"/>
    <w:rsid w:val="00D608B8"/>
    <w:rsid w:val="00D6256E"/>
    <w:rsid w:val="00D6265F"/>
    <w:rsid w:val="00D62EFD"/>
    <w:rsid w:val="00D62FEF"/>
    <w:rsid w:val="00D63358"/>
    <w:rsid w:val="00D637C5"/>
    <w:rsid w:val="00D6410C"/>
    <w:rsid w:val="00D64417"/>
    <w:rsid w:val="00D6478A"/>
    <w:rsid w:val="00D650BD"/>
    <w:rsid w:val="00D65225"/>
    <w:rsid w:val="00D65FD2"/>
    <w:rsid w:val="00D668CA"/>
    <w:rsid w:val="00D66B3A"/>
    <w:rsid w:val="00D66E85"/>
    <w:rsid w:val="00D67DD5"/>
    <w:rsid w:val="00D70038"/>
    <w:rsid w:val="00D701C6"/>
    <w:rsid w:val="00D70FE2"/>
    <w:rsid w:val="00D70FFF"/>
    <w:rsid w:val="00D7142F"/>
    <w:rsid w:val="00D71B1C"/>
    <w:rsid w:val="00D7218A"/>
    <w:rsid w:val="00D72944"/>
    <w:rsid w:val="00D72F09"/>
    <w:rsid w:val="00D730B8"/>
    <w:rsid w:val="00D7348B"/>
    <w:rsid w:val="00D73824"/>
    <w:rsid w:val="00D73E50"/>
    <w:rsid w:val="00D74495"/>
    <w:rsid w:val="00D74C9A"/>
    <w:rsid w:val="00D74DA7"/>
    <w:rsid w:val="00D75730"/>
    <w:rsid w:val="00D7591E"/>
    <w:rsid w:val="00D75932"/>
    <w:rsid w:val="00D762E0"/>
    <w:rsid w:val="00D7649E"/>
    <w:rsid w:val="00D76B28"/>
    <w:rsid w:val="00D76F07"/>
    <w:rsid w:val="00D773A3"/>
    <w:rsid w:val="00D8003C"/>
    <w:rsid w:val="00D805EA"/>
    <w:rsid w:val="00D80D0F"/>
    <w:rsid w:val="00D8199C"/>
    <w:rsid w:val="00D81A6A"/>
    <w:rsid w:val="00D81D5B"/>
    <w:rsid w:val="00D823E0"/>
    <w:rsid w:val="00D82AC3"/>
    <w:rsid w:val="00D82ED3"/>
    <w:rsid w:val="00D82FDE"/>
    <w:rsid w:val="00D83258"/>
    <w:rsid w:val="00D83262"/>
    <w:rsid w:val="00D832F4"/>
    <w:rsid w:val="00D83CA5"/>
    <w:rsid w:val="00D844B8"/>
    <w:rsid w:val="00D84554"/>
    <w:rsid w:val="00D846DD"/>
    <w:rsid w:val="00D84ED3"/>
    <w:rsid w:val="00D854A3"/>
    <w:rsid w:val="00D859B8"/>
    <w:rsid w:val="00D85A8E"/>
    <w:rsid w:val="00D86088"/>
    <w:rsid w:val="00D86A76"/>
    <w:rsid w:val="00D86BCC"/>
    <w:rsid w:val="00D86F76"/>
    <w:rsid w:val="00D877CF"/>
    <w:rsid w:val="00D87B00"/>
    <w:rsid w:val="00D900CE"/>
    <w:rsid w:val="00D90734"/>
    <w:rsid w:val="00D90C20"/>
    <w:rsid w:val="00D90EED"/>
    <w:rsid w:val="00D91724"/>
    <w:rsid w:val="00D91777"/>
    <w:rsid w:val="00D921EE"/>
    <w:rsid w:val="00D92279"/>
    <w:rsid w:val="00D929F5"/>
    <w:rsid w:val="00D930F5"/>
    <w:rsid w:val="00D937DD"/>
    <w:rsid w:val="00D938B9"/>
    <w:rsid w:val="00D941FB"/>
    <w:rsid w:val="00D9438D"/>
    <w:rsid w:val="00D94C9A"/>
    <w:rsid w:val="00D9504B"/>
    <w:rsid w:val="00D95128"/>
    <w:rsid w:val="00D9518E"/>
    <w:rsid w:val="00D95931"/>
    <w:rsid w:val="00D95FD8"/>
    <w:rsid w:val="00D96560"/>
    <w:rsid w:val="00D96694"/>
    <w:rsid w:val="00D967A8"/>
    <w:rsid w:val="00D96C39"/>
    <w:rsid w:val="00D96C5C"/>
    <w:rsid w:val="00D9731D"/>
    <w:rsid w:val="00D97406"/>
    <w:rsid w:val="00D974F1"/>
    <w:rsid w:val="00D9768E"/>
    <w:rsid w:val="00D97C7D"/>
    <w:rsid w:val="00DA0B65"/>
    <w:rsid w:val="00DA1694"/>
    <w:rsid w:val="00DA185F"/>
    <w:rsid w:val="00DA1C7B"/>
    <w:rsid w:val="00DA1E9F"/>
    <w:rsid w:val="00DA23E7"/>
    <w:rsid w:val="00DA264E"/>
    <w:rsid w:val="00DA26C7"/>
    <w:rsid w:val="00DA34F1"/>
    <w:rsid w:val="00DA3702"/>
    <w:rsid w:val="00DA400C"/>
    <w:rsid w:val="00DA46F9"/>
    <w:rsid w:val="00DA4F05"/>
    <w:rsid w:val="00DA586E"/>
    <w:rsid w:val="00DA5B14"/>
    <w:rsid w:val="00DA5D03"/>
    <w:rsid w:val="00DA663B"/>
    <w:rsid w:val="00DA7333"/>
    <w:rsid w:val="00DA741B"/>
    <w:rsid w:val="00DA7527"/>
    <w:rsid w:val="00DA7666"/>
    <w:rsid w:val="00DA784D"/>
    <w:rsid w:val="00DA7BD2"/>
    <w:rsid w:val="00DB0198"/>
    <w:rsid w:val="00DB02EF"/>
    <w:rsid w:val="00DB04D1"/>
    <w:rsid w:val="00DB0933"/>
    <w:rsid w:val="00DB098D"/>
    <w:rsid w:val="00DB0F96"/>
    <w:rsid w:val="00DB10C3"/>
    <w:rsid w:val="00DB123E"/>
    <w:rsid w:val="00DB1337"/>
    <w:rsid w:val="00DB1360"/>
    <w:rsid w:val="00DB1599"/>
    <w:rsid w:val="00DB1D85"/>
    <w:rsid w:val="00DB1FFF"/>
    <w:rsid w:val="00DB21B0"/>
    <w:rsid w:val="00DB22CB"/>
    <w:rsid w:val="00DB22F4"/>
    <w:rsid w:val="00DB284B"/>
    <w:rsid w:val="00DB29DD"/>
    <w:rsid w:val="00DB29E0"/>
    <w:rsid w:val="00DB3A17"/>
    <w:rsid w:val="00DB3F78"/>
    <w:rsid w:val="00DB41DA"/>
    <w:rsid w:val="00DB4623"/>
    <w:rsid w:val="00DB4A76"/>
    <w:rsid w:val="00DB4AEC"/>
    <w:rsid w:val="00DB50CE"/>
    <w:rsid w:val="00DB5210"/>
    <w:rsid w:val="00DB55C8"/>
    <w:rsid w:val="00DB5645"/>
    <w:rsid w:val="00DB6130"/>
    <w:rsid w:val="00DB7237"/>
    <w:rsid w:val="00DB73D4"/>
    <w:rsid w:val="00DB75AC"/>
    <w:rsid w:val="00DB75FB"/>
    <w:rsid w:val="00DB79CC"/>
    <w:rsid w:val="00DB7C52"/>
    <w:rsid w:val="00DB7CB6"/>
    <w:rsid w:val="00DB7CE8"/>
    <w:rsid w:val="00DB7FE3"/>
    <w:rsid w:val="00DC068B"/>
    <w:rsid w:val="00DC099B"/>
    <w:rsid w:val="00DC09C9"/>
    <w:rsid w:val="00DC0C10"/>
    <w:rsid w:val="00DC0EBF"/>
    <w:rsid w:val="00DC15DB"/>
    <w:rsid w:val="00DC16D9"/>
    <w:rsid w:val="00DC20FE"/>
    <w:rsid w:val="00DC21DA"/>
    <w:rsid w:val="00DC241B"/>
    <w:rsid w:val="00DC24A5"/>
    <w:rsid w:val="00DC2519"/>
    <w:rsid w:val="00DC33D4"/>
    <w:rsid w:val="00DC34AC"/>
    <w:rsid w:val="00DC3798"/>
    <w:rsid w:val="00DC3810"/>
    <w:rsid w:val="00DC391C"/>
    <w:rsid w:val="00DC3E94"/>
    <w:rsid w:val="00DC42A2"/>
    <w:rsid w:val="00DC45C2"/>
    <w:rsid w:val="00DC4FF1"/>
    <w:rsid w:val="00DC5044"/>
    <w:rsid w:val="00DC55A1"/>
    <w:rsid w:val="00DC57D9"/>
    <w:rsid w:val="00DC5DEC"/>
    <w:rsid w:val="00DC6037"/>
    <w:rsid w:val="00DC6897"/>
    <w:rsid w:val="00DC7324"/>
    <w:rsid w:val="00DC7525"/>
    <w:rsid w:val="00DC7889"/>
    <w:rsid w:val="00DC7A46"/>
    <w:rsid w:val="00DC7CE9"/>
    <w:rsid w:val="00DD016A"/>
    <w:rsid w:val="00DD07B2"/>
    <w:rsid w:val="00DD0960"/>
    <w:rsid w:val="00DD0DB7"/>
    <w:rsid w:val="00DD0FBB"/>
    <w:rsid w:val="00DD1204"/>
    <w:rsid w:val="00DD1343"/>
    <w:rsid w:val="00DD15B6"/>
    <w:rsid w:val="00DD1664"/>
    <w:rsid w:val="00DD27AE"/>
    <w:rsid w:val="00DD2AC0"/>
    <w:rsid w:val="00DD2DEE"/>
    <w:rsid w:val="00DD322E"/>
    <w:rsid w:val="00DD3B64"/>
    <w:rsid w:val="00DD3B98"/>
    <w:rsid w:val="00DD4453"/>
    <w:rsid w:val="00DD47AC"/>
    <w:rsid w:val="00DD487F"/>
    <w:rsid w:val="00DD489E"/>
    <w:rsid w:val="00DD4925"/>
    <w:rsid w:val="00DD4A98"/>
    <w:rsid w:val="00DD4B49"/>
    <w:rsid w:val="00DD52D0"/>
    <w:rsid w:val="00DD54A2"/>
    <w:rsid w:val="00DD564F"/>
    <w:rsid w:val="00DD59E8"/>
    <w:rsid w:val="00DD5ED6"/>
    <w:rsid w:val="00DD6142"/>
    <w:rsid w:val="00DD6FA1"/>
    <w:rsid w:val="00DD6FD0"/>
    <w:rsid w:val="00DD76BF"/>
    <w:rsid w:val="00DE04A6"/>
    <w:rsid w:val="00DE0FA8"/>
    <w:rsid w:val="00DE11F5"/>
    <w:rsid w:val="00DE167F"/>
    <w:rsid w:val="00DE22D9"/>
    <w:rsid w:val="00DE2558"/>
    <w:rsid w:val="00DE2A5C"/>
    <w:rsid w:val="00DE2B2B"/>
    <w:rsid w:val="00DE3634"/>
    <w:rsid w:val="00DE3989"/>
    <w:rsid w:val="00DE39B2"/>
    <w:rsid w:val="00DE4687"/>
    <w:rsid w:val="00DE4A7D"/>
    <w:rsid w:val="00DE4CB3"/>
    <w:rsid w:val="00DE53D3"/>
    <w:rsid w:val="00DE6527"/>
    <w:rsid w:val="00DE6899"/>
    <w:rsid w:val="00DE6D8B"/>
    <w:rsid w:val="00DE7160"/>
    <w:rsid w:val="00DE71DE"/>
    <w:rsid w:val="00DF04DA"/>
    <w:rsid w:val="00DF09F3"/>
    <w:rsid w:val="00DF0CD2"/>
    <w:rsid w:val="00DF10B4"/>
    <w:rsid w:val="00DF10F8"/>
    <w:rsid w:val="00DF13DC"/>
    <w:rsid w:val="00DF15E8"/>
    <w:rsid w:val="00DF16C7"/>
    <w:rsid w:val="00DF23AB"/>
    <w:rsid w:val="00DF2517"/>
    <w:rsid w:val="00DF2E7D"/>
    <w:rsid w:val="00DF30CC"/>
    <w:rsid w:val="00DF36D9"/>
    <w:rsid w:val="00DF3925"/>
    <w:rsid w:val="00DF3B1A"/>
    <w:rsid w:val="00DF3C39"/>
    <w:rsid w:val="00DF3F8A"/>
    <w:rsid w:val="00DF4945"/>
    <w:rsid w:val="00DF4C87"/>
    <w:rsid w:val="00DF5033"/>
    <w:rsid w:val="00DF56EF"/>
    <w:rsid w:val="00DF5B7B"/>
    <w:rsid w:val="00DF5C1F"/>
    <w:rsid w:val="00DF5E22"/>
    <w:rsid w:val="00DF6088"/>
    <w:rsid w:val="00DF60AC"/>
    <w:rsid w:val="00DF6565"/>
    <w:rsid w:val="00DF6D5E"/>
    <w:rsid w:val="00DF708E"/>
    <w:rsid w:val="00DF7CF5"/>
    <w:rsid w:val="00E00CBF"/>
    <w:rsid w:val="00E01AE5"/>
    <w:rsid w:val="00E01F04"/>
    <w:rsid w:val="00E01F9D"/>
    <w:rsid w:val="00E024FD"/>
    <w:rsid w:val="00E028AC"/>
    <w:rsid w:val="00E02936"/>
    <w:rsid w:val="00E02C63"/>
    <w:rsid w:val="00E03104"/>
    <w:rsid w:val="00E036C9"/>
    <w:rsid w:val="00E03BF9"/>
    <w:rsid w:val="00E03D53"/>
    <w:rsid w:val="00E045EA"/>
    <w:rsid w:val="00E0474A"/>
    <w:rsid w:val="00E05E28"/>
    <w:rsid w:val="00E06162"/>
    <w:rsid w:val="00E06210"/>
    <w:rsid w:val="00E0638A"/>
    <w:rsid w:val="00E06A72"/>
    <w:rsid w:val="00E07284"/>
    <w:rsid w:val="00E078F2"/>
    <w:rsid w:val="00E079E6"/>
    <w:rsid w:val="00E07A1B"/>
    <w:rsid w:val="00E10533"/>
    <w:rsid w:val="00E1071A"/>
    <w:rsid w:val="00E1073A"/>
    <w:rsid w:val="00E10A2C"/>
    <w:rsid w:val="00E10AD4"/>
    <w:rsid w:val="00E10C4E"/>
    <w:rsid w:val="00E11319"/>
    <w:rsid w:val="00E11A43"/>
    <w:rsid w:val="00E11BB6"/>
    <w:rsid w:val="00E120C6"/>
    <w:rsid w:val="00E12228"/>
    <w:rsid w:val="00E123CF"/>
    <w:rsid w:val="00E12414"/>
    <w:rsid w:val="00E1260E"/>
    <w:rsid w:val="00E12956"/>
    <w:rsid w:val="00E12BF9"/>
    <w:rsid w:val="00E132A5"/>
    <w:rsid w:val="00E13477"/>
    <w:rsid w:val="00E1354E"/>
    <w:rsid w:val="00E13A8A"/>
    <w:rsid w:val="00E13B16"/>
    <w:rsid w:val="00E13CF1"/>
    <w:rsid w:val="00E14194"/>
    <w:rsid w:val="00E1444D"/>
    <w:rsid w:val="00E14E86"/>
    <w:rsid w:val="00E15044"/>
    <w:rsid w:val="00E1532B"/>
    <w:rsid w:val="00E15555"/>
    <w:rsid w:val="00E15D2E"/>
    <w:rsid w:val="00E1602A"/>
    <w:rsid w:val="00E1623B"/>
    <w:rsid w:val="00E170D1"/>
    <w:rsid w:val="00E17432"/>
    <w:rsid w:val="00E17B68"/>
    <w:rsid w:val="00E17D25"/>
    <w:rsid w:val="00E17F0A"/>
    <w:rsid w:val="00E2030C"/>
    <w:rsid w:val="00E20536"/>
    <w:rsid w:val="00E20661"/>
    <w:rsid w:val="00E20DB3"/>
    <w:rsid w:val="00E210CF"/>
    <w:rsid w:val="00E215B2"/>
    <w:rsid w:val="00E21895"/>
    <w:rsid w:val="00E21A2F"/>
    <w:rsid w:val="00E21D4C"/>
    <w:rsid w:val="00E21E7D"/>
    <w:rsid w:val="00E2279A"/>
    <w:rsid w:val="00E22B1C"/>
    <w:rsid w:val="00E22BCD"/>
    <w:rsid w:val="00E2303D"/>
    <w:rsid w:val="00E239FB"/>
    <w:rsid w:val="00E241E2"/>
    <w:rsid w:val="00E2434F"/>
    <w:rsid w:val="00E243AF"/>
    <w:rsid w:val="00E245AC"/>
    <w:rsid w:val="00E2476F"/>
    <w:rsid w:val="00E24CA4"/>
    <w:rsid w:val="00E25DB0"/>
    <w:rsid w:val="00E2674A"/>
    <w:rsid w:val="00E26DFF"/>
    <w:rsid w:val="00E275BF"/>
    <w:rsid w:val="00E27617"/>
    <w:rsid w:val="00E27CB5"/>
    <w:rsid w:val="00E27D4D"/>
    <w:rsid w:val="00E3004A"/>
    <w:rsid w:val="00E3020B"/>
    <w:rsid w:val="00E304EC"/>
    <w:rsid w:val="00E305B7"/>
    <w:rsid w:val="00E306F4"/>
    <w:rsid w:val="00E30AF7"/>
    <w:rsid w:val="00E30C5D"/>
    <w:rsid w:val="00E30CCD"/>
    <w:rsid w:val="00E3113F"/>
    <w:rsid w:val="00E3175A"/>
    <w:rsid w:val="00E3184D"/>
    <w:rsid w:val="00E318D1"/>
    <w:rsid w:val="00E31923"/>
    <w:rsid w:val="00E32702"/>
    <w:rsid w:val="00E32E2E"/>
    <w:rsid w:val="00E332C3"/>
    <w:rsid w:val="00E3393D"/>
    <w:rsid w:val="00E3426C"/>
    <w:rsid w:val="00E34CFE"/>
    <w:rsid w:val="00E352F2"/>
    <w:rsid w:val="00E35823"/>
    <w:rsid w:val="00E359B4"/>
    <w:rsid w:val="00E368AB"/>
    <w:rsid w:val="00E36DFF"/>
    <w:rsid w:val="00E371D4"/>
    <w:rsid w:val="00E37234"/>
    <w:rsid w:val="00E37C65"/>
    <w:rsid w:val="00E406B2"/>
    <w:rsid w:val="00E41592"/>
    <w:rsid w:val="00E41610"/>
    <w:rsid w:val="00E416ED"/>
    <w:rsid w:val="00E4234D"/>
    <w:rsid w:val="00E4293B"/>
    <w:rsid w:val="00E429F4"/>
    <w:rsid w:val="00E42E41"/>
    <w:rsid w:val="00E43C0C"/>
    <w:rsid w:val="00E43F21"/>
    <w:rsid w:val="00E4597E"/>
    <w:rsid w:val="00E46350"/>
    <w:rsid w:val="00E46CF8"/>
    <w:rsid w:val="00E46D73"/>
    <w:rsid w:val="00E470C1"/>
    <w:rsid w:val="00E47469"/>
    <w:rsid w:val="00E479CD"/>
    <w:rsid w:val="00E47BB1"/>
    <w:rsid w:val="00E47D36"/>
    <w:rsid w:val="00E503A4"/>
    <w:rsid w:val="00E50602"/>
    <w:rsid w:val="00E51159"/>
    <w:rsid w:val="00E5150C"/>
    <w:rsid w:val="00E51CE6"/>
    <w:rsid w:val="00E522BF"/>
    <w:rsid w:val="00E52550"/>
    <w:rsid w:val="00E5344C"/>
    <w:rsid w:val="00E535CC"/>
    <w:rsid w:val="00E536C8"/>
    <w:rsid w:val="00E538D4"/>
    <w:rsid w:val="00E53C41"/>
    <w:rsid w:val="00E53D0F"/>
    <w:rsid w:val="00E53DB2"/>
    <w:rsid w:val="00E543D0"/>
    <w:rsid w:val="00E54585"/>
    <w:rsid w:val="00E5474E"/>
    <w:rsid w:val="00E54F5A"/>
    <w:rsid w:val="00E552BB"/>
    <w:rsid w:val="00E5541B"/>
    <w:rsid w:val="00E55605"/>
    <w:rsid w:val="00E55B0E"/>
    <w:rsid w:val="00E55C45"/>
    <w:rsid w:val="00E56420"/>
    <w:rsid w:val="00E5652D"/>
    <w:rsid w:val="00E56A1E"/>
    <w:rsid w:val="00E56A51"/>
    <w:rsid w:val="00E57659"/>
    <w:rsid w:val="00E57CB7"/>
    <w:rsid w:val="00E57DE0"/>
    <w:rsid w:val="00E57FE2"/>
    <w:rsid w:val="00E601E5"/>
    <w:rsid w:val="00E608AE"/>
    <w:rsid w:val="00E60D3E"/>
    <w:rsid w:val="00E6139D"/>
    <w:rsid w:val="00E61513"/>
    <w:rsid w:val="00E6151E"/>
    <w:rsid w:val="00E61653"/>
    <w:rsid w:val="00E61842"/>
    <w:rsid w:val="00E61903"/>
    <w:rsid w:val="00E61940"/>
    <w:rsid w:val="00E621B7"/>
    <w:rsid w:val="00E62359"/>
    <w:rsid w:val="00E624B8"/>
    <w:rsid w:val="00E62AC8"/>
    <w:rsid w:val="00E62FE5"/>
    <w:rsid w:val="00E63173"/>
    <w:rsid w:val="00E632BC"/>
    <w:rsid w:val="00E63381"/>
    <w:rsid w:val="00E633CE"/>
    <w:rsid w:val="00E638F8"/>
    <w:rsid w:val="00E643E6"/>
    <w:rsid w:val="00E6471B"/>
    <w:rsid w:val="00E649BD"/>
    <w:rsid w:val="00E64DC6"/>
    <w:rsid w:val="00E64F61"/>
    <w:rsid w:val="00E65D90"/>
    <w:rsid w:val="00E6602B"/>
    <w:rsid w:val="00E6674D"/>
    <w:rsid w:val="00E66C0F"/>
    <w:rsid w:val="00E675DD"/>
    <w:rsid w:val="00E678FC"/>
    <w:rsid w:val="00E702D2"/>
    <w:rsid w:val="00E7067C"/>
    <w:rsid w:val="00E7069E"/>
    <w:rsid w:val="00E70855"/>
    <w:rsid w:val="00E70BD8"/>
    <w:rsid w:val="00E71600"/>
    <w:rsid w:val="00E71F82"/>
    <w:rsid w:val="00E72C41"/>
    <w:rsid w:val="00E72C94"/>
    <w:rsid w:val="00E72DE3"/>
    <w:rsid w:val="00E72DF9"/>
    <w:rsid w:val="00E73406"/>
    <w:rsid w:val="00E7341D"/>
    <w:rsid w:val="00E73430"/>
    <w:rsid w:val="00E734D1"/>
    <w:rsid w:val="00E737FB"/>
    <w:rsid w:val="00E73BFA"/>
    <w:rsid w:val="00E74BB7"/>
    <w:rsid w:val="00E74FB2"/>
    <w:rsid w:val="00E75064"/>
    <w:rsid w:val="00E7567C"/>
    <w:rsid w:val="00E76461"/>
    <w:rsid w:val="00E76A0F"/>
    <w:rsid w:val="00E76F33"/>
    <w:rsid w:val="00E76F8B"/>
    <w:rsid w:val="00E7737E"/>
    <w:rsid w:val="00E77F02"/>
    <w:rsid w:val="00E80203"/>
    <w:rsid w:val="00E803E1"/>
    <w:rsid w:val="00E80575"/>
    <w:rsid w:val="00E809D7"/>
    <w:rsid w:val="00E80CAF"/>
    <w:rsid w:val="00E813A4"/>
    <w:rsid w:val="00E817B7"/>
    <w:rsid w:val="00E81A35"/>
    <w:rsid w:val="00E81BFE"/>
    <w:rsid w:val="00E82293"/>
    <w:rsid w:val="00E822E5"/>
    <w:rsid w:val="00E82BE6"/>
    <w:rsid w:val="00E82EA6"/>
    <w:rsid w:val="00E83859"/>
    <w:rsid w:val="00E83DED"/>
    <w:rsid w:val="00E83F7A"/>
    <w:rsid w:val="00E8480D"/>
    <w:rsid w:val="00E84CD3"/>
    <w:rsid w:val="00E84DE2"/>
    <w:rsid w:val="00E85560"/>
    <w:rsid w:val="00E85A78"/>
    <w:rsid w:val="00E86768"/>
    <w:rsid w:val="00E86C53"/>
    <w:rsid w:val="00E86E3C"/>
    <w:rsid w:val="00E87A42"/>
    <w:rsid w:val="00E90F89"/>
    <w:rsid w:val="00E91046"/>
    <w:rsid w:val="00E9126C"/>
    <w:rsid w:val="00E913D9"/>
    <w:rsid w:val="00E922BF"/>
    <w:rsid w:val="00E929B3"/>
    <w:rsid w:val="00E92A7D"/>
    <w:rsid w:val="00E93281"/>
    <w:rsid w:val="00E934CA"/>
    <w:rsid w:val="00E93B81"/>
    <w:rsid w:val="00E94098"/>
    <w:rsid w:val="00E9452C"/>
    <w:rsid w:val="00E94E73"/>
    <w:rsid w:val="00E950FB"/>
    <w:rsid w:val="00E9577D"/>
    <w:rsid w:val="00E957F0"/>
    <w:rsid w:val="00E95D58"/>
    <w:rsid w:val="00E96379"/>
    <w:rsid w:val="00E96DA6"/>
    <w:rsid w:val="00E96E0F"/>
    <w:rsid w:val="00E974A5"/>
    <w:rsid w:val="00E976A0"/>
    <w:rsid w:val="00E97748"/>
    <w:rsid w:val="00E979CF"/>
    <w:rsid w:val="00E97D66"/>
    <w:rsid w:val="00E97DDF"/>
    <w:rsid w:val="00E97E07"/>
    <w:rsid w:val="00EA039D"/>
    <w:rsid w:val="00EA0A3B"/>
    <w:rsid w:val="00EA1230"/>
    <w:rsid w:val="00EA17D1"/>
    <w:rsid w:val="00EA1996"/>
    <w:rsid w:val="00EA1AF5"/>
    <w:rsid w:val="00EA2276"/>
    <w:rsid w:val="00EA2FB3"/>
    <w:rsid w:val="00EA31F6"/>
    <w:rsid w:val="00EA3517"/>
    <w:rsid w:val="00EA3C7A"/>
    <w:rsid w:val="00EA4571"/>
    <w:rsid w:val="00EA478A"/>
    <w:rsid w:val="00EA47C2"/>
    <w:rsid w:val="00EA5133"/>
    <w:rsid w:val="00EA594C"/>
    <w:rsid w:val="00EA5FA1"/>
    <w:rsid w:val="00EA6B41"/>
    <w:rsid w:val="00EA6C41"/>
    <w:rsid w:val="00EA6F2D"/>
    <w:rsid w:val="00EA70D5"/>
    <w:rsid w:val="00EA73EA"/>
    <w:rsid w:val="00EA7881"/>
    <w:rsid w:val="00EA7ABE"/>
    <w:rsid w:val="00EB026D"/>
    <w:rsid w:val="00EB136A"/>
    <w:rsid w:val="00EB1377"/>
    <w:rsid w:val="00EB17CA"/>
    <w:rsid w:val="00EB1AE4"/>
    <w:rsid w:val="00EB1B82"/>
    <w:rsid w:val="00EB1BDD"/>
    <w:rsid w:val="00EB1FD5"/>
    <w:rsid w:val="00EB3D5D"/>
    <w:rsid w:val="00EB3E6C"/>
    <w:rsid w:val="00EB51BA"/>
    <w:rsid w:val="00EB55E7"/>
    <w:rsid w:val="00EB5720"/>
    <w:rsid w:val="00EB5732"/>
    <w:rsid w:val="00EB59EB"/>
    <w:rsid w:val="00EB68CD"/>
    <w:rsid w:val="00EB6AC8"/>
    <w:rsid w:val="00EB6B0D"/>
    <w:rsid w:val="00EB79F1"/>
    <w:rsid w:val="00EC054E"/>
    <w:rsid w:val="00EC066A"/>
    <w:rsid w:val="00EC091D"/>
    <w:rsid w:val="00EC093C"/>
    <w:rsid w:val="00EC0CB0"/>
    <w:rsid w:val="00EC0F13"/>
    <w:rsid w:val="00EC0FB5"/>
    <w:rsid w:val="00EC0FC0"/>
    <w:rsid w:val="00EC10D6"/>
    <w:rsid w:val="00EC138E"/>
    <w:rsid w:val="00EC1567"/>
    <w:rsid w:val="00EC2E81"/>
    <w:rsid w:val="00EC406B"/>
    <w:rsid w:val="00EC48AF"/>
    <w:rsid w:val="00EC48FA"/>
    <w:rsid w:val="00EC4B47"/>
    <w:rsid w:val="00EC4D47"/>
    <w:rsid w:val="00EC60AF"/>
    <w:rsid w:val="00EC6118"/>
    <w:rsid w:val="00EC6428"/>
    <w:rsid w:val="00EC6952"/>
    <w:rsid w:val="00EC70BC"/>
    <w:rsid w:val="00EC72B8"/>
    <w:rsid w:val="00EC72B9"/>
    <w:rsid w:val="00EC7553"/>
    <w:rsid w:val="00ED001B"/>
    <w:rsid w:val="00ED02CF"/>
    <w:rsid w:val="00ED0906"/>
    <w:rsid w:val="00ED0A92"/>
    <w:rsid w:val="00ED0D11"/>
    <w:rsid w:val="00ED0F3D"/>
    <w:rsid w:val="00ED107D"/>
    <w:rsid w:val="00ED184D"/>
    <w:rsid w:val="00ED1E66"/>
    <w:rsid w:val="00ED1E82"/>
    <w:rsid w:val="00ED2258"/>
    <w:rsid w:val="00ED2CC2"/>
    <w:rsid w:val="00ED30A8"/>
    <w:rsid w:val="00ED39D3"/>
    <w:rsid w:val="00ED3C74"/>
    <w:rsid w:val="00ED44FF"/>
    <w:rsid w:val="00ED45DE"/>
    <w:rsid w:val="00ED4B26"/>
    <w:rsid w:val="00ED4B53"/>
    <w:rsid w:val="00ED524D"/>
    <w:rsid w:val="00ED65DF"/>
    <w:rsid w:val="00ED6D95"/>
    <w:rsid w:val="00ED7117"/>
    <w:rsid w:val="00ED7208"/>
    <w:rsid w:val="00ED7AD9"/>
    <w:rsid w:val="00EE0309"/>
    <w:rsid w:val="00EE0C55"/>
    <w:rsid w:val="00EE0D53"/>
    <w:rsid w:val="00EE0E6F"/>
    <w:rsid w:val="00EE16EE"/>
    <w:rsid w:val="00EE1AAF"/>
    <w:rsid w:val="00EE2226"/>
    <w:rsid w:val="00EE261D"/>
    <w:rsid w:val="00EE2923"/>
    <w:rsid w:val="00EE2B93"/>
    <w:rsid w:val="00EE2C42"/>
    <w:rsid w:val="00EE36AF"/>
    <w:rsid w:val="00EE3C1A"/>
    <w:rsid w:val="00EE3F50"/>
    <w:rsid w:val="00EE4779"/>
    <w:rsid w:val="00EE4A24"/>
    <w:rsid w:val="00EE4EAB"/>
    <w:rsid w:val="00EE5072"/>
    <w:rsid w:val="00EE5168"/>
    <w:rsid w:val="00EE5449"/>
    <w:rsid w:val="00EE62A6"/>
    <w:rsid w:val="00EE64CB"/>
    <w:rsid w:val="00EE6967"/>
    <w:rsid w:val="00EE6AFE"/>
    <w:rsid w:val="00EE70A8"/>
    <w:rsid w:val="00EE7245"/>
    <w:rsid w:val="00EE7E1B"/>
    <w:rsid w:val="00EF02BE"/>
    <w:rsid w:val="00EF0674"/>
    <w:rsid w:val="00EF0851"/>
    <w:rsid w:val="00EF0C94"/>
    <w:rsid w:val="00EF17D3"/>
    <w:rsid w:val="00EF1AA1"/>
    <w:rsid w:val="00EF1C55"/>
    <w:rsid w:val="00EF1CDF"/>
    <w:rsid w:val="00EF1D78"/>
    <w:rsid w:val="00EF1F4F"/>
    <w:rsid w:val="00EF23F5"/>
    <w:rsid w:val="00EF26EE"/>
    <w:rsid w:val="00EF2C60"/>
    <w:rsid w:val="00EF3149"/>
    <w:rsid w:val="00EF33A4"/>
    <w:rsid w:val="00EF388E"/>
    <w:rsid w:val="00EF39F2"/>
    <w:rsid w:val="00EF3C17"/>
    <w:rsid w:val="00EF46AD"/>
    <w:rsid w:val="00EF4CF0"/>
    <w:rsid w:val="00EF5453"/>
    <w:rsid w:val="00EF5805"/>
    <w:rsid w:val="00EF59B8"/>
    <w:rsid w:val="00EF5D5E"/>
    <w:rsid w:val="00EF5DA8"/>
    <w:rsid w:val="00EF6B99"/>
    <w:rsid w:val="00EF6EC3"/>
    <w:rsid w:val="00EF738E"/>
    <w:rsid w:val="00EF77E0"/>
    <w:rsid w:val="00EF78AF"/>
    <w:rsid w:val="00EF7997"/>
    <w:rsid w:val="00EF7999"/>
    <w:rsid w:val="00EF7CC5"/>
    <w:rsid w:val="00F0013B"/>
    <w:rsid w:val="00F0020A"/>
    <w:rsid w:val="00F004B5"/>
    <w:rsid w:val="00F009BD"/>
    <w:rsid w:val="00F0121A"/>
    <w:rsid w:val="00F01E0B"/>
    <w:rsid w:val="00F01FE0"/>
    <w:rsid w:val="00F02525"/>
    <w:rsid w:val="00F02667"/>
    <w:rsid w:val="00F02952"/>
    <w:rsid w:val="00F02A0E"/>
    <w:rsid w:val="00F03097"/>
    <w:rsid w:val="00F03602"/>
    <w:rsid w:val="00F0372A"/>
    <w:rsid w:val="00F03B97"/>
    <w:rsid w:val="00F03E1E"/>
    <w:rsid w:val="00F041D1"/>
    <w:rsid w:val="00F04356"/>
    <w:rsid w:val="00F050F2"/>
    <w:rsid w:val="00F058AA"/>
    <w:rsid w:val="00F06D20"/>
    <w:rsid w:val="00F06E16"/>
    <w:rsid w:val="00F07AA0"/>
    <w:rsid w:val="00F10AD0"/>
    <w:rsid w:val="00F10D8A"/>
    <w:rsid w:val="00F11059"/>
    <w:rsid w:val="00F115A8"/>
    <w:rsid w:val="00F118F6"/>
    <w:rsid w:val="00F12941"/>
    <w:rsid w:val="00F12E66"/>
    <w:rsid w:val="00F1305C"/>
    <w:rsid w:val="00F13489"/>
    <w:rsid w:val="00F13857"/>
    <w:rsid w:val="00F14005"/>
    <w:rsid w:val="00F143E4"/>
    <w:rsid w:val="00F1467B"/>
    <w:rsid w:val="00F15355"/>
    <w:rsid w:val="00F156FA"/>
    <w:rsid w:val="00F15C6D"/>
    <w:rsid w:val="00F15CDC"/>
    <w:rsid w:val="00F163CF"/>
    <w:rsid w:val="00F1646D"/>
    <w:rsid w:val="00F16C2B"/>
    <w:rsid w:val="00F20051"/>
    <w:rsid w:val="00F2013E"/>
    <w:rsid w:val="00F20187"/>
    <w:rsid w:val="00F2022F"/>
    <w:rsid w:val="00F205A4"/>
    <w:rsid w:val="00F20C06"/>
    <w:rsid w:val="00F20D07"/>
    <w:rsid w:val="00F20E07"/>
    <w:rsid w:val="00F2156F"/>
    <w:rsid w:val="00F21985"/>
    <w:rsid w:val="00F21994"/>
    <w:rsid w:val="00F22007"/>
    <w:rsid w:val="00F2229C"/>
    <w:rsid w:val="00F2237D"/>
    <w:rsid w:val="00F22827"/>
    <w:rsid w:val="00F22837"/>
    <w:rsid w:val="00F22D9F"/>
    <w:rsid w:val="00F23143"/>
    <w:rsid w:val="00F233B6"/>
    <w:rsid w:val="00F23645"/>
    <w:rsid w:val="00F241D3"/>
    <w:rsid w:val="00F2469D"/>
    <w:rsid w:val="00F24960"/>
    <w:rsid w:val="00F24E0B"/>
    <w:rsid w:val="00F24F23"/>
    <w:rsid w:val="00F25476"/>
    <w:rsid w:val="00F25971"/>
    <w:rsid w:val="00F2609E"/>
    <w:rsid w:val="00F26323"/>
    <w:rsid w:val="00F263DF"/>
    <w:rsid w:val="00F26560"/>
    <w:rsid w:val="00F26A2D"/>
    <w:rsid w:val="00F2731A"/>
    <w:rsid w:val="00F27884"/>
    <w:rsid w:val="00F27D34"/>
    <w:rsid w:val="00F30232"/>
    <w:rsid w:val="00F30319"/>
    <w:rsid w:val="00F30E44"/>
    <w:rsid w:val="00F32034"/>
    <w:rsid w:val="00F32C11"/>
    <w:rsid w:val="00F334B6"/>
    <w:rsid w:val="00F33B30"/>
    <w:rsid w:val="00F33E5B"/>
    <w:rsid w:val="00F33F15"/>
    <w:rsid w:val="00F342A6"/>
    <w:rsid w:val="00F3456F"/>
    <w:rsid w:val="00F34D75"/>
    <w:rsid w:val="00F356F0"/>
    <w:rsid w:val="00F357BC"/>
    <w:rsid w:val="00F35AB0"/>
    <w:rsid w:val="00F35B72"/>
    <w:rsid w:val="00F35D7C"/>
    <w:rsid w:val="00F362AF"/>
    <w:rsid w:val="00F369D5"/>
    <w:rsid w:val="00F36B2A"/>
    <w:rsid w:val="00F36C75"/>
    <w:rsid w:val="00F36D92"/>
    <w:rsid w:val="00F379C9"/>
    <w:rsid w:val="00F4035C"/>
    <w:rsid w:val="00F4077B"/>
    <w:rsid w:val="00F40F3B"/>
    <w:rsid w:val="00F41573"/>
    <w:rsid w:val="00F41ACC"/>
    <w:rsid w:val="00F42178"/>
    <w:rsid w:val="00F4276B"/>
    <w:rsid w:val="00F42780"/>
    <w:rsid w:val="00F4336E"/>
    <w:rsid w:val="00F435A0"/>
    <w:rsid w:val="00F43A5A"/>
    <w:rsid w:val="00F43AF9"/>
    <w:rsid w:val="00F43C8E"/>
    <w:rsid w:val="00F43D8E"/>
    <w:rsid w:val="00F43F4C"/>
    <w:rsid w:val="00F441D7"/>
    <w:rsid w:val="00F445A4"/>
    <w:rsid w:val="00F445EF"/>
    <w:rsid w:val="00F44F02"/>
    <w:rsid w:val="00F4526B"/>
    <w:rsid w:val="00F4577E"/>
    <w:rsid w:val="00F46A97"/>
    <w:rsid w:val="00F474A8"/>
    <w:rsid w:val="00F4772D"/>
    <w:rsid w:val="00F477CB"/>
    <w:rsid w:val="00F478BC"/>
    <w:rsid w:val="00F47AEE"/>
    <w:rsid w:val="00F47CA8"/>
    <w:rsid w:val="00F50481"/>
    <w:rsid w:val="00F50F21"/>
    <w:rsid w:val="00F50FD0"/>
    <w:rsid w:val="00F5104E"/>
    <w:rsid w:val="00F5209F"/>
    <w:rsid w:val="00F521BB"/>
    <w:rsid w:val="00F52474"/>
    <w:rsid w:val="00F524BA"/>
    <w:rsid w:val="00F5265B"/>
    <w:rsid w:val="00F5396E"/>
    <w:rsid w:val="00F544A4"/>
    <w:rsid w:val="00F54882"/>
    <w:rsid w:val="00F55158"/>
    <w:rsid w:val="00F55BE3"/>
    <w:rsid w:val="00F55E21"/>
    <w:rsid w:val="00F5614C"/>
    <w:rsid w:val="00F568D9"/>
    <w:rsid w:val="00F568F8"/>
    <w:rsid w:val="00F56941"/>
    <w:rsid w:val="00F57C56"/>
    <w:rsid w:val="00F57F0A"/>
    <w:rsid w:val="00F6064D"/>
    <w:rsid w:val="00F6153F"/>
    <w:rsid w:val="00F615D1"/>
    <w:rsid w:val="00F61648"/>
    <w:rsid w:val="00F62240"/>
    <w:rsid w:val="00F627D6"/>
    <w:rsid w:val="00F62B79"/>
    <w:rsid w:val="00F62DB7"/>
    <w:rsid w:val="00F63120"/>
    <w:rsid w:val="00F63218"/>
    <w:rsid w:val="00F63A10"/>
    <w:rsid w:val="00F63B2F"/>
    <w:rsid w:val="00F63BAC"/>
    <w:rsid w:val="00F640B4"/>
    <w:rsid w:val="00F6412C"/>
    <w:rsid w:val="00F646CD"/>
    <w:rsid w:val="00F64BA0"/>
    <w:rsid w:val="00F64FE2"/>
    <w:rsid w:val="00F65FE2"/>
    <w:rsid w:val="00F66092"/>
    <w:rsid w:val="00F667A1"/>
    <w:rsid w:val="00F67279"/>
    <w:rsid w:val="00F6729D"/>
    <w:rsid w:val="00F67737"/>
    <w:rsid w:val="00F67951"/>
    <w:rsid w:val="00F67975"/>
    <w:rsid w:val="00F67A09"/>
    <w:rsid w:val="00F70D2C"/>
    <w:rsid w:val="00F71182"/>
    <w:rsid w:val="00F71364"/>
    <w:rsid w:val="00F71E9A"/>
    <w:rsid w:val="00F72A06"/>
    <w:rsid w:val="00F72BEA"/>
    <w:rsid w:val="00F72DCB"/>
    <w:rsid w:val="00F730A1"/>
    <w:rsid w:val="00F73AB0"/>
    <w:rsid w:val="00F73E8B"/>
    <w:rsid w:val="00F74202"/>
    <w:rsid w:val="00F7496B"/>
    <w:rsid w:val="00F74E6D"/>
    <w:rsid w:val="00F74FA3"/>
    <w:rsid w:val="00F7542B"/>
    <w:rsid w:val="00F7591D"/>
    <w:rsid w:val="00F760B7"/>
    <w:rsid w:val="00F76C81"/>
    <w:rsid w:val="00F7709D"/>
    <w:rsid w:val="00F77170"/>
    <w:rsid w:val="00F776DD"/>
    <w:rsid w:val="00F77DF6"/>
    <w:rsid w:val="00F77FCA"/>
    <w:rsid w:val="00F800BA"/>
    <w:rsid w:val="00F80506"/>
    <w:rsid w:val="00F806F0"/>
    <w:rsid w:val="00F81485"/>
    <w:rsid w:val="00F81610"/>
    <w:rsid w:val="00F8194C"/>
    <w:rsid w:val="00F8196B"/>
    <w:rsid w:val="00F81A8F"/>
    <w:rsid w:val="00F81E6E"/>
    <w:rsid w:val="00F8241E"/>
    <w:rsid w:val="00F8313F"/>
    <w:rsid w:val="00F834F0"/>
    <w:rsid w:val="00F837C4"/>
    <w:rsid w:val="00F83F20"/>
    <w:rsid w:val="00F84545"/>
    <w:rsid w:val="00F845F5"/>
    <w:rsid w:val="00F846F0"/>
    <w:rsid w:val="00F8484E"/>
    <w:rsid w:val="00F85650"/>
    <w:rsid w:val="00F860DD"/>
    <w:rsid w:val="00F86C3D"/>
    <w:rsid w:val="00F87344"/>
    <w:rsid w:val="00F87743"/>
    <w:rsid w:val="00F87EAD"/>
    <w:rsid w:val="00F87F11"/>
    <w:rsid w:val="00F87F7C"/>
    <w:rsid w:val="00F90D22"/>
    <w:rsid w:val="00F90D39"/>
    <w:rsid w:val="00F913C1"/>
    <w:rsid w:val="00F91D6B"/>
    <w:rsid w:val="00F920D9"/>
    <w:rsid w:val="00F9253B"/>
    <w:rsid w:val="00F935FA"/>
    <w:rsid w:val="00F9384D"/>
    <w:rsid w:val="00F93988"/>
    <w:rsid w:val="00F93A7C"/>
    <w:rsid w:val="00F94117"/>
    <w:rsid w:val="00F94732"/>
    <w:rsid w:val="00F94770"/>
    <w:rsid w:val="00F94C78"/>
    <w:rsid w:val="00F953D1"/>
    <w:rsid w:val="00F95BC3"/>
    <w:rsid w:val="00F95E9D"/>
    <w:rsid w:val="00F962EA"/>
    <w:rsid w:val="00F96439"/>
    <w:rsid w:val="00F964AC"/>
    <w:rsid w:val="00F973AF"/>
    <w:rsid w:val="00F977DF"/>
    <w:rsid w:val="00F97A8D"/>
    <w:rsid w:val="00F97C22"/>
    <w:rsid w:val="00F97DD7"/>
    <w:rsid w:val="00F97E3B"/>
    <w:rsid w:val="00F97EAA"/>
    <w:rsid w:val="00FA0798"/>
    <w:rsid w:val="00FA07CC"/>
    <w:rsid w:val="00FA08AE"/>
    <w:rsid w:val="00FA0A34"/>
    <w:rsid w:val="00FA0B7A"/>
    <w:rsid w:val="00FA0CBE"/>
    <w:rsid w:val="00FA0D29"/>
    <w:rsid w:val="00FA0E8F"/>
    <w:rsid w:val="00FA11FF"/>
    <w:rsid w:val="00FA18AF"/>
    <w:rsid w:val="00FA1A65"/>
    <w:rsid w:val="00FA1A81"/>
    <w:rsid w:val="00FA2646"/>
    <w:rsid w:val="00FA2A5F"/>
    <w:rsid w:val="00FA2D8A"/>
    <w:rsid w:val="00FA303B"/>
    <w:rsid w:val="00FA3963"/>
    <w:rsid w:val="00FA39A7"/>
    <w:rsid w:val="00FA3E24"/>
    <w:rsid w:val="00FA40CA"/>
    <w:rsid w:val="00FA423B"/>
    <w:rsid w:val="00FA42B0"/>
    <w:rsid w:val="00FA4621"/>
    <w:rsid w:val="00FA47DE"/>
    <w:rsid w:val="00FA49E6"/>
    <w:rsid w:val="00FA4C79"/>
    <w:rsid w:val="00FA4F44"/>
    <w:rsid w:val="00FA56BB"/>
    <w:rsid w:val="00FA57C3"/>
    <w:rsid w:val="00FA59B1"/>
    <w:rsid w:val="00FA5BC5"/>
    <w:rsid w:val="00FA5C4A"/>
    <w:rsid w:val="00FA5D76"/>
    <w:rsid w:val="00FA6B03"/>
    <w:rsid w:val="00FA77AF"/>
    <w:rsid w:val="00FA7BF7"/>
    <w:rsid w:val="00FA7C37"/>
    <w:rsid w:val="00FA7C76"/>
    <w:rsid w:val="00FB01CB"/>
    <w:rsid w:val="00FB06D2"/>
    <w:rsid w:val="00FB12E2"/>
    <w:rsid w:val="00FB1998"/>
    <w:rsid w:val="00FB1AD2"/>
    <w:rsid w:val="00FB213C"/>
    <w:rsid w:val="00FB2308"/>
    <w:rsid w:val="00FB2499"/>
    <w:rsid w:val="00FB2936"/>
    <w:rsid w:val="00FB31DC"/>
    <w:rsid w:val="00FB4CE3"/>
    <w:rsid w:val="00FB4EA9"/>
    <w:rsid w:val="00FB4FF0"/>
    <w:rsid w:val="00FB58A8"/>
    <w:rsid w:val="00FB69FD"/>
    <w:rsid w:val="00FB6D09"/>
    <w:rsid w:val="00FB72C1"/>
    <w:rsid w:val="00FB7B53"/>
    <w:rsid w:val="00FB7D65"/>
    <w:rsid w:val="00FB7DDC"/>
    <w:rsid w:val="00FC0B3B"/>
    <w:rsid w:val="00FC0DED"/>
    <w:rsid w:val="00FC1BA1"/>
    <w:rsid w:val="00FC2238"/>
    <w:rsid w:val="00FC26C7"/>
    <w:rsid w:val="00FC2709"/>
    <w:rsid w:val="00FC2836"/>
    <w:rsid w:val="00FC2AD2"/>
    <w:rsid w:val="00FC3543"/>
    <w:rsid w:val="00FC39F0"/>
    <w:rsid w:val="00FC3EA9"/>
    <w:rsid w:val="00FC4139"/>
    <w:rsid w:val="00FC4178"/>
    <w:rsid w:val="00FC42DA"/>
    <w:rsid w:val="00FC4A54"/>
    <w:rsid w:val="00FC4C1F"/>
    <w:rsid w:val="00FC4C36"/>
    <w:rsid w:val="00FC4D93"/>
    <w:rsid w:val="00FC5548"/>
    <w:rsid w:val="00FC617D"/>
    <w:rsid w:val="00FC6A08"/>
    <w:rsid w:val="00FC6F9D"/>
    <w:rsid w:val="00FC70AD"/>
    <w:rsid w:val="00FC711B"/>
    <w:rsid w:val="00FC7452"/>
    <w:rsid w:val="00FC7797"/>
    <w:rsid w:val="00FC7847"/>
    <w:rsid w:val="00FC7DAD"/>
    <w:rsid w:val="00FC7E9A"/>
    <w:rsid w:val="00FD012C"/>
    <w:rsid w:val="00FD0150"/>
    <w:rsid w:val="00FD02E4"/>
    <w:rsid w:val="00FD02F1"/>
    <w:rsid w:val="00FD03D8"/>
    <w:rsid w:val="00FD085E"/>
    <w:rsid w:val="00FD0AFC"/>
    <w:rsid w:val="00FD10C4"/>
    <w:rsid w:val="00FD115E"/>
    <w:rsid w:val="00FD15AA"/>
    <w:rsid w:val="00FD1719"/>
    <w:rsid w:val="00FD185C"/>
    <w:rsid w:val="00FD1B9A"/>
    <w:rsid w:val="00FD1F53"/>
    <w:rsid w:val="00FD219D"/>
    <w:rsid w:val="00FD2E1B"/>
    <w:rsid w:val="00FD2EC8"/>
    <w:rsid w:val="00FD3280"/>
    <w:rsid w:val="00FD3765"/>
    <w:rsid w:val="00FD3F28"/>
    <w:rsid w:val="00FD3FC8"/>
    <w:rsid w:val="00FD416F"/>
    <w:rsid w:val="00FD4A54"/>
    <w:rsid w:val="00FD5230"/>
    <w:rsid w:val="00FD56EA"/>
    <w:rsid w:val="00FD5BEE"/>
    <w:rsid w:val="00FD5E4A"/>
    <w:rsid w:val="00FD608F"/>
    <w:rsid w:val="00FD6702"/>
    <w:rsid w:val="00FD6A0C"/>
    <w:rsid w:val="00FD7249"/>
    <w:rsid w:val="00FD7630"/>
    <w:rsid w:val="00FD7DE8"/>
    <w:rsid w:val="00FD7ECE"/>
    <w:rsid w:val="00FE084A"/>
    <w:rsid w:val="00FE0A47"/>
    <w:rsid w:val="00FE0A53"/>
    <w:rsid w:val="00FE0E8E"/>
    <w:rsid w:val="00FE1390"/>
    <w:rsid w:val="00FE18F9"/>
    <w:rsid w:val="00FE1935"/>
    <w:rsid w:val="00FE1A1E"/>
    <w:rsid w:val="00FE24C0"/>
    <w:rsid w:val="00FE2BDC"/>
    <w:rsid w:val="00FE3428"/>
    <w:rsid w:val="00FE352D"/>
    <w:rsid w:val="00FE3D94"/>
    <w:rsid w:val="00FE3DE4"/>
    <w:rsid w:val="00FE43C6"/>
    <w:rsid w:val="00FE4734"/>
    <w:rsid w:val="00FE4AA1"/>
    <w:rsid w:val="00FE5443"/>
    <w:rsid w:val="00FE54C2"/>
    <w:rsid w:val="00FE5702"/>
    <w:rsid w:val="00FE5C1C"/>
    <w:rsid w:val="00FE5CB1"/>
    <w:rsid w:val="00FE5EC9"/>
    <w:rsid w:val="00FE5F72"/>
    <w:rsid w:val="00FE6166"/>
    <w:rsid w:val="00FE67EC"/>
    <w:rsid w:val="00FE6F83"/>
    <w:rsid w:val="00FE78D6"/>
    <w:rsid w:val="00FE7CCB"/>
    <w:rsid w:val="00FE7CCF"/>
    <w:rsid w:val="00FE7D38"/>
    <w:rsid w:val="00FE7D7E"/>
    <w:rsid w:val="00FF01DF"/>
    <w:rsid w:val="00FF0669"/>
    <w:rsid w:val="00FF0711"/>
    <w:rsid w:val="00FF07ED"/>
    <w:rsid w:val="00FF0D34"/>
    <w:rsid w:val="00FF0DE4"/>
    <w:rsid w:val="00FF0E77"/>
    <w:rsid w:val="00FF11E4"/>
    <w:rsid w:val="00FF125F"/>
    <w:rsid w:val="00FF1661"/>
    <w:rsid w:val="00FF183B"/>
    <w:rsid w:val="00FF1CF7"/>
    <w:rsid w:val="00FF21CE"/>
    <w:rsid w:val="00FF243A"/>
    <w:rsid w:val="00FF27F7"/>
    <w:rsid w:val="00FF2A22"/>
    <w:rsid w:val="00FF31A7"/>
    <w:rsid w:val="00FF346D"/>
    <w:rsid w:val="00FF3486"/>
    <w:rsid w:val="00FF34BA"/>
    <w:rsid w:val="00FF4249"/>
    <w:rsid w:val="00FF46F8"/>
    <w:rsid w:val="00FF4E9F"/>
    <w:rsid w:val="00FF54A3"/>
    <w:rsid w:val="00FF5721"/>
    <w:rsid w:val="00FF592D"/>
    <w:rsid w:val="00FF597B"/>
    <w:rsid w:val="00FF5BC8"/>
    <w:rsid w:val="00FF5EA7"/>
    <w:rsid w:val="00FF6368"/>
    <w:rsid w:val="00FF6867"/>
    <w:rsid w:val="00FF6B26"/>
    <w:rsid w:val="00FF6DA8"/>
    <w:rsid w:val="00FF7BC6"/>
    <w:rsid w:val="026B4805"/>
    <w:rsid w:val="02CD0EE2"/>
    <w:rsid w:val="04747E7B"/>
    <w:rsid w:val="0607573C"/>
    <w:rsid w:val="09BE25B6"/>
    <w:rsid w:val="0D7E58A8"/>
    <w:rsid w:val="0E1F739B"/>
    <w:rsid w:val="0F530582"/>
    <w:rsid w:val="11A9086D"/>
    <w:rsid w:val="12D237D0"/>
    <w:rsid w:val="12F242E3"/>
    <w:rsid w:val="132C5427"/>
    <w:rsid w:val="18F86FE7"/>
    <w:rsid w:val="1A1670E6"/>
    <w:rsid w:val="1A554870"/>
    <w:rsid w:val="1C1B3947"/>
    <w:rsid w:val="1C610541"/>
    <w:rsid w:val="1C7B60E4"/>
    <w:rsid w:val="1F321AFA"/>
    <w:rsid w:val="1F4D7551"/>
    <w:rsid w:val="1FB738D7"/>
    <w:rsid w:val="1FCB1131"/>
    <w:rsid w:val="213F386A"/>
    <w:rsid w:val="22636F3F"/>
    <w:rsid w:val="247753E3"/>
    <w:rsid w:val="24C438D6"/>
    <w:rsid w:val="25DA3FD8"/>
    <w:rsid w:val="267715FE"/>
    <w:rsid w:val="2E1302BE"/>
    <w:rsid w:val="30D75B88"/>
    <w:rsid w:val="33DD7529"/>
    <w:rsid w:val="33F20C64"/>
    <w:rsid w:val="34294644"/>
    <w:rsid w:val="347D7B4D"/>
    <w:rsid w:val="35793A8B"/>
    <w:rsid w:val="36A52284"/>
    <w:rsid w:val="389030A1"/>
    <w:rsid w:val="38C32995"/>
    <w:rsid w:val="38ED7CAE"/>
    <w:rsid w:val="3A726921"/>
    <w:rsid w:val="3D7604D6"/>
    <w:rsid w:val="3DE2BA99"/>
    <w:rsid w:val="3E5328C2"/>
    <w:rsid w:val="3EAB0813"/>
    <w:rsid w:val="3F9904AC"/>
    <w:rsid w:val="3FD00372"/>
    <w:rsid w:val="436975A8"/>
    <w:rsid w:val="443133A9"/>
    <w:rsid w:val="44FE5807"/>
    <w:rsid w:val="451764AC"/>
    <w:rsid w:val="46AD080E"/>
    <w:rsid w:val="472F1E22"/>
    <w:rsid w:val="47395FA6"/>
    <w:rsid w:val="485B78C5"/>
    <w:rsid w:val="4A712751"/>
    <w:rsid w:val="4B91148D"/>
    <w:rsid w:val="4C0A5985"/>
    <w:rsid w:val="4C4030DB"/>
    <w:rsid w:val="4D647BBB"/>
    <w:rsid w:val="4EFE20DA"/>
    <w:rsid w:val="4F5A50ED"/>
    <w:rsid w:val="4FCB46B2"/>
    <w:rsid w:val="50C74442"/>
    <w:rsid w:val="51EE0F02"/>
    <w:rsid w:val="5205489C"/>
    <w:rsid w:val="521219EE"/>
    <w:rsid w:val="53636D6A"/>
    <w:rsid w:val="542372A6"/>
    <w:rsid w:val="54BE6593"/>
    <w:rsid w:val="58FF4D8C"/>
    <w:rsid w:val="592055DD"/>
    <w:rsid w:val="5A2D2985"/>
    <w:rsid w:val="5A70685B"/>
    <w:rsid w:val="5CA72734"/>
    <w:rsid w:val="5CB85FBE"/>
    <w:rsid w:val="5DFF5CC4"/>
    <w:rsid w:val="5FA86313"/>
    <w:rsid w:val="613F6CAD"/>
    <w:rsid w:val="61F93DC3"/>
    <w:rsid w:val="62F835B8"/>
    <w:rsid w:val="6310612E"/>
    <w:rsid w:val="64A65D83"/>
    <w:rsid w:val="64C44DAC"/>
    <w:rsid w:val="65060DEF"/>
    <w:rsid w:val="65562F9D"/>
    <w:rsid w:val="65BA4B55"/>
    <w:rsid w:val="675D5906"/>
    <w:rsid w:val="67BF192B"/>
    <w:rsid w:val="698B2700"/>
    <w:rsid w:val="6AE3519C"/>
    <w:rsid w:val="6D355285"/>
    <w:rsid w:val="6F2F210F"/>
    <w:rsid w:val="735FAF93"/>
    <w:rsid w:val="747A6C9E"/>
    <w:rsid w:val="759A22AD"/>
    <w:rsid w:val="767D5E56"/>
    <w:rsid w:val="76F51E90"/>
    <w:rsid w:val="771D4F43"/>
    <w:rsid w:val="77F739E6"/>
    <w:rsid w:val="78001AB3"/>
    <w:rsid w:val="7CFB7BC8"/>
    <w:rsid w:val="7D770681"/>
    <w:rsid w:val="7F1C16AA"/>
    <w:rsid w:val="7F1D5345"/>
    <w:rsid w:val="7F27783A"/>
    <w:rsid w:val="7F7C4F01"/>
    <w:rsid w:val="7FD9F833"/>
    <w:rsid w:val="EFDFAAF6"/>
    <w:rsid w:val="EFFF9B47"/>
    <w:rsid w:val="FFF7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640" w:firstLineChars="200"/>
      <w:jc w:val="both"/>
    </w:pPr>
    <w:rPr>
      <w:rFonts w:ascii="宋体" w:hAnsi="宋体" w:eastAsia="仿宋_GB2312" w:cs="宋体"/>
      <w:sz w:val="32"/>
      <w:szCs w:val="22"/>
      <w:lang w:val="en-US" w:eastAsia="zh-CN" w:bidi="ar-SA"/>
    </w:rPr>
  </w:style>
  <w:style w:type="paragraph" w:styleId="2">
    <w:name w:val="heading 1"/>
    <w:basedOn w:val="1"/>
    <w:next w:val="1"/>
    <w:link w:val="51"/>
    <w:qFormat/>
    <w:uiPriority w:val="1"/>
    <w:pPr>
      <w:keepNext/>
      <w:keepLines/>
      <w:numPr>
        <w:ilvl w:val="0"/>
        <w:numId w:val="1"/>
      </w:numPr>
      <w:spacing w:before="340" w:after="330" w:line="576" w:lineRule="auto"/>
      <w:ind w:firstLine="0" w:firstLineChars="0"/>
      <w:jc w:val="center"/>
      <w:outlineLvl w:val="0"/>
    </w:pPr>
    <w:rPr>
      <w:rFonts w:eastAsia="方正小标宋_GBK"/>
      <w:kern w:val="44"/>
      <w:sz w:val="36"/>
    </w:rPr>
  </w:style>
  <w:style w:type="paragraph" w:styleId="3">
    <w:name w:val="heading 2"/>
    <w:basedOn w:val="1"/>
    <w:next w:val="1"/>
    <w:link w:val="52"/>
    <w:qFormat/>
    <w:uiPriority w:val="1"/>
    <w:pPr>
      <w:keepNext/>
      <w:keepLines/>
      <w:numPr>
        <w:ilvl w:val="0"/>
        <w:numId w:val="2"/>
      </w:numPr>
      <w:adjustRightInd w:val="0"/>
      <w:snapToGrid w:val="0"/>
      <w:spacing w:beforeLines="200" w:line="360" w:lineRule="auto"/>
      <w:outlineLvl w:val="1"/>
    </w:pPr>
    <w:rPr>
      <w:rFonts w:eastAsia="黑体"/>
      <w:b/>
    </w:rPr>
  </w:style>
  <w:style w:type="paragraph" w:styleId="4">
    <w:name w:val="heading 3"/>
    <w:basedOn w:val="1"/>
    <w:next w:val="1"/>
    <w:link w:val="53"/>
    <w:qFormat/>
    <w:uiPriority w:val="9"/>
    <w:pPr>
      <w:keepNext/>
      <w:keepLines/>
      <w:numPr>
        <w:ilvl w:val="0"/>
        <w:numId w:val="3"/>
      </w:numPr>
      <w:adjustRightInd w:val="0"/>
      <w:spacing w:line="360" w:lineRule="auto"/>
      <w:jc w:val="left"/>
      <w:outlineLvl w:val="2"/>
    </w:pPr>
    <w:rPr>
      <w:rFonts w:eastAsia="黑体"/>
    </w:rPr>
  </w:style>
  <w:style w:type="paragraph" w:styleId="5">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annotation text"/>
    <w:basedOn w:val="1"/>
    <w:link w:val="117"/>
    <w:qFormat/>
    <w:uiPriority w:val="0"/>
    <w:pPr>
      <w:jc w:val="left"/>
    </w:pPr>
  </w:style>
  <w:style w:type="paragraph" w:styleId="8">
    <w:name w:val="Body Text"/>
    <w:basedOn w:val="1"/>
    <w:link w:val="55"/>
    <w:qFormat/>
    <w:uiPriority w:val="1"/>
    <w:pPr>
      <w:ind w:left="1340" w:firstLine="200"/>
    </w:pPr>
    <w:rPr>
      <w:sz w:val="28"/>
      <w:szCs w:val="28"/>
      <w:lang w:eastAsia="en-US"/>
    </w:rPr>
  </w:style>
  <w:style w:type="paragraph" w:styleId="9">
    <w:name w:val="toc 5"/>
    <w:basedOn w:val="1"/>
    <w:next w:val="1"/>
    <w:unhideWhenUsed/>
    <w:qFormat/>
    <w:uiPriority w:val="39"/>
    <w:pPr>
      <w:ind w:left="1680" w:leftChars="800"/>
    </w:pPr>
    <w:rPr>
      <w:rFonts w:asciiTheme="minorHAnsi" w:hAnsiTheme="minorHAnsi" w:eastAsiaTheme="minorEastAsia" w:cstheme="minorBidi"/>
    </w:r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sz w:val="22"/>
    </w:rPr>
  </w:style>
  <w:style w:type="paragraph" w:styleId="11">
    <w:name w:val="toc 8"/>
    <w:basedOn w:val="1"/>
    <w:next w:val="1"/>
    <w:unhideWhenUsed/>
    <w:qFormat/>
    <w:uiPriority w:val="39"/>
    <w:pPr>
      <w:ind w:left="2940" w:leftChars="1400"/>
    </w:pPr>
    <w:rPr>
      <w:rFonts w:asciiTheme="minorHAnsi" w:hAnsiTheme="minorHAnsi" w:eastAsiaTheme="minorEastAsia" w:cstheme="minorBidi"/>
    </w:rPr>
  </w:style>
  <w:style w:type="paragraph" w:styleId="12">
    <w:name w:val="Date"/>
    <w:basedOn w:val="1"/>
    <w:next w:val="1"/>
    <w:link w:val="39"/>
    <w:qFormat/>
    <w:uiPriority w:val="0"/>
    <w:pPr>
      <w:ind w:left="100" w:leftChars="2500"/>
    </w:pPr>
  </w:style>
  <w:style w:type="paragraph" w:styleId="13">
    <w:name w:val="Body Text Indent 2"/>
    <w:basedOn w:val="1"/>
    <w:link w:val="111"/>
    <w:qFormat/>
    <w:uiPriority w:val="0"/>
    <w:pPr>
      <w:spacing w:after="120" w:line="480" w:lineRule="auto"/>
      <w:ind w:left="420" w:leftChars="200"/>
    </w:pPr>
  </w:style>
  <w:style w:type="paragraph" w:styleId="14">
    <w:name w:val="Balloon Text"/>
    <w:basedOn w:val="1"/>
    <w:link w:val="116"/>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rFonts w:eastAsia="Times New Roman"/>
      <w:sz w:val="18"/>
      <w:szCs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eastAsia="黑体" w:asciiTheme="minorHAnsi" w:hAnsiTheme="minorHAnsi"/>
    </w:rPr>
  </w:style>
  <w:style w:type="paragraph" w:styleId="18">
    <w:name w:val="toc 4"/>
    <w:basedOn w:val="1"/>
    <w:next w:val="1"/>
    <w:unhideWhenUsed/>
    <w:qFormat/>
    <w:uiPriority w:val="39"/>
    <w:pPr>
      <w:ind w:left="1260" w:leftChars="600"/>
    </w:pPr>
    <w:rPr>
      <w:rFonts w:asciiTheme="minorHAnsi" w:hAnsiTheme="minorHAnsi" w:eastAsiaTheme="minorEastAsia" w:cstheme="minorBidi"/>
    </w:rPr>
  </w:style>
  <w:style w:type="paragraph" w:styleId="19">
    <w:name w:val="footnote text"/>
    <w:basedOn w:val="1"/>
    <w:link w:val="140"/>
    <w:qFormat/>
    <w:uiPriority w:val="0"/>
    <w:pPr>
      <w:snapToGrid w:val="0"/>
      <w:jc w:val="left"/>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widowControl/>
      <w:spacing w:after="100" w:line="259" w:lineRule="auto"/>
      <w:ind w:left="220"/>
      <w:jc w:val="left"/>
    </w:pPr>
    <w:rPr>
      <w:rFonts w:asciiTheme="minorHAnsi" w:hAnsiTheme="minorHAnsi"/>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unhideWhenUsed/>
    <w:qFormat/>
    <w:uiPriority w:val="99"/>
    <w:pPr>
      <w:widowControl/>
      <w:spacing w:before="100" w:beforeAutospacing="1" w:after="100" w:afterAutospacing="1"/>
      <w:jc w:val="left"/>
    </w:pPr>
    <w:rPr>
      <w:sz w:val="24"/>
    </w:rPr>
  </w:style>
  <w:style w:type="paragraph" w:styleId="24">
    <w:name w:val="annotation subject"/>
    <w:basedOn w:val="7"/>
    <w:next w:val="7"/>
    <w:link w:val="120"/>
    <w:qFormat/>
    <w:uiPriority w:val="0"/>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unhideWhenUsed/>
    <w:qFormat/>
    <w:uiPriority w:val="99"/>
    <w:rPr>
      <w:rFonts w:eastAsia="Times New Roman"/>
      <w:sz w:val="21"/>
    </w:rPr>
  </w:style>
  <w:style w:type="character" w:styleId="29">
    <w:name w:val="FollowedHyperlink"/>
    <w:basedOn w:val="27"/>
    <w:unhideWhenUsed/>
    <w:qFormat/>
    <w:uiPriority w:val="99"/>
    <w:rPr>
      <w:color w:val="954F72"/>
      <w:u w:val="single"/>
    </w:rPr>
  </w:style>
  <w:style w:type="character" w:styleId="30">
    <w:name w:val="Hyperlink"/>
    <w:unhideWhenUsed/>
    <w:qFormat/>
    <w:uiPriority w:val="99"/>
    <w:rPr>
      <w:color w:val="0000FF"/>
      <w:u w:val="single"/>
    </w:rPr>
  </w:style>
  <w:style w:type="character" w:styleId="31">
    <w:name w:val="annotation reference"/>
    <w:basedOn w:val="27"/>
    <w:qFormat/>
    <w:uiPriority w:val="0"/>
    <w:rPr>
      <w:sz w:val="21"/>
      <w:szCs w:val="21"/>
    </w:rPr>
  </w:style>
  <w:style w:type="character" w:styleId="32">
    <w:name w:val="footnote reference"/>
    <w:basedOn w:val="27"/>
    <w:unhideWhenUsed/>
    <w:qFormat/>
    <w:uiPriority w:val="99"/>
    <w:rPr>
      <w:vertAlign w:val="superscript"/>
    </w:rPr>
  </w:style>
  <w:style w:type="paragraph" w:customStyle="1" w:styleId="33">
    <w:name w:val="正文 乌鲁木齐"/>
    <w:basedOn w:val="1"/>
    <w:qFormat/>
    <w:uiPriority w:val="0"/>
    <w:pPr>
      <w:spacing w:afterLines="50"/>
      <w:ind w:firstLine="560"/>
    </w:pPr>
  </w:style>
  <w:style w:type="paragraph" w:customStyle="1" w:styleId="34">
    <w:name w:val="目录一级"/>
    <w:basedOn w:val="1"/>
    <w:qFormat/>
    <w:uiPriority w:val="0"/>
    <w:rPr>
      <w:rFonts w:eastAsia="仿宋"/>
      <w:b/>
    </w:rPr>
  </w:style>
  <w:style w:type="paragraph" w:customStyle="1" w:styleId="35">
    <w:name w:val="目录二级"/>
    <w:basedOn w:val="34"/>
    <w:qFormat/>
    <w:uiPriority w:val="0"/>
    <w:rPr>
      <w:b w:val="0"/>
      <w:sz w:val="28"/>
    </w:rPr>
  </w:style>
  <w:style w:type="paragraph" w:customStyle="1" w:styleId="36">
    <w:name w:val="目录三级"/>
    <w:basedOn w:val="1"/>
    <w:qFormat/>
    <w:uiPriority w:val="0"/>
    <w:rPr>
      <w:rFonts w:eastAsia="仿宋"/>
      <w:sz w:val="24"/>
    </w:rPr>
  </w:style>
  <w:style w:type="character" w:customStyle="1" w:styleId="37">
    <w:name w:val="页眉 字符"/>
    <w:basedOn w:val="27"/>
    <w:link w:val="16"/>
    <w:qFormat/>
    <w:uiPriority w:val="99"/>
    <w:rPr>
      <w:kern w:val="2"/>
      <w:sz w:val="18"/>
      <w:szCs w:val="18"/>
    </w:rPr>
  </w:style>
  <w:style w:type="character" w:customStyle="1" w:styleId="38">
    <w:name w:val="页脚 字符"/>
    <w:basedOn w:val="27"/>
    <w:link w:val="15"/>
    <w:qFormat/>
    <w:uiPriority w:val="99"/>
    <w:rPr>
      <w:rFonts w:ascii="宋体" w:hAnsi="宋体" w:eastAsia="Times New Roman" w:cs="宋体"/>
      <w:sz w:val="18"/>
      <w:szCs w:val="18"/>
    </w:rPr>
  </w:style>
  <w:style w:type="character" w:customStyle="1" w:styleId="39">
    <w:name w:val="日期 字符"/>
    <w:basedOn w:val="27"/>
    <w:link w:val="12"/>
    <w:qFormat/>
    <w:uiPriority w:val="0"/>
    <w:rPr>
      <w:kern w:val="2"/>
      <w:sz w:val="21"/>
      <w:szCs w:val="24"/>
    </w:rPr>
  </w:style>
  <w:style w:type="character" w:customStyle="1" w:styleId="40">
    <w:name w:val="标题 4 字符"/>
    <w:basedOn w:val="27"/>
    <w:link w:val="5"/>
    <w:qFormat/>
    <w:uiPriority w:val="0"/>
    <w:rPr>
      <w:rFonts w:asciiTheme="majorHAnsi" w:hAnsiTheme="majorHAnsi" w:eastAsiaTheme="majorEastAsia" w:cstheme="majorBidi"/>
      <w:b/>
      <w:bCs/>
      <w:kern w:val="2"/>
      <w:sz w:val="28"/>
      <w:szCs w:val="28"/>
    </w:rPr>
  </w:style>
  <w:style w:type="paragraph" w:customStyle="1" w:styleId="41">
    <w:name w:val="tiao"/>
    <w:basedOn w:val="1"/>
    <w:link w:val="43"/>
    <w:qFormat/>
    <w:uiPriority w:val="0"/>
    <w:rPr>
      <w:rFonts w:ascii="楷体" w:hAnsi="楷体" w:eastAsia="楷体"/>
    </w:rPr>
  </w:style>
  <w:style w:type="paragraph" w:customStyle="1" w:styleId="42">
    <w:name w:val="正文2"/>
    <w:basedOn w:val="1"/>
    <w:link w:val="44"/>
    <w:qFormat/>
    <w:uiPriority w:val="1"/>
    <w:pPr>
      <w:spacing w:line="500" w:lineRule="exact"/>
      <w:ind w:firstLine="200"/>
    </w:pPr>
    <w:rPr>
      <w:sz w:val="24"/>
    </w:rPr>
  </w:style>
  <w:style w:type="character" w:customStyle="1" w:styleId="43">
    <w:name w:val="tiao 字符"/>
    <w:basedOn w:val="27"/>
    <w:link w:val="41"/>
    <w:qFormat/>
    <w:uiPriority w:val="0"/>
    <w:rPr>
      <w:rFonts w:ascii="楷体" w:hAnsi="楷体" w:eastAsia="楷体" w:cs="宋体"/>
      <w:sz w:val="32"/>
      <w:szCs w:val="22"/>
    </w:rPr>
  </w:style>
  <w:style w:type="character" w:customStyle="1" w:styleId="44">
    <w:name w:val="正文2 字符"/>
    <w:basedOn w:val="27"/>
    <w:link w:val="42"/>
    <w:qFormat/>
    <w:uiPriority w:val="1"/>
    <w:rPr>
      <w:rFonts w:ascii="宋体" w:hAnsi="宋体" w:eastAsia="仿宋_GB2312" w:cs="宋体"/>
      <w:sz w:val="24"/>
      <w:szCs w:val="22"/>
    </w:rPr>
  </w:style>
  <w:style w:type="paragraph" w:customStyle="1" w:styleId="45">
    <w:name w:val="条"/>
    <w:basedOn w:val="41"/>
    <w:link w:val="47"/>
    <w:qFormat/>
    <w:uiPriority w:val="0"/>
    <w:pPr>
      <w:numPr>
        <w:ilvl w:val="0"/>
        <w:numId w:val="4"/>
      </w:numPr>
      <w:adjustRightInd w:val="0"/>
      <w:snapToGrid w:val="0"/>
      <w:spacing w:before="50" w:beforeLines="50" w:after="50" w:afterLines="50"/>
      <w:ind w:firstLine="0" w:firstLineChars="0"/>
    </w:pPr>
    <w:rPr>
      <w:rFonts w:eastAsia="楷体_GB2312"/>
    </w:rPr>
  </w:style>
  <w:style w:type="paragraph" w:styleId="46">
    <w:name w:val="List Paragraph"/>
    <w:basedOn w:val="1"/>
    <w:link w:val="121"/>
    <w:qFormat/>
    <w:uiPriority w:val="34"/>
    <w:pPr>
      <w:ind w:firstLine="420"/>
    </w:pPr>
  </w:style>
  <w:style w:type="character" w:customStyle="1" w:styleId="47">
    <w:name w:val="条 字符"/>
    <w:basedOn w:val="43"/>
    <w:link w:val="45"/>
    <w:qFormat/>
    <w:uiPriority w:val="0"/>
    <w:rPr>
      <w:rFonts w:ascii="楷体" w:hAnsi="楷体" w:eastAsia="楷体_GB2312" w:cs="宋体"/>
      <w:sz w:val="32"/>
      <w:szCs w:val="22"/>
    </w:rPr>
  </w:style>
  <w:style w:type="paragraph" w:customStyle="1" w:styleId="48">
    <w:name w:val="节"/>
    <w:basedOn w:val="1"/>
    <w:link w:val="49"/>
    <w:qFormat/>
    <w:uiPriority w:val="0"/>
    <w:pPr>
      <w:numPr>
        <w:ilvl w:val="1"/>
        <w:numId w:val="5"/>
      </w:numPr>
      <w:ind w:firstLineChars="0"/>
      <w:jc w:val="center"/>
      <w:outlineLvl w:val="1"/>
    </w:pPr>
    <w:rPr>
      <w:rFonts w:eastAsia="黑体"/>
      <w:szCs w:val="29"/>
    </w:rPr>
  </w:style>
  <w:style w:type="character" w:customStyle="1" w:styleId="49">
    <w:name w:val="节 字符"/>
    <w:basedOn w:val="27"/>
    <w:link w:val="48"/>
    <w:qFormat/>
    <w:uiPriority w:val="0"/>
    <w:rPr>
      <w:rFonts w:ascii="宋体" w:hAnsi="宋体" w:eastAsia="黑体" w:cs="宋体"/>
      <w:sz w:val="32"/>
      <w:szCs w:val="29"/>
    </w:rPr>
  </w:style>
  <w:style w:type="paragraph" w:customStyle="1" w:styleId="5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1">
    <w:name w:val="标题 1 字符"/>
    <w:basedOn w:val="27"/>
    <w:link w:val="2"/>
    <w:qFormat/>
    <w:uiPriority w:val="1"/>
    <w:rPr>
      <w:rFonts w:ascii="宋体" w:hAnsi="宋体" w:eastAsia="方正小标宋_GBK" w:cs="宋体"/>
      <w:kern w:val="44"/>
      <w:sz w:val="36"/>
      <w:szCs w:val="22"/>
    </w:rPr>
  </w:style>
  <w:style w:type="character" w:customStyle="1" w:styleId="52">
    <w:name w:val="标题 2 字符"/>
    <w:basedOn w:val="27"/>
    <w:link w:val="3"/>
    <w:qFormat/>
    <w:uiPriority w:val="1"/>
    <w:rPr>
      <w:rFonts w:ascii="宋体" w:hAnsi="宋体" w:eastAsia="黑体" w:cs="宋体"/>
      <w:b/>
      <w:sz w:val="32"/>
      <w:szCs w:val="22"/>
    </w:rPr>
  </w:style>
  <w:style w:type="character" w:customStyle="1" w:styleId="53">
    <w:name w:val="标题 3 字符"/>
    <w:basedOn w:val="27"/>
    <w:link w:val="4"/>
    <w:qFormat/>
    <w:uiPriority w:val="9"/>
    <w:rPr>
      <w:rFonts w:ascii="宋体" w:hAnsi="宋体" w:eastAsia="黑体" w:cs="宋体"/>
      <w:sz w:val="32"/>
      <w:szCs w:val="22"/>
    </w:rPr>
  </w:style>
  <w:style w:type="table" w:customStyle="1" w:styleId="54">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55">
    <w:name w:val="正文文本 字符"/>
    <w:basedOn w:val="27"/>
    <w:link w:val="8"/>
    <w:qFormat/>
    <w:uiPriority w:val="1"/>
    <w:rPr>
      <w:rFonts w:ascii="宋体" w:hAnsi="宋体" w:cs="宋体"/>
      <w:sz w:val="28"/>
      <w:szCs w:val="28"/>
      <w:lang w:eastAsia="en-US"/>
    </w:rPr>
  </w:style>
  <w:style w:type="paragraph" w:customStyle="1" w:styleId="56">
    <w:name w:val="Table Paragraph"/>
    <w:basedOn w:val="1"/>
    <w:qFormat/>
    <w:uiPriority w:val="1"/>
    <w:pPr>
      <w:ind w:firstLine="200"/>
    </w:pPr>
    <w:rPr>
      <w:lang w:eastAsia="en-US"/>
    </w:rPr>
  </w:style>
  <w:style w:type="paragraph" w:customStyle="1" w:styleId="57">
    <w:name w:val="TOC 标题1"/>
    <w:basedOn w:val="2"/>
    <w:next w:val="1"/>
    <w:unhideWhenUsed/>
    <w:qFormat/>
    <w:uiPriority w:val="39"/>
    <w:pPr>
      <w:widowControl/>
      <w:spacing w:before="240" w:after="0" w:line="259" w:lineRule="auto"/>
      <w:jc w:val="left"/>
      <w:outlineLvl w:val="9"/>
    </w:pPr>
    <w:rPr>
      <w:rFonts w:ascii="Cambria" w:hAnsi="Cambria" w:eastAsia="宋体"/>
      <w:color w:val="365F91"/>
      <w:kern w:val="0"/>
      <w:sz w:val="32"/>
      <w:szCs w:val="32"/>
    </w:rPr>
  </w:style>
  <w:style w:type="paragraph" w:customStyle="1" w:styleId="58">
    <w:name w:val="目录 21"/>
    <w:basedOn w:val="1"/>
    <w:next w:val="1"/>
    <w:unhideWhenUsed/>
    <w:qFormat/>
    <w:uiPriority w:val="39"/>
    <w:pPr>
      <w:widowControl/>
      <w:spacing w:after="100" w:line="259" w:lineRule="auto"/>
      <w:ind w:left="220"/>
    </w:pPr>
    <w:rPr>
      <w:rFonts w:eastAsia="仿宋"/>
    </w:rPr>
  </w:style>
  <w:style w:type="paragraph" w:customStyle="1" w:styleId="59">
    <w:name w:val="目录 11"/>
    <w:basedOn w:val="1"/>
    <w:next w:val="1"/>
    <w:unhideWhenUsed/>
    <w:qFormat/>
    <w:uiPriority w:val="39"/>
    <w:pPr>
      <w:widowControl/>
      <w:spacing w:after="100" w:line="259" w:lineRule="auto"/>
    </w:pPr>
    <w:rPr>
      <w:rFonts w:eastAsia="仿宋"/>
    </w:rPr>
  </w:style>
  <w:style w:type="paragraph" w:customStyle="1" w:styleId="60">
    <w:name w:val="目录 31"/>
    <w:basedOn w:val="1"/>
    <w:next w:val="1"/>
    <w:unhideWhenUsed/>
    <w:qFormat/>
    <w:uiPriority w:val="39"/>
    <w:pPr>
      <w:widowControl/>
      <w:spacing w:after="100" w:line="259" w:lineRule="auto"/>
      <w:ind w:left="440"/>
    </w:pPr>
    <w:rPr>
      <w:sz w:val="22"/>
    </w:rPr>
  </w:style>
  <w:style w:type="paragraph" w:customStyle="1" w:styleId="61">
    <w:name w:val="附表"/>
    <w:basedOn w:val="1"/>
    <w:link w:val="62"/>
    <w:qFormat/>
    <w:uiPriority w:val="1"/>
    <w:pPr>
      <w:adjustRightInd w:val="0"/>
      <w:snapToGrid w:val="0"/>
      <w:jc w:val="center"/>
    </w:pPr>
    <w:rPr>
      <w:rFonts w:eastAsia="仿宋"/>
      <w:szCs w:val="21"/>
      <w:lang w:eastAsia="en-US"/>
    </w:rPr>
  </w:style>
  <w:style w:type="character" w:customStyle="1" w:styleId="62">
    <w:name w:val="附表 字符"/>
    <w:basedOn w:val="27"/>
    <w:link w:val="61"/>
    <w:qFormat/>
    <w:uiPriority w:val="1"/>
    <w:rPr>
      <w:rFonts w:ascii="宋体" w:hAnsi="宋体" w:eastAsia="仿宋"/>
      <w:sz w:val="21"/>
      <w:szCs w:val="21"/>
      <w:lang w:eastAsia="en-US"/>
    </w:rPr>
  </w:style>
  <w:style w:type="paragraph" w:customStyle="1" w:styleId="6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64">
    <w:name w:val="font21"/>
    <w:basedOn w:val="27"/>
    <w:qFormat/>
    <w:uiPriority w:val="0"/>
    <w:rPr>
      <w:rFonts w:hint="eastAsia" w:ascii="仿宋" w:hAnsi="仿宋" w:eastAsia="仿宋" w:cs="仿宋"/>
      <w:b/>
      <w:bCs/>
      <w:color w:val="000000"/>
      <w:sz w:val="21"/>
      <w:szCs w:val="21"/>
      <w:u w:val="none"/>
    </w:rPr>
  </w:style>
  <w:style w:type="paragraph" w:customStyle="1" w:styleId="65">
    <w:name w:val="msonormal"/>
    <w:basedOn w:val="1"/>
    <w:qFormat/>
    <w:uiPriority w:val="0"/>
    <w:pPr>
      <w:widowControl/>
      <w:spacing w:before="100" w:beforeAutospacing="1" w:after="100" w:afterAutospacing="1"/>
      <w:jc w:val="left"/>
    </w:pPr>
    <w:rPr>
      <w:sz w:val="24"/>
    </w:rPr>
  </w:style>
  <w:style w:type="paragraph" w:customStyle="1" w:styleId="66">
    <w:name w:val="font5"/>
    <w:basedOn w:val="1"/>
    <w:qFormat/>
    <w:uiPriority w:val="0"/>
    <w:pPr>
      <w:widowControl/>
      <w:spacing w:before="100" w:beforeAutospacing="1" w:after="100" w:afterAutospacing="1"/>
      <w:jc w:val="left"/>
    </w:pPr>
    <w:rPr>
      <w:rFonts w:ascii="等线" w:hAnsi="等线" w:eastAsia="等线"/>
      <w:sz w:val="18"/>
      <w:szCs w:val="18"/>
    </w:rPr>
  </w:style>
  <w:style w:type="paragraph" w:customStyle="1" w:styleId="67">
    <w:name w:val="font6"/>
    <w:basedOn w:val="1"/>
    <w:qFormat/>
    <w:uiPriority w:val="0"/>
    <w:pPr>
      <w:widowControl/>
      <w:spacing w:before="100" w:beforeAutospacing="1" w:after="100" w:afterAutospacing="1"/>
      <w:jc w:val="left"/>
    </w:pPr>
    <w:rPr>
      <w:rFonts w:ascii="等线" w:hAnsi="等线" w:eastAsia="等线"/>
      <w:sz w:val="18"/>
      <w:szCs w:val="18"/>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仿宋" w:hAnsi="仿宋" w:eastAsia="仿宋"/>
      <w:sz w:val="20"/>
      <w:szCs w:val="20"/>
    </w:rPr>
  </w:style>
  <w:style w:type="paragraph" w:customStyle="1" w:styleId="6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仿宋" w:hAnsi="仿宋" w:eastAsia="仿宋"/>
      <w:sz w:val="20"/>
      <w:szCs w:val="20"/>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仿宋" w:hAnsi="仿宋" w:eastAsia="仿宋"/>
      <w:sz w:val="20"/>
      <w:szCs w:val="20"/>
    </w:rPr>
  </w:style>
  <w:style w:type="paragraph" w:customStyle="1" w:styleId="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仿宋" w:hAnsi="仿宋" w:eastAsia="仿宋"/>
      <w:b/>
      <w:bCs/>
      <w:sz w:val="20"/>
      <w:szCs w:val="20"/>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仿宋" w:hAnsi="仿宋" w:eastAsia="仿宋"/>
      <w:sz w:val="20"/>
      <w:szCs w:val="20"/>
    </w:rPr>
  </w:style>
  <w:style w:type="paragraph" w:customStyle="1" w:styleId="7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仿宋" w:hAnsi="仿宋" w:eastAsia="仿宋"/>
      <w:b/>
      <w:bCs/>
      <w:sz w:val="20"/>
      <w:szCs w:val="20"/>
    </w:rPr>
  </w:style>
  <w:style w:type="paragraph" w:customStyle="1" w:styleId="7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仿宋" w:hAnsi="仿宋" w:eastAsia="仿宋"/>
      <w:sz w:val="20"/>
      <w:szCs w:val="20"/>
    </w:rPr>
  </w:style>
  <w:style w:type="paragraph" w:customStyle="1" w:styleId="75">
    <w:name w:val="正文-疏勒"/>
    <w:basedOn w:val="1"/>
    <w:qFormat/>
    <w:uiPriority w:val="0"/>
    <w:pPr>
      <w:ind w:firstLine="200"/>
    </w:pPr>
    <w:rPr>
      <w:rFonts w:ascii="Times New Roman" w:hAnsi="Times New Roman"/>
      <w:sz w:val="28"/>
    </w:rPr>
  </w:style>
  <w:style w:type="paragraph" w:customStyle="1" w:styleId="76">
    <w:name w:val="xl74"/>
    <w:basedOn w:val="1"/>
    <w:qFormat/>
    <w:uiPriority w:val="0"/>
    <w:pPr>
      <w:widowControl/>
      <w:spacing w:before="100" w:beforeAutospacing="1" w:after="100" w:afterAutospacing="1"/>
      <w:jc w:val="left"/>
    </w:pPr>
    <w:rPr>
      <w:sz w:val="24"/>
    </w:rPr>
  </w:style>
  <w:style w:type="paragraph" w:customStyle="1" w:styleId="77">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customStyle="1" w:styleId="7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sz w:val="24"/>
    </w:rPr>
  </w:style>
  <w:style w:type="paragraph" w:customStyle="1" w:styleId="79">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sz w:val="24"/>
    </w:rPr>
  </w:style>
  <w:style w:type="paragraph" w:customStyle="1" w:styleId="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8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sz w:val="24"/>
    </w:rPr>
  </w:style>
  <w:style w:type="paragraph" w:customStyle="1" w:styleId="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84">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85">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8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87">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8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89">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9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8"/>
      <w:szCs w:val="28"/>
    </w:rPr>
  </w:style>
  <w:style w:type="paragraph" w:customStyle="1" w:styleId="9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9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9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仿宋_GB2312"/>
      <w:sz w:val="24"/>
    </w:rPr>
  </w:style>
  <w:style w:type="paragraph" w:customStyle="1" w:styleId="9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仿宋_GB2312"/>
      <w:sz w:val="24"/>
    </w:rPr>
  </w:style>
  <w:style w:type="paragraph" w:customStyle="1" w:styleId="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sz w:val="24"/>
    </w:rPr>
  </w:style>
  <w:style w:type="paragraph" w:customStyle="1" w:styleId="96">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_GB2312"/>
      <w:sz w:val="24"/>
    </w:rPr>
  </w:style>
  <w:style w:type="paragraph" w:customStyle="1" w:styleId="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sz w:val="24"/>
    </w:rPr>
  </w:style>
  <w:style w:type="paragraph" w:customStyle="1" w:styleId="9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4"/>
    </w:rPr>
  </w:style>
  <w:style w:type="paragraph" w:customStyle="1" w:styleId="9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sz w:val="24"/>
    </w:rPr>
  </w:style>
  <w:style w:type="paragraph" w:customStyle="1" w:styleId="10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sz w:val="24"/>
    </w:rPr>
  </w:style>
  <w:style w:type="paragraph" w:customStyle="1" w:styleId="1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customStyle="1" w:styleId="10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FF0000"/>
      <w:sz w:val="24"/>
    </w:rPr>
  </w:style>
  <w:style w:type="paragraph" w:customStyle="1" w:styleId="10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color w:val="FF0000"/>
      <w:sz w:val="24"/>
    </w:rPr>
  </w:style>
  <w:style w:type="paragraph" w:customStyle="1" w:styleId="10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color w:val="FF0000"/>
      <w:sz w:val="24"/>
    </w:rPr>
  </w:style>
  <w:style w:type="paragraph" w:customStyle="1" w:styleId="1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FF0000"/>
      <w:sz w:val="24"/>
    </w:rPr>
  </w:style>
  <w:style w:type="paragraph" w:customStyle="1" w:styleId="106">
    <w:name w:val="xl104"/>
    <w:basedOn w:val="1"/>
    <w:qFormat/>
    <w:uiPriority w:val="0"/>
    <w:pPr>
      <w:widowControl/>
      <w:spacing w:before="100" w:beforeAutospacing="1" w:after="100" w:afterAutospacing="1"/>
      <w:jc w:val="left"/>
    </w:pPr>
    <w:rPr>
      <w:color w:val="FF0000"/>
      <w:sz w:val="24"/>
    </w:rPr>
  </w:style>
  <w:style w:type="paragraph" w:customStyle="1" w:styleId="10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color w:val="FF0000"/>
      <w:sz w:val="24"/>
    </w:rPr>
  </w:style>
  <w:style w:type="paragraph" w:customStyle="1" w:styleId="10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4"/>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pPr>
    <w:rPr>
      <w:szCs w:val="21"/>
    </w:rPr>
  </w:style>
  <w:style w:type="paragraph" w:customStyle="1" w:styleId="110">
    <w:name w:val="样式 yl-正文 + 首行缩进:  2 字符"/>
    <w:basedOn w:val="1"/>
    <w:qFormat/>
    <w:uiPriority w:val="0"/>
    <w:pPr>
      <w:spacing w:line="360" w:lineRule="auto"/>
      <w:ind w:firstLine="480"/>
    </w:pPr>
    <w:rPr>
      <w:rFonts w:ascii="Times New Roman" w:eastAsia="仿宋" w:hAnsiTheme="minorHAnsi"/>
      <w:sz w:val="24"/>
      <w:szCs w:val="20"/>
      <w:lang w:val="zh-CN"/>
    </w:rPr>
  </w:style>
  <w:style w:type="character" w:customStyle="1" w:styleId="111">
    <w:name w:val="正文文本缩进 2 字符"/>
    <w:basedOn w:val="27"/>
    <w:link w:val="13"/>
    <w:qFormat/>
    <w:uiPriority w:val="0"/>
    <w:rPr>
      <w:kern w:val="2"/>
      <w:sz w:val="21"/>
      <w:szCs w:val="24"/>
    </w:rPr>
  </w:style>
  <w:style w:type="paragraph" w:customStyle="1" w:styleId="112">
    <w:name w:val="样式标题3"/>
    <w:basedOn w:val="1"/>
    <w:qFormat/>
    <w:uiPriority w:val="0"/>
    <w:pPr>
      <w:spacing w:line="360" w:lineRule="auto"/>
      <w:ind w:firstLine="560"/>
    </w:pPr>
    <w:rPr>
      <w:bCs/>
      <w:sz w:val="28"/>
      <w:szCs w:val="28"/>
    </w:rPr>
  </w:style>
  <w:style w:type="paragraph" w:customStyle="1" w:styleId="113">
    <w:name w:val="专栏标题"/>
    <w:basedOn w:val="1"/>
    <w:qFormat/>
    <w:uiPriority w:val="0"/>
    <w:pPr>
      <w:widowControl/>
      <w:jc w:val="center"/>
    </w:pPr>
    <w:rPr>
      <w:rFonts w:eastAsia="黑体"/>
      <w:sz w:val="30"/>
    </w:rPr>
  </w:style>
  <w:style w:type="table" w:customStyle="1" w:styleId="114">
    <w:name w:val="网格型2"/>
    <w:basedOn w:val="25"/>
    <w:qFormat/>
    <w:uiPriority w:val="39"/>
    <w:pPr>
      <w:widowControl w:val="0"/>
    </w:pPr>
    <w:rPr>
      <w:rFonts w:ascii="等线" w:hAnsi="等线" w:eastAsia="等线" w:cs="等线"/>
      <w:sz w:val="24"/>
      <w:szCs w:val="24"/>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专栏正文"/>
    <w:basedOn w:val="1"/>
    <w:qFormat/>
    <w:uiPriority w:val="0"/>
    <w:pPr>
      <w:widowControl/>
      <w:spacing w:line="500" w:lineRule="exact"/>
      <w:ind w:firstLine="480"/>
    </w:pPr>
    <w:rPr>
      <w:sz w:val="24"/>
    </w:rPr>
  </w:style>
  <w:style w:type="character" w:customStyle="1" w:styleId="116">
    <w:name w:val="批注框文本 字符"/>
    <w:basedOn w:val="27"/>
    <w:link w:val="14"/>
    <w:qFormat/>
    <w:uiPriority w:val="0"/>
    <w:rPr>
      <w:kern w:val="2"/>
      <w:sz w:val="18"/>
      <w:szCs w:val="18"/>
    </w:rPr>
  </w:style>
  <w:style w:type="character" w:customStyle="1" w:styleId="117">
    <w:name w:val="批注文字 字符"/>
    <w:basedOn w:val="27"/>
    <w:link w:val="7"/>
    <w:qFormat/>
    <w:uiPriority w:val="0"/>
    <w:rPr>
      <w:kern w:val="2"/>
      <w:sz w:val="21"/>
      <w:szCs w:val="24"/>
    </w:rPr>
  </w:style>
  <w:style w:type="character" w:customStyle="1" w:styleId="118">
    <w:name w:val="脚注文本 字符"/>
    <w:basedOn w:val="27"/>
    <w:link w:val="119"/>
    <w:semiHidden/>
    <w:qFormat/>
    <w:uiPriority w:val="99"/>
    <w:rPr>
      <w:kern w:val="2"/>
      <w:sz w:val="18"/>
      <w:szCs w:val="18"/>
    </w:rPr>
  </w:style>
  <w:style w:type="paragraph" w:customStyle="1" w:styleId="119">
    <w:name w:val="脚注文本1"/>
    <w:basedOn w:val="1"/>
    <w:next w:val="19"/>
    <w:link w:val="118"/>
    <w:semiHidden/>
    <w:unhideWhenUsed/>
    <w:qFormat/>
    <w:uiPriority w:val="99"/>
    <w:pPr>
      <w:snapToGrid w:val="0"/>
      <w:spacing w:line="360" w:lineRule="auto"/>
      <w:ind w:firstLine="177" w:firstLineChars="177"/>
      <w:jc w:val="left"/>
    </w:pPr>
    <w:rPr>
      <w:sz w:val="18"/>
      <w:szCs w:val="18"/>
    </w:rPr>
  </w:style>
  <w:style w:type="character" w:customStyle="1" w:styleId="120">
    <w:name w:val="批注主题 字符"/>
    <w:basedOn w:val="117"/>
    <w:link w:val="24"/>
    <w:qFormat/>
    <w:uiPriority w:val="0"/>
    <w:rPr>
      <w:b/>
      <w:bCs/>
      <w:kern w:val="2"/>
      <w:sz w:val="21"/>
      <w:szCs w:val="24"/>
    </w:rPr>
  </w:style>
  <w:style w:type="character" w:customStyle="1" w:styleId="121">
    <w:name w:val="列出段落 字符"/>
    <w:link w:val="46"/>
    <w:qFormat/>
    <w:locked/>
    <w:uiPriority w:val="34"/>
    <w:rPr>
      <w:kern w:val="2"/>
      <w:sz w:val="21"/>
      <w:szCs w:val="24"/>
    </w:rPr>
  </w:style>
  <w:style w:type="table" w:customStyle="1" w:styleId="122">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3"/>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4"/>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5"/>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日期1"/>
    <w:basedOn w:val="1"/>
    <w:next w:val="1"/>
    <w:semiHidden/>
    <w:unhideWhenUsed/>
    <w:qFormat/>
    <w:uiPriority w:val="99"/>
    <w:pPr>
      <w:spacing w:line="360" w:lineRule="auto"/>
      <w:ind w:left="100" w:leftChars="2500" w:firstLine="177" w:firstLineChars="177"/>
    </w:pPr>
    <w:rPr>
      <w:rFonts w:ascii="等线" w:hAnsi="等线"/>
      <w:sz w:val="24"/>
    </w:rPr>
  </w:style>
  <w:style w:type="table" w:customStyle="1" w:styleId="127">
    <w:name w:val="网格型6"/>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题注1"/>
    <w:basedOn w:val="1"/>
    <w:next w:val="1"/>
    <w:unhideWhenUsed/>
    <w:qFormat/>
    <w:uiPriority w:val="0"/>
    <w:pPr>
      <w:spacing w:line="360" w:lineRule="auto"/>
      <w:ind w:firstLine="177" w:firstLineChars="177"/>
      <w:jc w:val="center"/>
    </w:pPr>
    <w:rPr>
      <w:rFonts w:ascii="等线 Light" w:hAnsi="等线 Light" w:eastAsia="仿宋"/>
      <w:b/>
      <w:sz w:val="22"/>
      <w:szCs w:val="20"/>
    </w:rPr>
  </w:style>
  <w:style w:type="paragraph" w:customStyle="1" w:styleId="129">
    <w:name w:val="目录 41"/>
    <w:basedOn w:val="1"/>
    <w:next w:val="1"/>
    <w:unhideWhenUsed/>
    <w:qFormat/>
    <w:uiPriority w:val="39"/>
    <w:pPr>
      <w:ind w:left="1260" w:leftChars="600"/>
    </w:pPr>
    <w:rPr>
      <w:rFonts w:ascii="等线" w:hAnsi="等线" w:eastAsia="等线"/>
    </w:rPr>
  </w:style>
  <w:style w:type="paragraph" w:customStyle="1" w:styleId="130">
    <w:name w:val="目录 51"/>
    <w:basedOn w:val="1"/>
    <w:next w:val="1"/>
    <w:unhideWhenUsed/>
    <w:qFormat/>
    <w:uiPriority w:val="39"/>
    <w:pPr>
      <w:ind w:left="1680" w:leftChars="800"/>
    </w:pPr>
    <w:rPr>
      <w:rFonts w:ascii="等线" w:hAnsi="等线" w:eastAsia="等线"/>
    </w:rPr>
  </w:style>
  <w:style w:type="paragraph" w:customStyle="1" w:styleId="131">
    <w:name w:val="目录 61"/>
    <w:basedOn w:val="1"/>
    <w:next w:val="1"/>
    <w:unhideWhenUsed/>
    <w:qFormat/>
    <w:uiPriority w:val="39"/>
    <w:pPr>
      <w:ind w:left="2100" w:leftChars="1000"/>
    </w:pPr>
    <w:rPr>
      <w:rFonts w:ascii="等线" w:hAnsi="等线" w:eastAsia="等线"/>
    </w:rPr>
  </w:style>
  <w:style w:type="paragraph" w:customStyle="1" w:styleId="132">
    <w:name w:val="目录 71"/>
    <w:basedOn w:val="1"/>
    <w:next w:val="1"/>
    <w:unhideWhenUsed/>
    <w:qFormat/>
    <w:uiPriority w:val="39"/>
    <w:pPr>
      <w:ind w:left="2520" w:leftChars="1200"/>
    </w:pPr>
    <w:rPr>
      <w:rFonts w:ascii="等线" w:hAnsi="等线" w:eastAsia="等线"/>
    </w:rPr>
  </w:style>
  <w:style w:type="paragraph" w:customStyle="1" w:styleId="133">
    <w:name w:val="目录 81"/>
    <w:basedOn w:val="1"/>
    <w:next w:val="1"/>
    <w:unhideWhenUsed/>
    <w:qFormat/>
    <w:uiPriority w:val="39"/>
    <w:pPr>
      <w:ind w:left="2940" w:leftChars="1400"/>
    </w:pPr>
    <w:rPr>
      <w:rFonts w:ascii="等线" w:hAnsi="等线" w:eastAsia="等线"/>
    </w:rPr>
  </w:style>
  <w:style w:type="paragraph" w:customStyle="1" w:styleId="134">
    <w:name w:val="目录 91"/>
    <w:basedOn w:val="1"/>
    <w:next w:val="1"/>
    <w:unhideWhenUsed/>
    <w:qFormat/>
    <w:uiPriority w:val="39"/>
    <w:pPr>
      <w:ind w:left="3360" w:leftChars="1600"/>
    </w:pPr>
    <w:rPr>
      <w:rFonts w:ascii="等线" w:hAnsi="等线" w:eastAsia="等线"/>
    </w:rPr>
  </w:style>
  <w:style w:type="paragraph" w:customStyle="1" w:styleId="135">
    <w:name w:val="说明正文"/>
    <w:basedOn w:val="1"/>
    <w:qFormat/>
    <w:uiPriority w:val="0"/>
    <w:pPr>
      <w:spacing w:line="360" w:lineRule="exact"/>
      <w:ind w:firstLine="480"/>
    </w:pPr>
    <w:rPr>
      <w:rFonts w:ascii="Times New Roman" w:hAnsi="Times New Roman"/>
      <w:szCs w:val="20"/>
    </w:rPr>
  </w:style>
  <w:style w:type="paragraph" w:customStyle="1" w:styleId="136">
    <w:name w:val="正文内容"/>
    <w:basedOn w:val="1"/>
    <w:qFormat/>
    <w:uiPriority w:val="0"/>
    <w:pPr>
      <w:spacing w:line="312" w:lineRule="auto"/>
      <w:ind w:firstLine="200"/>
    </w:pPr>
    <w:rPr>
      <w:rFonts w:ascii="等线" w:hAnsi="等线" w:eastAsia="仿宋"/>
      <w:sz w:val="24"/>
    </w:rPr>
  </w:style>
  <w:style w:type="character" w:customStyle="1" w:styleId="137">
    <w:name w:val="Unresolved Mention"/>
    <w:basedOn w:val="27"/>
    <w:semiHidden/>
    <w:unhideWhenUsed/>
    <w:qFormat/>
    <w:uiPriority w:val="99"/>
    <w:rPr>
      <w:color w:val="605E5C"/>
      <w:shd w:val="clear" w:color="auto" w:fill="E1DFDD"/>
    </w:rPr>
  </w:style>
  <w:style w:type="paragraph" w:customStyle="1" w:styleId="138">
    <w:name w:val="批注框文本1"/>
    <w:basedOn w:val="1"/>
    <w:next w:val="14"/>
    <w:semiHidden/>
    <w:unhideWhenUsed/>
    <w:qFormat/>
    <w:uiPriority w:val="99"/>
    <w:pPr>
      <w:ind w:firstLine="177" w:firstLineChars="177"/>
    </w:pPr>
    <w:rPr>
      <w:sz w:val="18"/>
      <w:szCs w:val="18"/>
    </w:rPr>
  </w:style>
  <w:style w:type="character" w:customStyle="1" w:styleId="139">
    <w:name w:val="日期 字符1"/>
    <w:basedOn w:val="27"/>
    <w:qFormat/>
    <w:uiPriority w:val="0"/>
    <w:rPr>
      <w:kern w:val="2"/>
      <w:sz w:val="21"/>
      <w:szCs w:val="24"/>
    </w:rPr>
  </w:style>
  <w:style w:type="character" w:customStyle="1" w:styleId="140">
    <w:name w:val="脚注文本 字符1"/>
    <w:basedOn w:val="27"/>
    <w:link w:val="19"/>
    <w:qFormat/>
    <w:uiPriority w:val="0"/>
    <w:rPr>
      <w:kern w:val="2"/>
      <w:sz w:val="18"/>
      <w:szCs w:val="18"/>
    </w:rPr>
  </w:style>
  <w:style w:type="character" w:customStyle="1" w:styleId="141">
    <w:name w:val="批注框文本 字符1"/>
    <w:basedOn w:val="27"/>
    <w:qFormat/>
    <w:uiPriority w:val="0"/>
    <w:rPr>
      <w:kern w:val="2"/>
      <w:sz w:val="18"/>
      <w:szCs w:val="18"/>
    </w:rPr>
  </w:style>
  <w:style w:type="paragraph" w:customStyle="1" w:styleId="142">
    <w:name w:val="疏勒-正文"/>
    <w:basedOn w:val="1"/>
    <w:qFormat/>
    <w:uiPriority w:val="0"/>
    <w:pPr>
      <w:adjustRightInd w:val="0"/>
      <w:snapToGrid w:val="0"/>
      <w:spacing w:before="50" w:beforeLines="50" w:after="50" w:afterLines="50" w:line="288" w:lineRule="auto"/>
      <w:ind w:firstLine="200"/>
    </w:pPr>
    <w:rPr>
      <w:rFonts w:ascii="Times New Roman" w:hAnsi="Times New Roman"/>
    </w:rPr>
  </w:style>
  <w:style w:type="character" w:customStyle="1" w:styleId="143">
    <w:name w:val="font11"/>
    <w:basedOn w:val="27"/>
    <w:qFormat/>
    <w:uiPriority w:val="0"/>
    <w:rPr>
      <w:rFonts w:hint="default" w:ascii="Tahoma" w:hAnsi="Tahoma" w:eastAsia="Tahoma" w:cs="Tahoma"/>
      <w:color w:val="000000"/>
      <w:sz w:val="22"/>
      <w:szCs w:val="22"/>
      <w:u w:val="none"/>
    </w:rPr>
  </w:style>
  <w:style w:type="character" w:customStyle="1" w:styleId="144">
    <w:name w:val="font01"/>
    <w:basedOn w:val="27"/>
    <w:qFormat/>
    <w:uiPriority w:val="0"/>
    <w:rPr>
      <w:rFonts w:hint="eastAsia" w:ascii="宋体" w:hAnsi="宋体" w:eastAsia="宋体" w:cs="宋体"/>
      <w:color w:val="000000"/>
      <w:sz w:val="22"/>
      <w:szCs w:val="22"/>
      <w:u w:val="none"/>
    </w:rPr>
  </w:style>
  <w:style w:type="paragraph" w:customStyle="1" w:styleId="145">
    <w:name w:val="样式1"/>
    <w:basedOn w:val="1"/>
    <w:link w:val="146"/>
    <w:qFormat/>
    <w:uiPriority w:val="0"/>
    <w:pPr>
      <w:spacing w:line="240" w:lineRule="auto"/>
      <w:ind w:firstLine="0" w:firstLineChars="0"/>
      <w:jc w:val="center"/>
    </w:pPr>
    <w:rPr>
      <w:rFonts w:ascii="方正小标宋_GBK" w:hAnsi="方正小标宋_GBK" w:eastAsia="方正小标宋_GBK" w:cs="方正小标宋_GBK"/>
      <w:sz w:val="52"/>
      <w:szCs w:val="52"/>
    </w:rPr>
  </w:style>
  <w:style w:type="character" w:customStyle="1" w:styleId="146">
    <w:name w:val="样式1 字符"/>
    <w:basedOn w:val="27"/>
    <w:link w:val="145"/>
    <w:qFormat/>
    <w:uiPriority w:val="0"/>
    <w:rPr>
      <w:rFonts w:ascii="方正小标宋_GBK" w:hAnsi="方正小标宋_GBK" w:eastAsia="方正小标宋_GBK" w:cs="方正小标宋_GBK"/>
      <w:sz w:val="52"/>
      <w:szCs w:val="52"/>
    </w:rPr>
  </w:style>
  <w:style w:type="paragraph" w:customStyle="1" w:styleId="147">
    <w:name w:val="修订1"/>
    <w:hidden/>
    <w:semiHidden/>
    <w:qFormat/>
    <w:uiPriority w:val="99"/>
    <w:rPr>
      <w:rFonts w:ascii="宋体" w:hAnsi="宋体" w:eastAsia="仿宋GB2312" w:cs="宋体"/>
      <w:sz w:val="32"/>
      <w:szCs w:val="22"/>
      <w:lang w:val="en-US" w:eastAsia="zh-CN" w:bidi="ar-SA"/>
    </w:rPr>
  </w:style>
  <w:style w:type="paragraph" w:customStyle="1" w:styleId="148">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92D050"/>
      <w:autoSpaceDE/>
      <w:autoSpaceDN/>
      <w:spacing w:before="100" w:beforeAutospacing="1" w:after="100" w:afterAutospacing="1" w:line="240" w:lineRule="auto"/>
      <w:ind w:firstLine="0" w:firstLineChars="0"/>
      <w:jc w:val="center"/>
      <w:textAlignment w:val="center"/>
    </w:pPr>
    <w:rPr>
      <w:rFonts w:ascii="仿宋_GB2312"/>
      <w:sz w:val="24"/>
      <w:szCs w:val="24"/>
    </w:rPr>
  </w:style>
  <w:style w:type="paragraph" w:customStyle="1" w:styleId="149">
    <w:name w:val="修订2"/>
    <w:hidden/>
    <w:semiHidden/>
    <w:qFormat/>
    <w:uiPriority w:val="99"/>
    <w:rPr>
      <w:rFonts w:ascii="宋体" w:hAnsi="宋体" w:eastAsia="仿宋_GB2312" w:cs="宋体"/>
      <w:sz w:val="32"/>
      <w:szCs w:val="22"/>
      <w:lang w:val="en-US" w:eastAsia="zh-CN" w:bidi="ar-SA"/>
    </w:rPr>
  </w:style>
  <w:style w:type="paragraph" w:customStyle="1" w:styleId="150">
    <w:name w:val="Revision"/>
    <w:hidden/>
    <w:semiHidden/>
    <w:qFormat/>
    <w:uiPriority w:val="99"/>
    <w:rPr>
      <w:rFonts w:ascii="宋体" w:hAnsi="宋体" w:eastAsia="仿宋_GB2312" w:cs="宋体"/>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09DC2-57AE-4F14-AFCC-21FAA5A6FA04}">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21131</Words>
  <Characters>21406</Characters>
  <Lines>177</Lines>
  <Paragraphs>49</Paragraphs>
  <TotalTime>7</TotalTime>
  <ScaleCrop>false</ScaleCrop>
  <LinksUpToDate>false</LinksUpToDate>
  <CharactersWithSpaces>22856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2025-03-14T01:23:00Z</dcterms:created>
  <dc:creator>Administrator</dc:creator>
  <cp:lastModifiedBy>Administrator</cp:lastModifiedBy>
  <cp:lastPrinted>2025-03-17T09:00:00Z</cp:lastPrinted>
  <dcterms:modified xsi:type="dcterms:W3CDTF">2025-03-18T09:09:27Z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E5DBE8BF27FE48CD8990668A691B5D2E</vt:lpwstr>
  </property>
  <property fmtid="{D5CDD505-2E9C-101B-9397-08002B2CF9AE}" pid="4" name="KSOTemplateDocerSaveRecord">
    <vt:lpwstr>eyJoZGlkIjoiYzRmNDQyY2FmOTEyNGNkNjQ1NWM4NWY3ZDc1NzNjMmUiLCJ1c2VySWQiOiI0MTkxNjI0OTQifQ==</vt:lpwstr>
  </property>
</Properties>
</file>